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000"/>
      </w:pPr>
      <w:r>
        <w:rPr>
          <w:rFonts w:ascii="Arial" w:cs="Arial" w:eastAsia="Arial" w:hAnsi="Arial"/>
          <w:b/>
          <w:bCs/>
          <w:color w:val="5A4FD0"/>
          <w:sz w:val="120"/>
          <w:szCs w:val="120"/>
        </w:rPr>
        <w:t xml:space="preserve">O</w:t>
      </w:r>
      <w:r>
        <w:rPr>
          <w:rFonts w:ascii="Arial" w:cs="Arial" w:eastAsia="Arial" w:hAnsi="Arial"/>
          <w:b/>
          <w:bCs/>
          <w:color w:val="2C3240"/>
          <w:sz w:val="120"/>
          <w:szCs w:val="120"/>
        </w:rPr>
        <w:t xml:space="preserve">LIVANDER</w:t>
      </w:r>
    </w:p>
    <w:p>
      <w:pPr>
        <w:spacing w:after="40" w:before="60"/>
      </w:pPr>
      <w:r>
        <w:rPr>
          <w:rFonts w:ascii="Arial" w:cs="Arial" w:eastAsia="Arial" w:hAnsi="Arial"/>
          <w:color w:val="5C6475"/>
          <w:sz w:val="32"/>
          <w:szCs w:val="32"/>
        </w:rPr>
        <w:t xml:space="preserve">Product Requirements Document</w:t>
      </w:r>
    </w:p>
    <w:p>
      <w:pPr>
        <w:spacing w:after="0" w:before="0"/>
      </w:pPr>
      <w:r>
        <w:rPr>
          <w:rFonts w:ascii="Arial" w:cs="Arial" w:eastAsia="Arial" w:hAnsi="Arial"/>
          <w:color w:val="8C93A4"/>
          <w:sz w:val="22"/>
          <w:szCs w:val="22"/>
        </w:rPr>
        <w:t xml:space="preserve">Version 6.0  ·  April 2026  ·  Confidential</w:t>
      </w:r>
    </w:p>
    <w:p>
      <w:pPr>
        <w:spacing w:after="0" w:before="80"/>
      </w:pPr>
      <w:r>
        <w:rPr>
          <w:rFonts w:ascii="Arial" w:cs="Arial" w:eastAsia="Arial" w:hAnsi="Arial"/>
          <w:color w:val="2C3240"/>
          <w:sz w:val="20"/>
          <w:szCs w:val="20"/>
        </w:rPr>
        <w:t xml:space="preserve"/>
      </w:r>
    </w:p>
    <w:p>
      <w:pPr>
        <w:spacing w:after="0" w:before="0"/>
      </w:pPr>
      <w:r>
        <w:rPr>
          <w:rFonts w:ascii="Arial" w:cs="Arial" w:eastAsia="Arial" w:hAnsi="Arial"/>
          <w:b/>
          <w:bCs/>
          <w:color w:val="2C3240"/>
          <w:sz w:val="26"/>
          <w:szCs w:val="26"/>
        </w:rPr>
        <w:t xml:space="preserve">The AI Operations Layer for the NZ South Island Service Business</w:t>
      </w:r>
    </w:p>
    <w:p>
      <w:pPr>
        <w:spacing w:after="0" w:before="60"/>
      </w:pPr>
      <w:r>
        <w:rPr>
          <w:rFonts w:ascii="Arial" w:cs="Arial" w:eastAsia="Arial" w:hAnsi="Arial"/>
          <w:color w:val="2C324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D52" w:sz="4"/>
              <w:left w:val="single" w:color="2E7D52" w:sz="4"/>
              <w:bottom w:val="single" w:color="2E7D52" w:sz="4"/>
              <w:right w:val="single" w:color="2E7D52" w:sz="4"/>
            </w:tcBorders>
            <w:shd w:fill="E8F3EE" w:val="clear"/>
            <w:tcMar>
              <w:top w:type="dxa" w:w="120"/>
              <w:left w:type="dxa" w:w="160"/>
              <w:bottom w:type="dxa" w:w="120"/>
              <w:right w:type="dxa" w:w="160"/>
            </w:tcMar>
          </w:tcPr>
          <w:p>
            <w:pPr>
              <w:spacing w:after="0" w:before="0"/>
            </w:pPr>
            <w:r>
              <w:rPr>
                <w:rFonts w:ascii="Arial" w:cs="Arial" w:eastAsia="Arial" w:hAnsi="Arial"/>
                <w:b/>
                <w:bCs/>
                <w:color w:val="2E7D52"/>
                <w:sz w:val="18"/>
                <w:szCs w:val="18"/>
              </w:rPr>
              <w:t xml:space="preserve">NEW IN v6  </w:t>
            </w:r>
            <w:r>
              <w:rPr>
                <w:rFonts w:ascii="Arial" w:cs="Arial" w:eastAsia="Arial" w:hAnsi="Arial"/>
                <w:color w:val="2C3240"/>
                <w:sz w:val="18"/>
                <w:szCs w:val="18"/>
              </w:rPr>
              <w:t xml:space="preserve">This document supersedes PRD v5.0. It incorporates all prior specification and adds: multi-provider email/calendar architecture, staff rostering, document generation, expense capture, lead pipeline, reputation management, SMS/call handling, supplier management, proactive business intelligence, online research and lead generation, and marketing intelligence — all built into the approval-first operations model.</w:t>
            </w:r>
          </w:p>
        </w:tc>
      </w:tr>
    </w:tbl>
    <w:p>
      <w:pPr>
        <w:spacing w:after="0" w:before="60"/>
      </w:pPr>
      <w:r>
        <w:rPr>
          <w:rFonts w:ascii="Arial" w:cs="Arial" w:eastAsia="Arial" w:hAnsi="Arial"/>
          <w:color w:val="2C324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160"/>
      </w:tblGrid>
      <w:tr>
        <w:tc>
          <w:tcPr>
            <w:tcW w:type="dxa" w:w="24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Layer</w:t>
            </w:r>
          </w:p>
        </w:tc>
        <w:tc>
          <w:tcPr>
            <w:tcW w:type="dxa" w:w="38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Technology</w:t>
            </w:r>
          </w:p>
        </w:tc>
        <w:tc>
          <w:tcPr>
            <w:tcW w:type="dxa" w:w="316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Status</w:t>
            </w:r>
          </w:p>
        </w:tc>
      </w:tr>
      <w:tr>
        <w:tc>
          <w:tcPr>
            <w:tcW w:type="dxa" w:w="2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Frontend</w:t>
            </w:r>
          </w:p>
        </w:tc>
        <w:tc>
          <w:tcPr>
            <w:tcW w:type="dxa" w:w="3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React / Vite (PWA)</w:t>
            </w:r>
          </w:p>
        </w:tc>
        <w:tc>
          <w:tcPr>
            <w:tcW w:type="dxa" w:w="31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Live — olivander.vercel.app</w:t>
            </w:r>
          </w:p>
        </w:tc>
      </w:tr>
      <w:tr>
        <w:tc>
          <w:tcPr>
            <w:tcW w:type="dxa" w:w="2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Backend</w:t>
            </w:r>
          </w:p>
        </w:tc>
        <w:tc>
          <w:tcPr>
            <w:tcW w:type="dxa" w:w="3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FastAPI (Python)</w:t>
            </w:r>
          </w:p>
        </w:tc>
        <w:tc>
          <w:tcPr>
            <w:tcW w:type="dxa" w:w="31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Live — olivander-production.up.railway.app</w:t>
            </w:r>
          </w:p>
        </w:tc>
      </w:tr>
      <w:tr>
        <w:tc>
          <w:tcPr>
            <w:tcW w:type="dxa" w:w="2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Database</w:t>
            </w:r>
          </w:p>
        </w:tc>
        <w:tc>
          <w:tcPr>
            <w:tcW w:type="dxa" w:w="3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Supabase (PostgreSQL + pgvector 768-dim)</w:t>
            </w:r>
          </w:p>
        </w:tc>
        <w:tc>
          <w:tcPr>
            <w:tcW w:type="dxa" w:w="31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Active</w:t>
            </w:r>
          </w:p>
        </w:tc>
      </w:tr>
      <w:tr>
        <w:tc>
          <w:tcPr>
            <w:tcW w:type="dxa" w:w="2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AI</w:t>
            </w:r>
          </w:p>
        </w:tc>
        <w:tc>
          <w:tcPr>
            <w:tcW w:type="dxa" w:w="3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Groq llama-3.3-70b-versatile + provider abstraction</w:t>
            </w:r>
          </w:p>
        </w:tc>
        <w:tc>
          <w:tcPr>
            <w:tcW w:type="dxa" w:w="31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Pipeline tested</w:t>
            </w:r>
          </w:p>
        </w:tc>
      </w:tr>
      <w:tr>
        <w:tc>
          <w:tcPr>
            <w:tcW w:type="dxa" w:w="2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Email/Calendar</w:t>
            </w:r>
          </w:p>
        </w:tc>
        <w:tc>
          <w:tcPr>
            <w:tcW w:type="dxa" w:w="3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r>
              <w:rPr>
                <w:rFonts w:ascii="Arial" w:hAnsi="Arial"/>
                <w:b w:val="0"/>
                <w:sz w:val="17"/>
              </w:rPr>
              <w:t>Gmail API + Google Calendar API (MVP); Microsoft Graph Outlook/365 required next provider</w:t>
            </w:r>
          </w:p>
        </w:tc>
        <w:tc>
          <w:tcPr>
            <w:tcW w:type="dxa" w:w="31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OAuth under debug</w:t>
            </w:r>
          </w:p>
        </w:tc>
      </w:tr>
      <w:tr>
        <w:tc>
          <w:tcPr>
            <w:tcW w:type="dxa" w:w="2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Accounting</w:t>
            </w:r>
          </w:p>
        </w:tc>
        <w:tc>
          <w:tcPr>
            <w:tcW w:type="dxa" w:w="3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Xero API</w:t>
            </w:r>
          </w:p>
        </w:tc>
        <w:tc>
          <w:tcPr>
            <w:tcW w:type="dxa" w:w="31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r>
      <w:tr>
        <w:tc>
          <w:tcPr>
            <w:tcW w:type="dxa" w:w="2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Version control</w:t>
            </w:r>
          </w:p>
        </w:tc>
        <w:tc>
          <w:tcPr>
            <w:tcW w:type="dxa" w:w="3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GitHub (private)</w:t>
            </w:r>
          </w:p>
        </w:tc>
        <w:tc>
          <w:tcPr>
            <w:tcW w:type="dxa" w:w="31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Active</w:t>
            </w:r>
          </w:p>
        </w:tc>
      </w:tr>
    </w:tbl>
    <w:p>
      <w:r>
        <w:br w:type="page"/>
      </w:r>
    </w:p>
    <w:p>
      <w:pPr>
        <w:pStyle w:val="Heading1"/>
        <w:pBdr>
          <w:bottom w:val="single" w:color="5A4FD0" w:sz="8" w:space="4"/>
        </w:pBdr>
        <w:spacing w:after="160" w:before="440"/>
      </w:pPr>
      <w:r>
        <w:rPr>
          <w:rFonts w:ascii="Arial" w:cs="Arial" w:eastAsia="Arial" w:hAnsi="Arial"/>
          <w:b/>
          <w:bCs/>
          <w:color w:val="2C3240"/>
          <w:sz w:val="36"/>
          <w:szCs w:val="36"/>
        </w:rPr>
        <w:t xml:space="preserve">0. Brand Identity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ED9D0" w:sz="4"/>
              <w:left w:val="single" w:color="DED9D0" w:sz="4"/>
              <w:bottom w:val="single" w:color="DED9D0" w:sz="4"/>
              <w:right w:val="single" w:color="DED9D0" w:sz="4"/>
            </w:tcBorders>
            <w:shd w:fill="EDE6D8" w:val="clear"/>
            <w:tcMar>
              <w:top w:type="dxa" w:w="120"/>
              <w:left w:type="dxa" w:w="160"/>
              <w:bottom w:type="dxa" w:w="120"/>
              <w:right w:type="dxa" w:w="160"/>
            </w:tcMar>
          </w:tcPr>
          <w:p>
            <w:pPr>
              <w:spacing w:after="0" w:before="0"/>
            </w:pPr>
            <w:r>
              <w:rPr>
                <w:rFonts w:ascii="Arial" w:cs="Arial" w:eastAsia="Arial" w:hAnsi="Arial"/>
                <w:b/>
                <w:bCs/>
                <w:color w:val="2C3240"/>
                <w:sz w:val="18"/>
                <w:szCs w:val="18"/>
              </w:rPr>
              <w:t xml:space="preserve">BUILD  </w:t>
            </w:r>
            <w:r>
              <w:rPr>
                <w:rFonts w:ascii="Arial" w:cs="Arial" w:eastAsia="Arial" w:hAnsi="Arial"/>
                <w:color w:val="2C3240"/>
                <w:sz w:val="18"/>
                <w:szCs w:val="18"/>
              </w:rPr>
              <w:t xml:space="preserve">The colour scheme HTML file (olivander_colour_scheme_v2.html) is the single source of truth for colour. Typography: Fraunces 700 for display/wordmark/headings. DM Sans 400/500/600 for all UI text. No drop shadows, no gradients, no white card backgrounds (#FDFAF4 only). The "O" in Olivander is always #5A4FD0.</w:t>
            </w:r>
          </w:p>
        </w:tc>
      </w:tr>
    </w:tbl>
    <w:p>
      <w:pPr>
        <w:spacing w:after="0" w:before="80"/>
      </w:pPr>
      <w:r>
        <w:rPr>
          <w:rFonts w:ascii="Arial" w:cs="Arial" w:eastAsia="Arial" w:hAnsi="Arial"/>
          <w:color w:val="2C324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5960"/>
      </w:tblGrid>
      <w:tr>
        <w:tc>
          <w:tcPr>
            <w:tcW w:type="dxa" w:w="20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Token</w:t>
            </w:r>
          </w:p>
        </w:tc>
        <w:tc>
          <w:tcPr>
            <w:tcW w:type="dxa" w:w="14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Hex</w:t>
            </w:r>
          </w:p>
        </w:tc>
        <w:tc>
          <w:tcPr>
            <w:tcW w:type="dxa" w:w="596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Role</w:t>
            </w:r>
          </w:p>
        </w:tc>
      </w:tr>
      <w:tr>
        <w:tc>
          <w:tcPr>
            <w:tcW w:type="dxa" w:w="20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--act / Purple ★</w:t>
            </w:r>
          </w:p>
        </w:tc>
        <w:tc>
          <w:tcPr>
            <w:tcW w:type="dxa" w:w="1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#5A4FD0</w:t>
            </w:r>
          </w:p>
        </w:tc>
        <w:tc>
          <w:tcPr>
            <w:tcW w:type="dxa" w:w="5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Action / Brand — buttons, active nav, links, focus rings, "O" in wordmark. Never decorative.</w:t>
            </w:r>
          </w:p>
        </w:tc>
      </w:tr>
      <w:tr>
        <w:tc>
          <w:tcPr>
            <w:tcW w:type="dxa" w:w="20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--bg / Base</w:t>
            </w:r>
          </w:p>
        </w:tc>
        <w:tc>
          <w:tcPr>
            <w:tcW w:type="dxa" w:w="1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#F5F0E8</w:t>
            </w:r>
          </w:p>
        </w:tc>
        <w:tc>
          <w:tcPr>
            <w:tcW w:type="dxa" w:w="59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Page background — dominant surface</w:t>
            </w:r>
          </w:p>
        </w:tc>
      </w:tr>
      <w:tr>
        <w:tc>
          <w:tcPr>
            <w:tcW w:type="dxa" w:w="20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--card / White</w:t>
            </w:r>
          </w:p>
        </w:tc>
        <w:tc>
          <w:tcPr>
            <w:tcW w:type="dxa" w:w="1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#FDFAF4</w:t>
            </w:r>
          </w:p>
        </w:tc>
        <w:tc>
          <w:tcPr>
            <w:tcW w:type="dxa" w:w="5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Card surface — cards, modals, elevated panels</w:t>
            </w:r>
          </w:p>
        </w:tc>
      </w:tr>
      <w:tr>
        <w:tc>
          <w:tcPr>
            <w:tcW w:type="dxa" w:w="20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Slate Dark ★</w:t>
            </w:r>
          </w:p>
        </w:tc>
        <w:tc>
          <w:tcPr>
            <w:tcW w:type="dxa" w:w="1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#2C3240</w:t>
            </w:r>
          </w:p>
        </w:tc>
        <w:tc>
          <w:tcPr>
            <w:tcW w:type="dxa" w:w="59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Nav / headings</w:t>
            </w:r>
          </w:p>
        </w:tc>
      </w:tr>
      <w:tr>
        <w:tc>
          <w:tcPr>
            <w:tcW w:type="dxa" w:w="20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Slate Primary</w:t>
            </w:r>
          </w:p>
        </w:tc>
        <w:tc>
          <w:tcPr>
            <w:tcW w:type="dxa" w:w="1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#3D4452</w:t>
            </w:r>
          </w:p>
        </w:tc>
        <w:tc>
          <w:tcPr>
            <w:tcW w:type="dxa" w:w="5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Primary body text</w:t>
            </w:r>
          </w:p>
        </w:tc>
      </w:tr>
      <w:tr>
        <w:tc>
          <w:tcPr>
            <w:tcW w:type="dxa" w:w="20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Slate Secondary</w:t>
            </w:r>
          </w:p>
        </w:tc>
        <w:tc>
          <w:tcPr>
            <w:tcW w:type="dxa" w:w="1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#5C6475</w:t>
            </w:r>
          </w:p>
        </w:tc>
        <w:tc>
          <w:tcPr>
            <w:tcW w:type="dxa" w:w="59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Supporting copy</w:t>
            </w:r>
          </w:p>
        </w:tc>
      </w:tr>
      <w:tr>
        <w:tc>
          <w:tcPr>
            <w:tcW w:type="dxa" w:w="20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Slate Muted</w:t>
            </w:r>
          </w:p>
        </w:tc>
        <w:tc>
          <w:tcPr>
            <w:tcW w:type="dxa" w:w="1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#8C93A4</w:t>
            </w:r>
          </w:p>
        </w:tc>
        <w:tc>
          <w:tcPr>
            <w:tcW w:type="dxa" w:w="5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Timestamps, labels, captions</w:t>
            </w:r>
          </w:p>
        </w:tc>
      </w:tr>
      <w:tr>
        <w:tc>
          <w:tcPr>
            <w:tcW w:type="dxa" w:w="20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Success</w:t>
            </w:r>
          </w:p>
        </w:tc>
        <w:tc>
          <w:tcPr>
            <w:tcW w:type="dxa" w:w="1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#2E7D52</w:t>
            </w:r>
          </w:p>
        </w:tc>
        <w:tc>
          <w:tcPr>
            <w:tcW w:type="dxa" w:w="59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Approve, paid, active connections</w:t>
            </w:r>
          </w:p>
        </w:tc>
      </w:tr>
      <w:tr>
        <w:tc>
          <w:tcPr>
            <w:tcW w:type="dxa" w:w="20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Warning</w:t>
            </w:r>
          </w:p>
        </w:tc>
        <w:tc>
          <w:tcPr>
            <w:tcW w:type="dxa" w:w="1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#D08B12</w:t>
            </w:r>
          </w:p>
        </w:tc>
        <w:tc>
          <w:tcPr>
            <w:tcW w:type="dxa" w:w="5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Usage thresholds, flags</w:t>
            </w:r>
          </w:p>
        </w:tc>
      </w:tr>
      <w:tr>
        <w:tc>
          <w:tcPr>
            <w:tcW w:type="dxa" w:w="20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Danger</w:t>
            </w:r>
          </w:p>
        </w:tc>
        <w:tc>
          <w:tcPr>
            <w:tcW w:type="dxa" w:w="1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#C42B2B</w:t>
            </w:r>
          </w:p>
        </w:tc>
        <w:tc>
          <w:tcPr>
            <w:tcW w:type="dxa" w:w="59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Errors, delete, reject. Never decorative.</w:t>
            </w:r>
          </w:p>
        </w:tc>
      </w:tr>
    </w:tbl>
    <w:p>
      <w:pPr>
        <w:spacing w:after="0" w:before="80"/>
      </w:pPr>
      <w:r>
        <w:rPr>
          <w:rFonts w:ascii="Arial" w:cs="Arial" w:eastAsia="Arial" w:hAnsi="Arial"/>
          <w:color w:val="2C3240"/>
          <w:sz w:val="20"/>
          <w:szCs w:val="20"/>
        </w:rPr>
        <w:t xml:space="preserve"/>
      </w:r>
    </w:p>
    <w:p>
      <w:pPr>
        <w:spacing w:after="80" w:before="60"/>
      </w:pPr>
      <w:r>
        <w:rPr>
          <w:rFonts w:ascii="Arial" w:cs="Arial" w:eastAsia="Arial" w:hAnsi="Arial"/>
          <w:color w:val="5C6475"/>
          <w:sz w:val="20"/>
          <w:szCs w:val="20"/>
        </w:rPr>
        <w:t xml:space="preserve">Wand logo: diagonal SVG rod (~40° angle, handle bottom-left, tip upper-right). Tip communicates agent state via glow animations: inactive, active, thinking/breathing pulse, processing/shimmer, success/green burst, error/red flicker. Flick animation fires at task start; glow ignites at 440ms after wand settles.</w:t>
      </w:r>
    </w:p>
    <w:p>
      <w:r>
        <w:br w:type="page"/>
      </w:r>
    </w:p>
    <w:p>
      <w:pPr>
        <w:pStyle w:val="Heading1"/>
        <w:pBdr>
          <w:bottom w:val="single" w:color="5A4FD0" w:sz="8" w:space="4"/>
        </w:pBdr>
        <w:spacing w:after="160" w:before="440"/>
      </w:pPr>
      <w:r>
        <w:rPr>
          <w:rFonts w:ascii="Arial" w:cs="Arial" w:eastAsia="Arial" w:hAnsi="Arial"/>
          <w:b/>
          <w:bCs/>
          <w:color w:val="2C3240"/>
          <w:sz w:val="36"/>
          <w:szCs w:val="36"/>
        </w:rPr>
        <w:t xml:space="preserve">1. Executive Thesis</w:t>
      </w:r>
    </w:p>
    <w:p>
      <w:pPr>
        <w:pStyle w:val="Heading2"/>
        <w:spacing w:after="100" w:before="300"/>
      </w:pPr>
      <w:r>
        <w:rPr>
          <w:rFonts w:ascii="Arial" w:cs="Arial" w:eastAsia="Arial" w:hAnsi="Arial"/>
          <w:b/>
          <w:bCs/>
          <w:color w:val="2C3240"/>
          <w:sz w:val="26"/>
          <w:szCs w:val="26"/>
        </w:rPr>
        <w:t xml:space="preserve">1.1  Product Framing</w:t>
      </w:r>
    </w:p>
    <w:p>
      <w:pPr>
        <w:spacing w:after="80" w:before="60"/>
      </w:pPr>
      <w:r>
        <w:rPr>
          <w:rFonts w:ascii="Arial" w:cs="Arial" w:eastAsia="Arial" w:hAnsi="Arial"/>
          <w:color w:val="5C6475"/>
          <w:sz w:val="20"/>
          <w:szCs w:val="20"/>
        </w:rPr>
        <w:t xml:space="preserve">Olivander is an AI operations layer for service SMEs — not a workflow automator, not a chatbot. The key architectural insight: email, calendar, and invoices are not three separate products. They are connected operational objects inside one business loop. Standardise those objects while maintaining tenant-specific memory, and the product can serve multiple business categories without collapsing into bespoke consulting.</w:t>
      </w:r>
    </w:p>
    <w:p>
      <w:pPr>
        <w:spacing w:after="80" w:before="60"/>
      </w:pPr>
      <w:r>
        <w:rPr>
          <w:rFonts w:ascii="Arial" w:cs="Arial" w:eastAsia="Arial" w:hAnsi="Arial"/>
          <w:color w:val="5C6475"/>
          <w:sz w:val="20"/>
          <w:szCs w:val="20"/>
        </w:rPr>
        <w:t xml:space="preserve">Version 6.0 expands this loop to include every significant administrative workflow a 5-25 person service business runs: staff rostering, document generation, expense capture, supplier coordination, lead pipeline management, reputation management, SMS/call handling, proactive business intelligence, and — new in this version — an online research engine that finds leads, monitors competitors, and surfaces marketing intelligence on the owner's behalf.</w:t>
      </w:r>
    </w:p>
    <w:p>
      <w:pPr>
        <w:pStyle w:val="Heading2"/>
        <w:spacing w:after="100" w:before="300"/>
      </w:pPr>
      <w:r>
        <w:rPr>
          <w:rFonts w:ascii="Arial" w:cs="Arial" w:eastAsia="Arial" w:hAnsi="Arial"/>
          <w:b/>
          <w:bCs/>
          <w:color w:val="2C3240"/>
          <w:sz w:val="26"/>
          <w:szCs w:val="26"/>
        </w:rPr>
        <w:t xml:space="preserve">1.2  The Eight Business Loops</w:t>
      </w:r>
    </w:p>
    <w:p>
      <w:pPr>
        <w:spacing w:after="80" w:before="60"/>
      </w:pPr>
      <w:r>
        <w:rPr>
          <w:rFonts w:ascii="Arial" w:cs="Arial" w:eastAsia="Arial" w:hAnsi="Arial"/>
          <w:color w:val="5C6475"/>
          <w:sz w:val="20"/>
          <w:szCs w:val="20"/>
        </w:rPr>
        <w:t xml:space="preserve">Every workflow in Olivander maps to one of eight core loops. Nothing gets built unless it serves one of these. This is the horizontal repeatability constraint.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c>
          <w:tcPr>
            <w:tcW w:type="dxa" w:w="18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Loop</w:t>
            </w:r>
          </w:p>
        </w:tc>
        <w:tc>
          <w:tcPr>
            <w:tcW w:type="dxa" w:w="32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Description</w:t>
            </w:r>
          </w:p>
        </w:tc>
        <w:tc>
          <w:tcPr>
            <w:tcW w:type="dxa" w:w="436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Workflows it powers</w:t>
            </w:r>
          </w:p>
        </w:tc>
      </w:tr>
      <w:tr>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Client acquisition</w:t>
            </w:r>
          </w:p>
        </w:tc>
        <w:tc>
          <w:tcPr>
            <w:tcW w:type="dxa" w:w="32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Find, attract, and convert new clients</w:t>
            </w:r>
          </w:p>
        </w:tc>
        <w:tc>
          <w:tcPr>
            <w:tcW w:type="dxa" w:w="43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Lead research, competitor monitoring, marketing intelligence, referral tracking, review management</w:t>
            </w:r>
          </w:p>
        </w:tc>
      </w:tr>
      <w:tr>
        <w:tc>
          <w:tcPr>
            <w:tcW w:type="dxa" w:w="1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Client communication</w:t>
            </w:r>
          </w:p>
        </w:tc>
        <w:tc>
          <w:tcPr>
            <w:tcW w:type="dxa" w:w="32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Handle all inbound and outbound communication</w:t>
            </w:r>
          </w:p>
        </w:tc>
        <w:tc>
          <w:tcPr>
            <w:tcW w:type="dxa" w:w="43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Email triage, draft replies, follow-up sequences, SMS handling, missed call recovery</w:t>
            </w:r>
          </w:p>
        </w:tc>
      </w:tr>
      <w:tr>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Scheduling</w:t>
            </w:r>
          </w:p>
        </w:tc>
        <w:tc>
          <w:tcPr>
            <w:tcW w:type="dxa" w:w="32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Manage time for the owner, staff, and clients</w:t>
            </w:r>
          </w:p>
        </w:tc>
        <w:tc>
          <w:tcPr>
            <w:tcW w:type="dxa" w:w="43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Booking handling, availability checking, staff rostering, shift management, no-show handling</w:t>
            </w:r>
          </w:p>
        </w:tc>
      </w:tr>
      <w:tr>
        <w:tc>
          <w:tcPr>
            <w:tcW w:type="dxa" w:w="1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Revenue</w:t>
            </w:r>
          </w:p>
        </w:tc>
        <w:tc>
          <w:tcPr>
            <w:tcW w:type="dxa" w:w="32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Convert work into money, keep money flowing</w:t>
            </w:r>
          </w:p>
        </w:tc>
        <w:tc>
          <w:tcPr>
            <w:tcW w:type="dxa" w:w="43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Quote generation, invoice creation, payment chasing, expense capture, cash position summary</w:t>
            </w:r>
          </w:p>
        </w:tc>
      </w:tr>
      <w:tr>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Document management</w:t>
            </w:r>
          </w:p>
        </w:tc>
        <w:tc>
          <w:tcPr>
            <w:tcW w:type="dxa" w:w="32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Create, store, and retrieve business documents</w:t>
            </w:r>
          </w:p>
        </w:tc>
        <w:tc>
          <w:tcPr>
            <w:tcW w:type="dxa" w:w="43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Quotes, contracts, job sheets, invoices stored in Google Drive with structured retrieval</w:t>
            </w:r>
          </w:p>
        </w:tc>
      </w:tr>
      <w:tr>
        <w:tc>
          <w:tcPr>
            <w:tcW w:type="dxa" w:w="1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Team operations</w:t>
            </w:r>
          </w:p>
        </w:tc>
        <w:tc>
          <w:tcPr>
            <w:tcW w:type="dxa" w:w="32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Coordinate staff without the owner in the middle</w:t>
            </w:r>
          </w:p>
        </w:tc>
        <w:tc>
          <w:tcPr>
            <w:tcW w:type="dxa" w:w="43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Roster broadcasts, job assignment, acknowledgement tracking, availability management</w:t>
            </w:r>
          </w:p>
        </w:tc>
      </w:tr>
      <w:tr>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Supplier coordination</w:t>
            </w:r>
          </w:p>
        </w:tc>
        <w:tc>
          <w:tcPr>
            <w:tcW w:type="dxa" w:w="32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Manage outbound relationships with suppliers and subcontractors</w:t>
            </w:r>
          </w:p>
        </w:tc>
        <w:tc>
          <w:tcPr>
            <w:tcW w:type="dxa" w:w="43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Purchase orders, delivery follow-ups, subcontractor coordination, supplier memory</w:t>
            </w:r>
          </w:p>
        </w:tc>
      </w:tr>
      <w:tr>
        <w:tc>
          <w:tcPr>
            <w:tcW w:type="dxa" w:w="1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Business intelligence</w:t>
            </w:r>
          </w:p>
        </w:tc>
        <w:tc>
          <w:tcPr>
            <w:tcW w:type="dxa" w:w="32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Surface insights the owner would never have time to find</w:t>
            </w:r>
          </w:p>
        </w:tc>
        <w:tc>
          <w:tcPr>
            <w:tcW w:type="dxa" w:w="43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Lead pipeline visibility, cash forecasting, seasonal capacity alerts, market research, competitor monitoring</w:t>
            </w:r>
          </w:p>
        </w:tc>
      </w:tr>
    </w:tbl>
    <w:p>
      <w:pPr>
        <w:pStyle w:val="Heading2"/>
        <w:spacing w:after="100" w:before="300"/>
      </w:pPr>
      <w:r>
        <w:rPr>
          <w:rFonts w:ascii="Arial" w:cs="Arial" w:eastAsia="Arial" w:hAnsi="Arial"/>
          <w:b/>
          <w:bCs/>
          <w:color w:val="2C3240"/>
          <w:sz w:val="26"/>
          <w:szCs w:val="26"/>
        </w:rPr>
        <w:t xml:space="preserve">1.3  Current State (April 2026)</w:t>
      </w:r>
    </w:p>
    <w:p>
      <w:pPr>
        <w:pStyle w:val="ListParagraph"/>
        <w:numPr>
          <w:ilvl w:val="0"/>
          <w:numId w:val="2"/>
        </w:numPr>
        <w:spacing w:after="40" w:before="40"/>
      </w:pPr>
      <w:r>
        <w:rPr>
          <w:rFonts w:ascii="Arial" w:cs="Arial" w:eastAsia="Arial" w:hAnsi="Arial"/>
          <w:color w:val="5C6475"/>
          <w:sz w:val="20"/>
          <w:szCs w:val="20"/>
        </w:rPr>
        <w:t xml:space="preserve">Frontend live: olivander.vercel.app (React/Vite, Vercel)</w:t>
      </w:r>
    </w:p>
    <w:p>
      <w:pPr>
        <w:pStyle w:val="ListParagraph"/>
        <w:numPr>
          <w:ilvl w:val="0"/>
          <w:numId w:val="2"/>
        </w:numPr>
        <w:spacing w:after="40" w:before="40"/>
      </w:pPr>
      <w:r>
        <w:rPr>
          <w:rFonts w:ascii="Arial" w:cs="Arial" w:eastAsia="Arial" w:hAnsi="Arial"/>
          <w:color w:val="5C6475"/>
          <w:sz w:val="20"/>
          <w:szCs w:val="20"/>
        </w:rPr>
        <w:t xml:space="preserve">Backend live: olivander-production.up.railway.app (FastAPI, Railway)</w:t>
      </w:r>
    </w:p>
    <w:p>
      <w:pPr>
        <w:pStyle w:val="ListParagraph"/>
        <w:numPr>
          <w:ilvl w:val="0"/>
          <w:numId w:val="2"/>
        </w:numPr>
        <w:spacing w:after="40" w:before="40"/>
      </w:pPr>
      <w:r>
        <w:rPr>
          <w:rFonts w:ascii="Arial" w:cs="Arial" w:eastAsia="Arial" w:hAnsi="Arial"/>
          <w:color w:val="5C6475"/>
          <w:sz w:val="20"/>
          <w:szCs w:val="20"/>
        </w:rPr>
        <w:t xml:space="preserve">AI pipeline tested: email classification + draft reply via Groq llama-3.3-70b-versatile</w:t>
      </w:r>
    </w:p>
    <w:p>
      <w:pPr>
        <w:pStyle w:val="ListParagraph"/>
        <w:numPr>
          <w:ilvl w:val="0"/>
          <w:numId w:val="2"/>
        </w:numPr>
        <w:spacing w:after="40" w:before="40"/>
      </w:pPr>
      <w:r>
        <w:rPr>
          <w:rFonts w:ascii="Arial" w:cs="Arial" w:eastAsia="Arial" w:hAnsi="Arial"/>
          <w:color w:val="5C6475"/>
          <w:sz w:val="20"/>
          <w:szCs w:val="20"/>
        </w:rPr>
        <w:t xml:space="preserve">Database: Supabase PostgreSQL + pgvector (768-dim embeddings configured)</w:t>
      </w:r>
    </w:p>
    <w:p>
      <w:pPr>
        <w:pStyle w:val="ListParagraph"/>
        <w:numPr>
          <w:ilvl w:val="0"/>
          <w:numId w:val="2"/>
        </w:numPr>
        <w:spacing w:after="40" w:before="40"/>
      </w:pPr>
      <w:r>
        <w:rPr>
          <w:rFonts w:ascii="Arial" w:cs="Arial" w:eastAsia="Arial" w:hAnsi="Arial"/>
          <w:color w:val="5C6475"/>
          <w:sz w:val="20"/>
          <w:szCs w:val="20"/>
        </w:rPr>
        <w:t xml:space="preserve">Google OAuth flow under debug — invalid_request error, Railway logs next</w:t>
      </w:r>
    </w:p>
    <w:p>
      <w:pPr>
        <w:pStyle w:val="ListParagraph"/>
        <w:numPr>
          <w:ilvl w:val="0"/>
          <w:numId w:val="2"/>
        </w:numPr>
        <w:spacing w:after="40" w:before="40"/>
      </w:pPr>
      <w:r>
        <w:rPr>
          <w:rFonts w:ascii="Arial" w:cs="Arial" w:eastAsia="Arial" w:hAnsi="Arial"/>
          <w:color w:val="5C6475"/>
          <w:sz w:val="20"/>
          <w:szCs w:val="20"/>
        </w:rPr>
        <w:t xml:space="preserve">Gmail OAuth deliberately deferred — more product substance first</w:t>
      </w:r>
    </w:p>
    <w:p>
      <w:pPr>
        <w:pStyle w:val="ListParagraph"/>
        <w:numPr>
          <w:ilvl w:val="0"/>
          <w:numId w:val="2"/>
        </w:numPr>
        <w:spacing w:after="40" w:before="40"/>
      </w:pPr>
      <w:r>
        <w:rPr>
          <w:rFonts w:ascii="Arial" w:cs="Arial" w:eastAsia="Arial" w:hAnsi="Arial"/>
          <w:color w:val="5C6475"/>
          <w:sz w:val="20"/>
          <w:szCs w:val="20"/>
        </w:rPr>
        <w:t xml:space="preserve">RAG system (pgvector) deferred post-MVP</w:t>
      </w:r>
    </w:p>
    <w:p>
      <w:pPr>
        <w:pStyle w:val="Heading2"/>
        <w:spacing w:after="100" w:before="300"/>
      </w:pPr>
      <w:r>
        <w:rPr>
          <w:rFonts w:ascii="Arial" w:cs="Arial" w:eastAsia="Arial" w:hAnsi="Arial"/>
          <w:b/>
          <w:bCs/>
          <w:color w:val="2C3240"/>
          <w:sz w:val="26"/>
          <w:szCs w:val="26"/>
        </w:rPr>
        <w:t xml:space="preserve">1.4  Revenue Path</w:t>
      </w:r>
    </w:p>
    <w:p>
      <w:pPr>
        <w:spacing w:after="80" w:before="60"/>
      </w:pPr>
      <w:r>
        <w:rPr>
          <w:rFonts w:ascii="Arial" w:cs="Arial" w:eastAsia="Arial" w:hAnsi="Arial"/>
          <w:color w:val="5C6475"/>
          <w:sz w:val="20"/>
          <w:szCs w:val="20"/>
        </w:rPr>
        <w:t xml:space="preserve">At NZD $49/month beta, 50 customers = $29,400 ARR. At $89/month Growth with 200 customers = $213,600 ARR. At 1,000 customers NZ + AU Year 3 = $1.07M+ ARR from subscriptions. Add Unrestricted enterprise contracts ($400-800/month) and the path to NZD $2M+ ARR at Year 3 is achievable without any architectural pivot.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8B12" w:sz="4"/>
              <w:left w:val="single" w:color="D08B12" w:sz="4"/>
              <w:bottom w:val="single" w:color="D08B12" w:sz="4"/>
              <w:right w:val="single" w:color="D08B12" w:sz="4"/>
            </w:tcBorders>
            <w:shd w:fill="FEF3E2" w:val="clear"/>
            <w:tcMar>
              <w:top w:type="dxa" w:w="120"/>
              <w:left w:type="dxa" w:w="160"/>
              <w:bottom w:type="dxa" w:w="120"/>
              <w:right w:type="dxa" w:w="160"/>
            </w:tcMar>
          </w:tcPr>
          <w:p>
            <w:pPr>
              <w:spacing w:after="0" w:before="0"/>
            </w:pPr>
            <w:r>
              <w:rPr>
                <w:rFonts w:ascii="Arial" w:cs="Arial" w:eastAsia="Arial" w:hAnsi="Arial"/>
                <w:b/>
                <w:bCs/>
                <w:color w:val="D08B12"/>
                <w:sz w:val="18"/>
                <w:szCs w:val="18"/>
              </w:rPr>
              <w:t xml:space="preserve">RISK  </w:t>
            </w:r>
            <w:r>
              <w:rPr>
                <w:rFonts w:ascii="Arial" w:cs="Arial" w:eastAsia="Arial" w:hAnsi="Arial"/>
                <w:color w:val="2C3240"/>
                <w:sz w:val="18"/>
                <w:szCs w:val="18"/>
              </w:rPr>
              <w:t xml:space="preserve">Revenue projections assume monthly churn below 4%. This requires genuine week-1 value delivery. If first real agent actions are not happening for &gt;90% of new customers in week 1, these projections are wrong.</w:t>
            </w:r>
          </w:p>
        </w:tc>
      </w:tr>
    </w:tbl>
    <w:p>
      <w:r>
        <w:br w:type="page"/>
      </w:r>
    </w:p>
    <w:p>
      <w:pPr>
        <w:pStyle w:val="Heading1"/>
        <w:pBdr>
          <w:bottom w:val="single" w:color="5A4FD0" w:sz="8" w:space="4"/>
        </w:pBdr>
        <w:spacing w:after="160" w:before="440"/>
      </w:pPr>
      <w:r>
        <w:rPr>
          <w:rFonts w:ascii="Arial" w:cs="Arial" w:eastAsia="Arial" w:hAnsi="Arial"/>
          <w:b/>
          <w:bCs/>
          <w:color w:val="2C3240"/>
          <w:sz w:val="36"/>
          <w:szCs w:val="36"/>
        </w:rPr>
        <w:t xml:space="preserve">2. Market &amp; Ideal Customer Profile</w:t>
      </w:r>
    </w:p>
    <w:p>
      <w:pPr>
        <w:pStyle w:val="Heading2"/>
        <w:spacing w:after="100" w:before="300"/>
      </w:pPr>
      <w:r>
        <w:rPr>
          <w:rFonts w:ascii="Arial" w:cs="Arial" w:eastAsia="Arial" w:hAnsi="Arial"/>
          <w:b/>
          <w:bCs/>
          <w:color w:val="2C3240"/>
          <w:sz w:val="26"/>
          <w:szCs w:val="26"/>
        </w:rPr>
        <w:t xml:space="preserve">2.1  Market Sizing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200"/>
        <w:gridCol w:w="1800"/>
        <w:gridCol w:w="2860"/>
      </w:tblGrid>
      <w:tr>
        <w:tc>
          <w:tcPr>
            <w:tcW w:type="dxa" w:w="15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Layer</w:t>
            </w:r>
          </w:p>
        </w:tc>
        <w:tc>
          <w:tcPr>
            <w:tcW w:type="dxa" w:w="32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Definition</w:t>
            </w:r>
          </w:p>
        </w:tc>
        <w:tc>
          <w:tcPr>
            <w:tcW w:type="dxa" w:w="18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Businesses</w:t>
            </w:r>
          </w:p>
        </w:tc>
        <w:tc>
          <w:tcPr>
            <w:tcW w:type="dxa" w:w="286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ARR at $89/mo NZD</w:t>
            </w:r>
          </w:p>
        </w:tc>
      </w:tr>
      <w:tr>
        <w:tc>
          <w:tcPr>
            <w:tcW w:type="dxa" w:w="15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TAM</w:t>
            </w:r>
          </w:p>
        </w:tc>
        <w:tc>
          <w:tcPr>
            <w:tcW w:type="dxa" w:w="32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All NZ service SMEs, 5–25 employees</w:t>
            </w:r>
          </w:p>
        </w:tc>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~38,000</w:t>
            </w:r>
          </w:p>
        </w:tc>
        <w:tc>
          <w:tcPr>
            <w:tcW w:type="dxa" w:w="28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$40.6M</w:t>
            </w:r>
          </w:p>
        </w:tc>
      </w:tr>
      <w:tr>
        <w:tc>
          <w:tcPr>
            <w:tcW w:type="dxa" w:w="15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SAM</w:t>
            </w:r>
          </w:p>
        </w:tc>
        <w:tc>
          <w:tcPr>
            <w:tcW w:type="dxa" w:w="32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South Island service SMEs (ICP industries)</w:t>
            </w:r>
          </w:p>
        </w:tc>
        <w:tc>
          <w:tcPr>
            <w:tcW w:type="dxa" w:w="1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~6,200</w:t>
            </w:r>
          </w:p>
        </w:tc>
        <w:tc>
          <w:tcPr>
            <w:tcW w:type="dxa" w:w="28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$6.6M</w:t>
            </w:r>
          </w:p>
        </w:tc>
      </w:tr>
      <w:tr>
        <w:tc>
          <w:tcPr>
            <w:tcW w:type="dxa" w:w="15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SOM Year 1</w:t>
            </w:r>
          </w:p>
        </w:tc>
        <w:tc>
          <w:tcPr>
            <w:tcW w:type="dxa" w:w="32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Queenstown-Lakes ICP businesses</w:t>
            </w:r>
          </w:p>
        </w:tc>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~420</w:t>
            </w:r>
          </w:p>
        </w:tc>
        <w:tc>
          <w:tcPr>
            <w:tcW w:type="dxa" w:w="28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$449K</w:t>
            </w:r>
          </w:p>
        </w:tc>
      </w:tr>
      <w:tr>
        <w:tc>
          <w:tcPr>
            <w:tcW w:type="dxa" w:w="15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SOM Year 2</w:t>
            </w:r>
          </w:p>
        </w:tc>
        <w:tc>
          <w:tcPr>
            <w:tcW w:type="dxa" w:w="32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Full South Island + early AU expansion</w:t>
            </w:r>
          </w:p>
        </w:tc>
        <w:tc>
          <w:tcPr>
            <w:tcW w:type="dxa" w:w="1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~1,800</w:t>
            </w:r>
          </w:p>
        </w:tc>
        <w:tc>
          <w:tcPr>
            <w:tcW w:type="dxa" w:w="28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$1.92M</w:t>
            </w:r>
          </w:p>
        </w:tc>
      </w:tr>
      <w:tr>
        <w:tc>
          <w:tcPr>
            <w:tcW w:type="dxa" w:w="15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SOM Year 3</w:t>
            </w:r>
          </w:p>
        </w:tc>
        <w:tc>
          <w:tcPr>
            <w:tcW w:type="dxa" w:w="32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NZ national + AU regional markets</w:t>
            </w:r>
          </w:p>
        </w:tc>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~4,500</w:t>
            </w:r>
          </w:p>
        </w:tc>
        <w:tc>
          <w:tcPr>
            <w:tcW w:type="dxa" w:w="28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$4.8M</w:t>
            </w:r>
          </w:p>
        </w:tc>
      </w:tr>
    </w:tbl>
    <w:p>
      <w:pPr>
        <w:pStyle w:val="Heading2"/>
        <w:spacing w:after="100" w:before="300"/>
      </w:pPr>
      <w:r>
        <w:rPr>
          <w:rFonts w:ascii="Arial" w:cs="Arial" w:eastAsia="Arial" w:hAnsi="Arial"/>
          <w:b/>
          <w:bCs/>
          <w:color w:val="2C3240"/>
          <w:sz w:val="26"/>
          <w:szCs w:val="26"/>
        </w:rPr>
        <w:t xml:space="preserve">2.2  ICP Summary</w:t>
      </w:r>
    </w:p>
    <w:p>
      <w:pPr>
        <w:spacing w:after="80" w:before="60"/>
      </w:pPr>
      <w:r>
        <w:rPr>
          <w:rFonts w:ascii="Arial" w:cs="Arial" w:eastAsia="Arial" w:hAnsi="Arial"/>
          <w:color w:val="5C6475"/>
          <w:sz w:val="20"/>
          <w:szCs w:val="20"/>
        </w:rPr>
        <w:t xml:space="preserve">A time-poor NZ South Island owner-operator of a 5–25 person service business who has outgrown spreadsheets, has no IT staff, and needs their evenings back. Small business owners spend an average of 16 hours per week — two full workdays — on administrative tasks. Entrepreneurs spend 36% of their workweek on admin including invoicing, data entry, schedule management, and document formatting. The ICP has never been properly served. The switching cost is from Gmail + spreadsheets + muscle memory, not from a competing product.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160"/>
      </w:tblGrid>
      <w:tr>
        <w:tc>
          <w:tcPr>
            <w:tcW w:type="dxa" w:w="24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Industry</w:t>
            </w:r>
          </w:p>
        </w:tc>
        <w:tc>
          <w:tcPr>
            <w:tcW w:type="dxa" w:w="38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Core pain</w:t>
            </w:r>
          </w:p>
        </w:tc>
        <w:tc>
          <w:tcPr>
            <w:tcW w:type="dxa" w:w="316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Primary entry trigger</w:t>
            </w:r>
          </w:p>
        </w:tc>
      </w:tr>
      <w:tr>
        <w:tc>
          <w:tcPr>
            <w:tcW w:type="dxa" w:w="2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Adventure tourism &amp; activity operators</w:t>
            </w:r>
          </w:p>
        </w:tc>
        <w:tc>
          <w:tcPr>
            <w:tcW w:type="dxa" w:w="3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Manual booking confirmations, slow quote response, seasonal spikes</w:t>
            </w:r>
          </w:p>
        </w:tc>
        <w:tc>
          <w:tcPr>
            <w:tcW w:type="dxa" w:w="31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Lost contract to competitor responding same-day</w:t>
            </w:r>
          </w:p>
        </w:tc>
      </w:tr>
      <w:tr>
        <w:tc>
          <w:tcPr>
            <w:tcW w:type="dxa" w:w="2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Trades (builders, electricians, plumbers)</w:t>
            </w:r>
          </w:p>
        </w:tc>
        <w:tc>
          <w:tcPr>
            <w:tcW w:type="dxa" w:w="3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Quoting in owner's head, job management on whiteboard, no process docs</w:t>
            </w:r>
          </w:p>
        </w:tc>
        <w:tc>
          <w:tcPr>
            <w:tcW w:type="dxa" w:w="31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Key person leaves, all process knowledge walks out</w:t>
            </w:r>
          </w:p>
        </w:tc>
      </w:tr>
      <w:tr>
        <w:tc>
          <w:tcPr>
            <w:tcW w:type="dxa" w:w="2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Allied health (physio, dental, chiro)</w:t>
            </w:r>
          </w:p>
        </w:tc>
        <w:tc>
          <w:tcPr>
            <w:tcW w:type="dxa" w:w="3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Patient follow-ups, staff scheduling, fragmented admin alongside clinical work</w:t>
            </w:r>
          </w:p>
        </w:tc>
        <w:tc>
          <w:tcPr>
            <w:tcW w:type="dxa" w:w="31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Practice growth exceeds owner bandwidth</w:t>
            </w:r>
          </w:p>
        </w:tc>
      </w:tr>
      <w:tr>
        <w:tc>
          <w:tcPr>
            <w:tcW w:type="dxa" w:w="2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Accommodation (lodges, motels)</w:t>
            </w:r>
          </w:p>
        </w:tc>
        <w:tc>
          <w:tcPr>
            <w:tcW w:type="dxa" w:w="3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Booking coordination, guest follow-ups, maintenance rostering</w:t>
            </w:r>
          </w:p>
        </w:tc>
        <w:tc>
          <w:tcPr>
            <w:tcW w:type="dxa" w:w="31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Post-peak season reckoning</w:t>
            </w:r>
          </w:p>
        </w:tc>
      </w:tr>
      <w:tr>
        <w:tc>
          <w:tcPr>
            <w:tcW w:type="dxa" w:w="2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Hospitality (cafes, catering)</w:t>
            </w:r>
          </w:p>
        </w:tc>
        <w:tc>
          <w:tcPr>
            <w:tcW w:type="dxa" w:w="3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Staff rostering, supplier coordination, high turnover</w:t>
            </w:r>
          </w:p>
        </w:tc>
        <w:tc>
          <w:tcPr>
            <w:tcW w:type="dxa" w:w="31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Peak hiring crunch or season preparation</w:t>
            </w:r>
          </w:p>
        </w:tc>
      </w:tr>
    </w:tbl>
    <w:p>
      <w:r>
        <w:br w:type="page"/>
      </w:r>
    </w:p>
    <w:p>
      <w:pPr>
        <w:pStyle w:val="Heading1"/>
        <w:pBdr>
          <w:bottom w:val="single" w:color="5A4FD0" w:sz="8" w:space="4"/>
        </w:pBdr>
        <w:spacing w:after="160" w:before="440"/>
      </w:pPr>
      <w:r>
        <w:rPr>
          <w:rFonts w:ascii="Arial" w:cs="Arial" w:eastAsia="Arial" w:hAnsi="Arial"/>
          <w:b/>
          <w:bCs/>
          <w:color w:val="2C3240"/>
          <w:sz w:val="36"/>
          <w:szCs w:val="36"/>
        </w:rPr>
        <w:t xml:space="preserve">3. Technical Architecture</w:t>
      </w:r>
    </w:p>
    <w:p>
      <w:pPr>
        <w:pStyle w:val="Heading2"/>
        <w:spacing w:after="100" w:before="300"/>
      </w:pPr>
      <w:r>
        <w:rPr>
          <w:rFonts w:ascii="Arial" w:cs="Arial" w:eastAsia="Arial" w:hAnsi="Arial"/>
          <w:b/>
          <w:bCs/>
          <w:color w:val="2C3240"/>
          <w:sz w:val="26"/>
          <w:szCs w:val="26"/>
        </w:rPr>
        <w:t xml:space="preserve">3.1  Multi-Provider Email &amp; Calendar Abstraction — Critical Design Decision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ED9D0" w:sz="4"/>
              <w:left w:val="single" w:color="DED9D0" w:sz="4"/>
              <w:bottom w:val="single" w:color="DED9D0" w:sz="4"/>
              <w:right w:val="single" w:color="DED9D0" w:sz="4"/>
            </w:tcBorders>
            <w:shd w:fill="EDE6D8" w:val="clear"/>
            <w:tcMar>
              <w:top w:type="dxa" w:w="120"/>
              <w:left w:type="dxa" w:w="160"/>
              <w:bottom w:type="dxa" w:w="120"/>
              <w:right w:type="dxa" w:w="160"/>
            </w:tcMar>
          </w:tcPr>
          <w:p>
            <w:pPr>
              <w:spacing w:after="0" w:before="0"/>
            </w:pPr>
            <w:r>
              <w:rPr>
                <w:rFonts w:ascii="Arial" w:cs="Arial" w:eastAsia="Arial" w:hAnsi="Arial"/>
                <w:b/>
                <w:bCs/>
                <w:color w:val="2C3240"/>
                <w:sz w:val="18"/>
                <w:szCs w:val="18"/>
              </w:rPr>
              <w:t xml:space="preserve">BUILD  </w:t>
            </w:r>
            <w:r>
              <w:rPr>
                <w:rFonts w:ascii="Arial" w:cs="Arial" w:eastAsia="Arial" w:hAnsi="Arial"/>
                <w:color w:val="2C3240"/>
                <w:sz w:val="18"/>
                <w:szCs w:val="18"/>
              </w:rPr>
              <w:t xml:space="preserve">This interface MUST be built before any provider-specific code. Building directly on Gmail API without this abstraction creates 3-4 weeks of refactor debt when Outlook is added. The interface costs 2-3 days now. Do it first.</w:t>
            </w:r>
          </w:p>
        </w:tc>
      </w:tr>
    </w:tbl>
    <w:p>
      <w:pPr>
        <w:spacing w:after="0" w:before="80"/>
      </w:pPr>
      <w:r>
        <w:rPr>
          <w:rFonts w:ascii="Arial" w:cs="Arial" w:eastAsia="Arial" w:hAnsi="Arial"/>
          <w:color w:val="2C3240"/>
          <w:sz w:val="20"/>
          <w:szCs w:val="20"/>
        </w:rPr>
        <w:t xml:space="preserve"/>
      </w:r>
    </w:p>
    <w:p>
      <w:pPr>
        <w:spacing w:after="80" w:before="60"/>
      </w:pPr>
      <w:r>
        <w:rPr>
          <w:rFonts w:ascii="Arial" w:cs="Arial" w:eastAsia="Arial" w:hAnsi="Arial"/>
          <w:color w:val="5C6475"/>
          <w:sz w:val="20"/>
          <w:szCs w:val="20"/>
        </w:rPr>
        <w:t xml:space="preserve">Olivander's ICP uses Gmail, Microsoft 365/Outlook, and in some cases Apple iCloud or custom IMAP. The product must support all of these. The correct architecture is a provider-agnostic interface layer with concrete implementations per provider. The Orchestrator and all Workers only ever call the interface — never a provider directly.</w:t>
      </w:r>
    </w:p>
    <w:p>
      <w:r>
        <w:t>Owner requirement added 2026-05-03: Microsoft Outlook/Microsoft 365 is a required first-class connection, not an optional long-term extra. Many target businesses use Outlook instead of Gmail, so Olivander must support Microsoft Graph for Outlook mail, Outlook calendar, thread fetch, send, webhook subscriptions, token refresh, and owner disconnect/reconnect flows through the same provider interfaces.</w:t>
      </w:r>
    </w:p>
    <w:p>
      <w:pPr>
        <w:pStyle w:val="Heading3"/>
        <w:spacing w:after="80" w:before="200"/>
      </w:pPr>
      <w:r>
        <w:rPr>
          <w:rFonts w:ascii="Arial" w:cs="Arial" w:eastAsia="Arial" w:hAnsi="Arial"/>
          <w:b/>
          <w:bCs/>
          <w:color w:val="5A4FD0"/>
          <w:sz w:val="22"/>
          <w:szCs w:val="22"/>
        </w:rPr>
        <w:t xml:space="preserve">EmailProvider Interface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c>
          <w:tcPr>
            <w:tcW w:type="dxa" w:w="18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Method</w:t>
            </w:r>
          </w:p>
        </w:tc>
        <w:tc>
          <w:tcPr>
            <w:tcW w:type="dxa" w:w="32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Signature</w:t>
            </w:r>
          </w:p>
        </w:tc>
        <w:tc>
          <w:tcPr>
            <w:tcW w:type="dxa" w:w="436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Notes</w:t>
            </w:r>
          </w:p>
        </w:tc>
      </w:tr>
      <w:tr>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connect</w:t>
            </w:r>
          </w:p>
        </w:tc>
        <w:tc>
          <w:tcPr>
            <w:tcW w:type="dxa" w:w="32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connect(credentials) → Connection</w:t>
            </w:r>
          </w:p>
        </w:tc>
        <w:tc>
          <w:tcPr>
            <w:tcW w:type="dxa" w:w="43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Handles OAuth2 or app password depending on provider</w:t>
            </w:r>
          </w:p>
        </w:tc>
      </w:tr>
      <w:tr>
        <w:tc>
          <w:tcPr>
            <w:tcW w:type="dxa" w:w="1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watch</w:t>
            </w:r>
          </w:p>
        </w:tc>
        <w:tc>
          <w:tcPr>
            <w:tcW w:type="dxa" w:w="32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watch(inbox, webhook_url) → Subscription</w:t>
            </w:r>
          </w:p>
        </w:tc>
        <w:tc>
          <w:tcPr>
            <w:tcW w:type="dxa" w:w="43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Gmail: Cloud Pub/Sub. Outlook: Microsoft Graph webhooks. IMAP: polling fallback.</w:t>
            </w:r>
          </w:p>
        </w:tc>
      </w:tr>
      <w:tr>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fetch_thread</w:t>
            </w:r>
          </w:p>
        </w:tc>
        <w:tc>
          <w:tcPr>
            <w:tcW w:type="dxa" w:w="32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fetch_thread(thread_id) → Thread</w:t>
            </w:r>
          </w:p>
        </w:tc>
        <w:tc>
          <w:tcPr>
            <w:tcW w:type="dxa" w:w="43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Returns full thread. Never just the latest message.</w:t>
            </w:r>
          </w:p>
        </w:tc>
      </w:tr>
      <w:tr>
        <w:tc>
          <w:tcPr>
            <w:tcW w:type="dxa" w:w="1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send</w:t>
            </w:r>
          </w:p>
        </w:tc>
        <w:tc>
          <w:tcPr>
            <w:tcW w:type="dxa" w:w="32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send(message) → MessageId</w:t>
            </w:r>
          </w:p>
        </w:tc>
        <w:tc>
          <w:tcPr>
            <w:tcW w:type="dxa" w:w="43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Handles SMTP or native API depending on provider</w:t>
            </w:r>
          </w:p>
        </w:tc>
      </w:tr>
      <w:tr>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list_unread</w:t>
            </w:r>
          </w:p>
        </w:tc>
        <w:tc>
          <w:tcPr>
            <w:tcW w:type="dxa" w:w="32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list_unread(since) → [Message]</w:t>
            </w:r>
          </w:p>
        </w:tc>
        <w:tc>
          <w:tcPr>
            <w:tcW w:type="dxa" w:w="43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Used for initial sync and catch-up after downtime</w:t>
            </w:r>
          </w:p>
        </w:tc>
      </w:tr>
      <w:tr>
        <w:tc>
          <w:tcPr>
            <w:tcW w:type="dxa" w:w="1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mark_read</w:t>
            </w:r>
          </w:p>
        </w:tc>
        <w:tc>
          <w:tcPr>
            <w:tcW w:type="dxa" w:w="32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mark_read(message_id) → bool</w:t>
            </w:r>
          </w:p>
        </w:tc>
        <w:tc>
          <w:tcPr>
            <w:tcW w:type="dxa" w:w="43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Mark processed messages</w:t>
            </w:r>
          </w:p>
        </w:tc>
      </w:tr>
      <w:tr>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get_attachments</w:t>
            </w:r>
          </w:p>
        </w:tc>
        <w:tc>
          <w:tcPr>
            <w:tcW w:type="dxa" w:w="32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get_attachments(message_id) → [Attachment]</w:t>
            </w:r>
          </w:p>
        </w:tc>
        <w:tc>
          <w:tcPr>
            <w:tcW w:type="dxa" w:w="43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Returns binary + metadata for expense capture and document workflows</w:t>
            </w:r>
          </w:p>
        </w:tc>
      </w:tr>
    </w:tbl>
    <w:p>
      <w:pPr>
        <w:pStyle w:val="Heading3"/>
        <w:spacing w:after="80" w:before="200"/>
      </w:pPr>
      <w:r>
        <w:rPr>
          <w:rFonts w:ascii="Arial" w:cs="Arial" w:eastAsia="Arial" w:hAnsi="Arial"/>
          <w:b/>
          <w:bCs/>
          <w:color w:val="5A4FD0"/>
          <w:sz w:val="22"/>
          <w:szCs w:val="22"/>
        </w:rPr>
        <w:t xml:space="preserve">CalendarProvider Interface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c>
          <w:tcPr>
            <w:tcW w:type="dxa" w:w="18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Method</w:t>
            </w:r>
          </w:p>
        </w:tc>
        <w:tc>
          <w:tcPr>
            <w:tcW w:type="dxa" w:w="32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Signature</w:t>
            </w:r>
          </w:p>
        </w:tc>
        <w:tc>
          <w:tcPr>
            <w:tcW w:type="dxa" w:w="436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Notes</w:t>
            </w:r>
          </w:p>
        </w:tc>
      </w:tr>
      <w:tr>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connect</w:t>
            </w:r>
          </w:p>
        </w:tc>
        <w:tc>
          <w:tcPr>
            <w:tcW w:type="dxa" w:w="32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connect(credentials) → Connection</w:t>
            </w:r>
          </w:p>
        </w:tc>
        <w:tc>
          <w:tcPr>
            <w:tcW w:type="dxa" w:w="43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OAuth2 per provider</w:t>
            </w:r>
          </w:p>
        </w:tc>
      </w:tr>
      <w:tr>
        <w:tc>
          <w:tcPr>
            <w:tcW w:type="dxa" w:w="1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watch</w:t>
            </w:r>
          </w:p>
        </w:tc>
        <w:tc>
          <w:tcPr>
            <w:tcW w:type="dxa" w:w="32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watch(calendar_id, webhook_url) → Subscription</w:t>
            </w:r>
          </w:p>
        </w:tc>
        <w:tc>
          <w:tcPr>
            <w:tcW w:type="dxa" w:w="43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Real-time push notifications</w:t>
            </w:r>
          </w:p>
        </w:tc>
      </w:tr>
      <w:tr>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get_availability</w:t>
            </w:r>
          </w:p>
        </w:tc>
        <w:tc>
          <w:tcPr>
            <w:tcW w:type="dxa" w:w="32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get_availability(start, end, buffer_mins) → [Slot]</w:t>
            </w:r>
          </w:p>
        </w:tc>
        <w:tc>
          <w:tcPr>
            <w:tcW w:type="dxa" w:w="43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Checks all calendars + buffer rules</w:t>
            </w:r>
          </w:p>
        </w:tc>
      </w:tr>
      <w:tr>
        <w:tc>
          <w:tcPr>
            <w:tcW w:type="dxa" w:w="1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create_event</w:t>
            </w:r>
          </w:p>
        </w:tc>
        <w:tc>
          <w:tcPr>
            <w:tcW w:type="dxa" w:w="32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create_event(event) → EventId</w:t>
            </w:r>
          </w:p>
        </w:tc>
        <w:tc>
          <w:tcPr>
            <w:tcW w:type="dxa" w:w="43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Creates on owner + client calendar</w:t>
            </w:r>
          </w:p>
        </w:tc>
      </w:tr>
      <w:tr>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update_event</w:t>
            </w:r>
          </w:p>
        </w:tc>
        <w:tc>
          <w:tcPr>
            <w:tcW w:type="dxa" w:w="32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update_event(event_id, changes) → EventId</w:t>
            </w:r>
          </w:p>
        </w:tc>
        <w:tc>
          <w:tcPr>
            <w:tcW w:type="dxa" w:w="43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For rescheduling</w:t>
            </w:r>
          </w:p>
        </w:tc>
      </w:tr>
      <w:tr>
        <w:tc>
          <w:tcPr>
            <w:tcW w:type="dxa" w:w="1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delete_event</w:t>
            </w:r>
          </w:p>
        </w:tc>
        <w:tc>
          <w:tcPr>
            <w:tcW w:type="dxa" w:w="32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delete_event(event_id) → bool</w:t>
            </w:r>
          </w:p>
        </w:tc>
        <w:tc>
          <w:tcPr>
            <w:tcW w:type="dxa" w:w="43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For cancellations</w:t>
            </w:r>
          </w:p>
        </w:tc>
      </w:tr>
      <w:tr>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list_events</w:t>
            </w:r>
          </w:p>
        </w:tc>
        <w:tc>
          <w:tcPr>
            <w:tcW w:type="dxa" w:w="32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list_events(start, end) → [Event]</w:t>
            </w:r>
          </w:p>
        </w:tc>
        <w:tc>
          <w:tcPr>
            <w:tcW w:type="dxa" w:w="43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Used for rostering + capacity intelligence</w:t>
            </w:r>
          </w:p>
        </w:tc>
      </w:tr>
    </w:tbl>
    <w:p>
      <w:pPr>
        <w:pStyle w:val="Heading3"/>
        <w:spacing w:after="80" w:before="200"/>
      </w:pPr>
      <w:r>
        <w:rPr>
          <w:rFonts w:ascii="Arial" w:cs="Arial" w:eastAsia="Arial" w:hAnsi="Arial"/>
          <w:b/>
          <w:bCs/>
          <w:color w:val="5A4FD0"/>
          <w:sz w:val="22"/>
          <w:szCs w:val="22"/>
        </w:rPr>
        <w:t xml:space="preserve">AccountingProvider Interface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4760"/>
      </w:tblGrid>
      <w:tr>
        <w:tc>
          <w:tcPr>
            <w:tcW w:type="dxa" w:w="18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Method</w:t>
            </w:r>
          </w:p>
        </w:tc>
        <w:tc>
          <w:tcPr>
            <w:tcW w:type="dxa" w:w="28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Signature</w:t>
            </w:r>
          </w:p>
        </w:tc>
        <w:tc>
          <w:tcPr>
            <w:tcW w:type="dxa" w:w="476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Notes</w:t>
            </w:r>
          </w:p>
        </w:tc>
      </w:tr>
      <w:tr>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create_invoice</w:t>
            </w:r>
          </w:p>
        </w:tc>
        <w:tc>
          <w:tcPr>
            <w:tcW w:type="dxa" w:w="2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create_invoice(invoice) → InvoiceId</w:t>
            </w:r>
          </w:p>
        </w:tc>
        <w:tc>
          <w:tcPr>
            <w:tcW w:type="dxa" w:w="47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Xero MVP. MYOB Phase 2.</w:t>
            </w:r>
          </w:p>
        </w:tc>
      </w:tr>
      <w:tr>
        <w:tc>
          <w:tcPr>
            <w:tcW w:type="dxa" w:w="1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get_payment_status</w:t>
            </w:r>
          </w:p>
        </w:tc>
        <w:tc>
          <w:tcPr>
            <w:tcW w:type="dxa" w:w="2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get_payment_status(invoice_id) → Status</w:t>
            </w:r>
          </w:p>
        </w:tc>
        <w:tc>
          <w:tcPr>
            <w:tcW w:type="dxa" w:w="47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Called live before every chaser. No caching ever.</w:t>
            </w:r>
          </w:p>
        </w:tc>
      </w:tr>
      <w:tr>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list_overdue</w:t>
            </w:r>
          </w:p>
        </w:tc>
        <w:tc>
          <w:tcPr>
            <w:tcW w:type="dxa" w:w="2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list_overdue(days) → [Invoice]</w:t>
            </w:r>
          </w:p>
        </w:tc>
        <w:tc>
          <w:tcPr>
            <w:tcW w:type="dxa" w:w="47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Used for cash position summary</w:t>
            </w:r>
          </w:p>
        </w:tc>
      </w:tr>
      <w:tr>
        <w:tc>
          <w:tcPr>
            <w:tcW w:type="dxa" w:w="1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create_expense</w:t>
            </w:r>
          </w:p>
        </w:tc>
        <w:tc>
          <w:tcPr>
            <w:tcW w:type="dxa" w:w="2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create_expense(expense) → ExpenseId</w:t>
            </w:r>
          </w:p>
        </w:tc>
        <w:tc>
          <w:tcPr>
            <w:tcW w:type="dxa" w:w="47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New in v6 — expense capture workflow</w:t>
            </w:r>
          </w:p>
        </w:tc>
      </w:tr>
      <w:tr>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get_bank_balance</w:t>
            </w:r>
          </w:p>
        </w:tc>
        <w:tc>
          <w:tcPr>
            <w:tcW w:type="dxa" w:w="2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get_bank_balance() → Balance</w:t>
            </w:r>
          </w:p>
        </w:tc>
        <w:tc>
          <w:tcPr>
            <w:tcW w:type="dxa" w:w="47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Used for cash position summary</w:t>
            </w:r>
          </w:p>
        </w:tc>
      </w:tr>
      <w:tr>
        <w:tc>
          <w:tcPr>
            <w:tcW w:type="dxa" w:w="1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create_quote</w:t>
            </w:r>
          </w:p>
        </w:tc>
        <w:tc>
          <w:tcPr>
            <w:tcW w:type="dxa" w:w="2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create_quote(quote) → QuoteId</w:t>
            </w:r>
          </w:p>
        </w:tc>
        <w:tc>
          <w:tcPr>
            <w:tcW w:type="dxa" w:w="47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New in v6 — quote generation workflow</w:t>
            </w:r>
          </w:p>
        </w:tc>
      </w:tr>
      <w:tr>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get_contact</w:t>
            </w:r>
          </w:p>
        </w:tc>
        <w:tc>
          <w:tcPr>
            <w:tcW w:type="dxa" w:w="2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get_contact(email_or_name) → Contact</w:t>
            </w:r>
          </w:p>
        </w:tc>
        <w:tc>
          <w:tcPr>
            <w:tcW w:type="dxa" w:w="47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Cross-reference with memory system</w:t>
            </w:r>
          </w:p>
        </w:tc>
      </w:tr>
    </w:tbl>
    <w:p>
      <w:pPr>
        <w:pStyle w:val="Heading2"/>
        <w:spacing w:after="100" w:before="300"/>
      </w:pPr>
      <w:r>
        <w:rPr>
          <w:rFonts w:ascii="Arial" w:cs="Arial" w:eastAsia="Arial" w:hAnsi="Arial"/>
          <w:b/>
          <w:bCs/>
          <w:color w:val="2C3240"/>
          <w:sz w:val="26"/>
          <w:szCs w:val="26"/>
        </w:rPr>
        <w:t xml:space="preserve">3.2  Current Stack</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1800"/>
        <w:gridCol w:w="3160"/>
      </w:tblGrid>
      <w:tr>
        <w:tc>
          <w:tcPr>
            <w:tcW w:type="dxa" w:w="18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Layer</w:t>
            </w:r>
          </w:p>
        </w:tc>
        <w:tc>
          <w:tcPr>
            <w:tcW w:type="dxa" w:w="28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Technology</w:t>
            </w:r>
          </w:p>
        </w:tc>
        <w:tc>
          <w:tcPr>
            <w:tcW w:type="dxa" w:w="18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Hosting</w:t>
            </w:r>
          </w:p>
        </w:tc>
        <w:tc>
          <w:tcPr>
            <w:tcW w:type="dxa" w:w="316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Status</w:t>
            </w:r>
          </w:p>
        </w:tc>
      </w:tr>
      <w:tr>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Frontend</w:t>
            </w:r>
          </w:p>
        </w:tc>
        <w:tc>
          <w:tcPr>
            <w:tcW w:type="dxa" w:w="2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React / Vite (PWA)</w:t>
            </w:r>
          </w:p>
        </w:tc>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Vercel</w:t>
            </w:r>
          </w:p>
        </w:tc>
        <w:tc>
          <w:tcPr>
            <w:tcW w:type="dxa" w:w="31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Live — olivander.vercel.app</w:t>
            </w:r>
          </w:p>
        </w:tc>
      </w:tr>
      <w:tr>
        <w:tc>
          <w:tcPr>
            <w:tcW w:type="dxa" w:w="1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Backend API</w:t>
            </w:r>
          </w:p>
        </w:tc>
        <w:tc>
          <w:tcPr>
            <w:tcW w:type="dxa" w:w="2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FastAPI (Python)</w:t>
            </w:r>
          </w:p>
        </w:tc>
        <w:tc>
          <w:tcPr>
            <w:tcW w:type="dxa" w:w="1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Railway</w:t>
            </w:r>
          </w:p>
        </w:tc>
        <w:tc>
          <w:tcPr>
            <w:tcW w:type="dxa" w:w="31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Live — olivander-production.up.railway.app</w:t>
            </w:r>
          </w:p>
        </w:tc>
      </w:tr>
      <w:tr>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Database</w:t>
            </w:r>
          </w:p>
        </w:tc>
        <w:tc>
          <w:tcPr>
            <w:tcW w:type="dxa" w:w="2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Supabase (PostgreSQL + pgvector)</w:t>
            </w:r>
          </w:p>
        </w:tc>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Supabase</w:t>
            </w:r>
          </w:p>
        </w:tc>
        <w:tc>
          <w:tcPr>
            <w:tcW w:type="dxa" w:w="31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Active</w:t>
            </w:r>
          </w:p>
        </w:tc>
      </w:tr>
      <w:tr>
        <w:tc>
          <w:tcPr>
            <w:tcW w:type="dxa" w:w="1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AI — primary</w:t>
            </w:r>
          </w:p>
        </w:tc>
        <w:tc>
          <w:tcPr>
            <w:tcW w:type="dxa" w:w="2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Groq llama-3.3-70b-versatile</w:t>
            </w:r>
          </w:p>
        </w:tc>
        <w:tc>
          <w:tcPr>
            <w:tcW w:type="dxa" w:w="1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Groq</w:t>
            </w:r>
          </w:p>
        </w:tc>
        <w:tc>
          <w:tcPr>
            <w:tcW w:type="dxa" w:w="31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Pipeline tested and passing</w:t>
            </w:r>
          </w:p>
        </w:tc>
      </w:tr>
      <w:tr>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AI — web research</w:t>
            </w:r>
          </w:p>
        </w:tc>
        <w:tc>
          <w:tcPr>
            <w:tcW w:type="dxa" w:w="2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Brave Search API + Groq synthesis</w:t>
            </w:r>
          </w:p>
        </w:tc>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External APIs</w:t>
            </w:r>
          </w:p>
        </w:tc>
        <w:tc>
          <w:tcPr>
            <w:tcW w:type="dxa" w:w="31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 — new in v6</w:t>
            </w:r>
          </w:p>
        </w:tc>
      </w:tr>
      <w:tr>
        <w:tc>
          <w:tcPr>
            <w:tcW w:type="dxa" w:w="1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Email/Calendar (MVP)</w:t>
            </w:r>
          </w:p>
        </w:tc>
        <w:tc>
          <w:tcPr>
            <w:tcW w:type="dxa" w:w="2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r>
              <w:rPr>
                <w:rFonts w:ascii="Arial" w:hAnsi="Arial"/>
                <w:b w:val="0"/>
                <w:sz w:val="17"/>
              </w:rPr>
              <w:t>Gmail API + Google Calendar API (MVP); Microsoft Graph Outlook/Calendar required next provider</w:t>
            </w:r>
          </w:p>
        </w:tc>
        <w:tc>
          <w:tcPr>
            <w:tcW w:type="dxa" w:w="1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Google</w:t>
            </w:r>
          </w:p>
        </w:tc>
        <w:tc>
          <w:tcPr>
            <w:tcW w:type="dxa" w:w="31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OAuth under debug</w:t>
            </w:r>
          </w:p>
        </w:tc>
      </w:tr>
      <w:tr>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Email/Calendar (Phase 2)</w:t>
            </w:r>
          </w:p>
        </w:tc>
        <w:tc>
          <w:tcPr>
            <w:tcW w:type="dxa" w:w="2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r>
              <w:rPr>
                <w:rFonts w:ascii="Arial" w:hAnsi="Arial"/>
                <w:b w:val="0"/>
                <w:sz w:val="17"/>
              </w:rPr>
              <w:t>Microsoft Graph API (Outlook mail + Outlook Calendar)</w:t>
            </w:r>
          </w:p>
        </w:tc>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Microsoft</w:t>
            </w:r>
          </w:p>
        </w:tc>
        <w:tc>
          <w:tcPr>
            <w:tcW w:type="dxa" w:w="31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r>
              <w:rPr>
                <w:rFonts w:ascii="Arial" w:hAnsi="Arial"/>
                <w:b w:val="0"/>
                <w:sz w:val="17"/>
              </w:rPr>
              <w:t>Required — many companies use Outlook instead of Gmail; interface first</w:t>
            </w:r>
          </w:p>
        </w:tc>
      </w:tr>
      <w:tr>
        <w:tc>
          <w:tcPr>
            <w:tcW w:type="dxa" w:w="1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Email/Calendar (Phase 2)</w:t>
            </w:r>
          </w:p>
        </w:tc>
        <w:tc>
          <w:tcPr>
            <w:tcW w:type="dxa" w:w="2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EmailEngine (self-hosted IMAP/SMTP)</w:t>
            </w:r>
          </w:p>
        </w:tc>
        <w:tc>
          <w:tcPr>
            <w:tcW w:type="dxa" w:w="1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Railway or VPS</w:t>
            </w:r>
          </w:p>
        </w:tc>
        <w:tc>
          <w:tcPr>
            <w:tcW w:type="dxa" w:w="31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 — flat-rate, unlimited mailboxes</w:t>
            </w:r>
          </w:p>
        </w:tc>
      </w:tr>
      <w:tr>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Accounting</w:t>
            </w:r>
          </w:p>
        </w:tc>
        <w:tc>
          <w:tcPr>
            <w:tcW w:type="dxa" w:w="2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Xero API</w:t>
            </w:r>
          </w:p>
        </w:tc>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Xero</w:t>
            </w:r>
          </w:p>
        </w:tc>
        <w:tc>
          <w:tcPr>
            <w:tcW w:type="dxa" w:w="31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r>
      <w:tr>
        <w:tc>
          <w:tcPr>
            <w:tcW w:type="dxa" w:w="1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SMS</w:t>
            </w:r>
          </w:p>
        </w:tc>
        <w:tc>
          <w:tcPr>
            <w:tcW w:type="dxa" w:w="2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Twilio or Burst SMS</w:t>
            </w:r>
          </w:p>
        </w:tc>
        <w:tc>
          <w:tcPr>
            <w:tcW w:type="dxa" w:w="1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External</w:t>
            </w:r>
          </w:p>
        </w:tc>
        <w:tc>
          <w:tcPr>
            <w:tcW w:type="dxa" w:w="31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 Phase 2</w:t>
            </w:r>
          </w:p>
        </w:tc>
      </w:tr>
      <w:tr>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Background tasks</w:t>
            </w:r>
          </w:p>
        </w:tc>
        <w:tc>
          <w:tcPr>
            <w:tcW w:type="dxa" w:w="2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BullMQ + Redis</w:t>
            </w:r>
          </w:p>
        </w:tc>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Redis Cloud</w:t>
            </w:r>
          </w:p>
        </w:tc>
        <w:tc>
          <w:tcPr>
            <w:tcW w:type="dxa" w:w="31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r>
      <w:tr>
        <w:tc>
          <w:tcPr>
            <w:tcW w:type="dxa" w:w="1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Payments</w:t>
            </w:r>
          </w:p>
        </w:tc>
        <w:tc>
          <w:tcPr>
            <w:tcW w:type="dxa" w:w="2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Stripe</w:t>
            </w:r>
          </w:p>
        </w:tc>
        <w:tc>
          <w:tcPr>
            <w:tcW w:type="dxa" w:w="1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Stripe</w:t>
            </w:r>
          </w:p>
        </w:tc>
        <w:tc>
          <w:tcPr>
            <w:tcW w:type="dxa" w:w="31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r>
      <w:tr>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Storage</w:t>
            </w:r>
          </w:p>
        </w:tc>
        <w:tc>
          <w:tcPr>
            <w:tcW w:type="dxa" w:w="2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Google Drive API</w:t>
            </w:r>
          </w:p>
        </w:tc>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Google</w:t>
            </w:r>
          </w:p>
        </w:tc>
        <w:tc>
          <w:tcPr>
            <w:tcW w:type="dxa" w:w="31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 Phase 2</w:t>
            </w:r>
          </w:p>
        </w:tc>
      </w:tr>
      <w:tr>
        <w:tc>
          <w:tcPr>
            <w:tcW w:type="dxa" w:w="1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Version control</w:t>
            </w:r>
          </w:p>
        </w:tc>
        <w:tc>
          <w:tcPr>
            <w:tcW w:type="dxa" w:w="2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GitHub (private)</w:t>
            </w:r>
          </w:p>
        </w:tc>
        <w:tc>
          <w:tcPr>
            <w:tcW w:type="dxa" w:w="1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w:t>
            </w:r>
          </w:p>
        </w:tc>
        <w:tc>
          <w:tcPr>
            <w:tcW w:type="dxa" w:w="31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Active</w:t>
            </w:r>
          </w:p>
        </w:tc>
      </w:tr>
    </w:tbl>
    <w:p>
      <w:pPr>
        <w:pStyle w:val="Heading2"/>
        <w:spacing w:after="100" w:before="300"/>
      </w:pPr>
      <w:r>
        <w:rPr>
          <w:rFonts w:ascii="Arial" w:cs="Arial" w:eastAsia="Arial" w:hAnsi="Arial"/>
          <w:b/>
          <w:bCs/>
          <w:color w:val="2C3240"/>
          <w:sz w:val="26"/>
          <w:szCs w:val="26"/>
        </w:rPr>
        <w:t xml:space="preserve">3.3  AI Model Routing Policy</w:t>
      </w:r>
    </w:p>
    <w:p>
      <w:pPr>
        <w:spacing w:after="80" w:before="60"/>
      </w:pPr>
      <w:r>
        <w:rPr>
          <w:rFonts w:ascii="Arial" w:cs="Arial" w:eastAsia="Arial" w:hAnsi="Arial"/>
          <w:color w:val="5C6475"/>
          <w:sz w:val="20"/>
          <w:szCs w:val="20"/>
        </w:rPr>
        <w:t xml:space="preserve">The owner sees one assistant: Olivander. They never see which model powers any response. Route each task to the cheapest model capable of doing it well. Never lock to a single provider.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960"/>
      </w:tblGrid>
      <w:tr>
        <w:tc>
          <w:tcPr>
            <w:tcW w:type="dxa" w:w="28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Task type</w:t>
            </w:r>
          </w:p>
        </w:tc>
        <w:tc>
          <w:tcPr>
            <w:tcW w:type="dxa" w:w="26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Model</w:t>
            </w:r>
          </w:p>
        </w:tc>
        <w:tc>
          <w:tcPr>
            <w:tcW w:type="dxa" w:w="396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Rationale</w:t>
            </w:r>
          </w:p>
        </w:tc>
      </w:tr>
      <w:tr>
        <w:tc>
          <w:tcPr>
            <w:tcW w:type="dxa" w:w="2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Email classification, intent detection</w:t>
            </w:r>
          </w:p>
        </w:tc>
        <w:tc>
          <w:tcPr>
            <w:tcW w:type="dxa" w:w="2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Groq llama-3.3-70b-versatile</w:t>
            </w:r>
          </w:p>
        </w:tc>
        <w:tc>
          <w:tcPr>
            <w:tcW w:type="dxa" w:w="3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High volume, low cost, tested accuracy</w:t>
            </w:r>
          </w:p>
        </w:tc>
      </w:tr>
      <w:tr>
        <w:tc>
          <w:tcPr>
            <w:tcW w:type="dxa" w:w="2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Email drafting, client communications</w:t>
            </w:r>
          </w:p>
        </w:tc>
        <w:tc>
          <w:tcPr>
            <w:tcW w:type="dxa" w:w="2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Groq (current) → GPT-4o upgrade path</w:t>
            </w:r>
          </w:p>
        </w:tc>
        <w:tc>
          <w:tcPr>
            <w:tcW w:type="dxa" w:w="39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Tone-critical — quality &gt; cost here</w:t>
            </w:r>
          </w:p>
        </w:tc>
      </w:tr>
      <w:tr>
        <w:tc>
          <w:tcPr>
            <w:tcW w:type="dxa" w:w="2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Invoice / quote / structured data</w:t>
            </w:r>
          </w:p>
        </w:tc>
        <w:tc>
          <w:tcPr>
            <w:tcW w:type="dxa" w:w="2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Cheap routing model</w:t>
            </w:r>
          </w:p>
        </w:tc>
        <w:tc>
          <w:tcPr>
            <w:tcW w:type="dxa" w:w="3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Prompt precision &gt; model intelligence</w:t>
            </w:r>
          </w:p>
        </w:tc>
      </w:tr>
      <w:tr>
        <w:tc>
          <w:tcPr>
            <w:tcW w:type="dxa" w:w="2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Web research synthesis</w:t>
            </w:r>
          </w:p>
        </w:tc>
        <w:tc>
          <w:tcPr>
            <w:tcW w:type="dxa" w:w="2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Groq llama-3.3-70b-versatile</w:t>
            </w:r>
          </w:p>
        </w:tc>
        <w:tc>
          <w:tcPr>
            <w:tcW w:type="dxa" w:w="39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Synthesis of search results into business-relevant output</w:t>
            </w:r>
          </w:p>
        </w:tc>
      </w:tr>
      <w:tr>
        <w:tc>
          <w:tcPr>
            <w:tcW w:type="dxa" w:w="2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Complex reasoning, escalations</w:t>
            </w:r>
          </w:p>
        </w:tc>
        <w:tc>
          <w:tcPr>
            <w:tcW w:type="dxa" w:w="2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Claude Sonnet 4.6 or GPT-4o</w:t>
            </w:r>
          </w:p>
        </w:tc>
        <w:tc>
          <w:tcPr>
            <w:tcW w:type="dxa" w:w="3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Reserve for genuinely hard tasks. Log every upgrade.</w:t>
            </w:r>
          </w:p>
        </w:tc>
      </w:tr>
      <w:tr>
        <w:tc>
          <w:tcPr>
            <w:tcW w:type="dxa" w:w="2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RAG retrieval assembly</w:t>
            </w:r>
          </w:p>
        </w:tc>
        <w:tc>
          <w:tcPr>
            <w:tcW w:type="dxa" w:w="2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pgvector (768-dim) + Groq</w:t>
            </w:r>
          </w:p>
        </w:tc>
        <w:tc>
          <w:tcPr>
            <w:tcW w:type="dxa" w:w="39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Cosine similarity top-3 + synthesis</w:t>
            </w:r>
          </w:p>
        </w:tc>
      </w:tr>
      <w:tr>
        <w:tc>
          <w:tcPr>
            <w:tcW w:type="dxa" w:w="2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Document generation (quotes, contracts)</w:t>
            </w:r>
          </w:p>
        </w:tc>
        <w:tc>
          <w:tcPr>
            <w:tcW w:type="dxa" w:w="2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Groq with structured templates</w:t>
            </w:r>
          </w:p>
        </w:tc>
        <w:tc>
          <w:tcPr>
            <w:tcW w:type="dxa" w:w="3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Template fill + memory retrieval</w:t>
            </w:r>
          </w:p>
        </w:tc>
      </w:tr>
      <w:tr>
        <w:tc>
          <w:tcPr>
            <w:tcW w:type="dxa" w:w="2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Lead scoring and research</w:t>
            </w:r>
          </w:p>
        </w:tc>
        <w:tc>
          <w:tcPr>
            <w:tcW w:type="dxa" w:w="2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Groq + Brave Search API</w:t>
            </w:r>
          </w:p>
        </w:tc>
        <w:tc>
          <w:tcPr>
            <w:tcW w:type="dxa" w:w="39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Web search + LLM synthesis pipeline</w:t>
            </w:r>
          </w:p>
        </w:tc>
      </w:tr>
    </w:tbl>
    <w:p>
      <w:pPr>
        <w:pStyle w:val="Heading2"/>
        <w:spacing w:after="100" w:before="300"/>
      </w:pPr>
      <w:r>
        <w:rPr>
          <w:rFonts w:ascii="Arial" w:cs="Arial" w:eastAsia="Arial" w:hAnsi="Arial"/>
          <w:b/>
          <w:bCs/>
          <w:color w:val="2C3240"/>
          <w:sz w:val="26"/>
          <w:szCs w:val="26"/>
        </w:rPr>
        <w:t xml:space="preserve">3.4  Data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400"/>
        <w:gridCol w:w="2960"/>
      </w:tblGrid>
      <w:tr>
        <w:tc>
          <w:tcPr>
            <w:tcW w:type="dxa" w:w="20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Store</w:t>
            </w:r>
          </w:p>
        </w:tc>
        <w:tc>
          <w:tcPr>
            <w:tcW w:type="dxa" w:w="44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Contents</w:t>
            </w:r>
          </w:p>
        </w:tc>
        <w:tc>
          <w:tcPr>
            <w:tcW w:type="dxa" w:w="296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Technology</w:t>
            </w:r>
          </w:p>
        </w:tc>
      </w:tr>
      <w:tr>
        <w:tc>
          <w:tcPr>
            <w:tcW w:type="dxa" w:w="20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Business records</w:t>
            </w:r>
          </w:p>
        </w:tc>
        <w:tc>
          <w:tcPr>
            <w:tcW w:type="dxa" w:w="4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Customer accounts, workflow rules, OAuth tokens (AES-256), settings</w:t>
            </w:r>
          </w:p>
        </w:tc>
        <w:tc>
          <w:tcPr>
            <w:tcW w:type="dxa" w:w="2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Supabase Postgres</w:t>
            </w:r>
          </w:p>
        </w:tc>
      </w:tr>
      <w:tr>
        <w:tc>
          <w:tcPr>
            <w:tcW w:type="dxa" w:w="20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Staff records</w:t>
            </w:r>
          </w:p>
        </w:tc>
        <w:tc>
          <w:tcPr>
            <w:tcW w:type="dxa" w:w="4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Staff profiles, availability rules, skills, contact details — new in v6</w:t>
            </w:r>
          </w:p>
        </w:tc>
        <w:tc>
          <w:tcPr>
            <w:tcW w:type="dxa" w:w="29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Supabase Postgres</w:t>
            </w:r>
          </w:p>
        </w:tc>
      </w:tr>
      <w:tr>
        <w:tc>
          <w:tcPr>
            <w:tcW w:type="dxa" w:w="20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Supplier records</w:t>
            </w:r>
          </w:p>
        </w:tc>
        <w:tc>
          <w:tcPr>
            <w:tcW w:type="dxa" w:w="4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Supplier profiles, preferred contacts, typical lead times — new in v6</w:t>
            </w:r>
          </w:p>
        </w:tc>
        <w:tc>
          <w:tcPr>
            <w:tcW w:type="dxa" w:w="2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Supabase Postgres</w:t>
            </w:r>
          </w:p>
        </w:tc>
      </w:tr>
      <w:tr>
        <w:tc>
          <w:tcPr>
            <w:tcW w:type="dxa" w:w="20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Lead pipeline</w:t>
            </w:r>
          </w:p>
        </w:tc>
        <w:tc>
          <w:tcPr>
            <w:tcW w:type="dxa" w:w="4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Open leads, status, last contact, quote sent flag — new in v6</w:t>
            </w:r>
          </w:p>
        </w:tc>
        <w:tc>
          <w:tcPr>
            <w:tcW w:type="dxa" w:w="29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Supabase Postgres</w:t>
            </w:r>
          </w:p>
        </w:tc>
      </w:tr>
      <w:tr>
        <w:tc>
          <w:tcPr>
            <w:tcW w:type="dxa" w:w="20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Action queue</w:t>
            </w:r>
          </w:p>
        </w:tc>
        <w:tc>
          <w:tcPr>
            <w:tcW w:type="dxa" w:w="4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Pending actions, autonomy tier, approval status, timeout, priority</w:t>
            </w:r>
          </w:p>
        </w:tc>
        <w:tc>
          <w:tcPr>
            <w:tcW w:type="dxa" w:w="2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Supabase Postgres</w:t>
            </w:r>
          </w:p>
        </w:tc>
      </w:tr>
      <w:tr>
        <w:tc>
          <w:tcPr>
            <w:tcW w:type="dxa" w:w="20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Audit log</w:t>
            </w:r>
          </w:p>
        </w:tc>
        <w:tc>
          <w:tcPr>
            <w:tcW w:type="dxa" w:w="4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Every trigger, context, model path, draft, owner edit, outcome — append-only</w:t>
            </w:r>
          </w:p>
        </w:tc>
        <w:tc>
          <w:tcPr>
            <w:tcW w:type="dxa" w:w="29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Supabase Postgres</w:t>
            </w:r>
          </w:p>
        </w:tc>
      </w:tr>
      <w:tr>
        <w:tc>
          <w:tcPr>
            <w:tcW w:type="dxa" w:w="20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Structured memory</w:t>
            </w:r>
          </w:p>
        </w:tc>
        <w:tc>
          <w:tcPr>
            <w:tcW w:type="dxa" w:w="4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Business profile, pricing, client records, learned preferences</w:t>
            </w:r>
          </w:p>
        </w:tc>
        <w:tc>
          <w:tcPr>
            <w:tcW w:type="dxa" w:w="2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Supabase Postgres</w:t>
            </w:r>
          </w:p>
        </w:tc>
      </w:tr>
      <w:tr>
        <w:tc>
          <w:tcPr>
            <w:tcW w:type="dxa" w:w="20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Semantic memory</w:t>
            </w:r>
          </w:p>
        </w:tc>
        <w:tc>
          <w:tcPr>
            <w:tcW w:type="dxa" w:w="4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Business context embeddings, email history, document summaries</w:t>
            </w:r>
          </w:p>
        </w:tc>
        <w:tc>
          <w:tcPr>
            <w:tcW w:type="dxa" w:w="29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Supabase pgvector (768-dim)</w:t>
            </w:r>
          </w:p>
        </w:tc>
      </w:tr>
      <w:tr>
        <w:tc>
          <w:tcPr>
            <w:tcW w:type="dxa" w:w="20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Edit patterns</w:t>
            </w:r>
          </w:p>
        </w:tc>
        <w:tc>
          <w:tcPr>
            <w:tcW w:type="dxa" w:w="4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Learning loop: what was edited, context, category, pattern state</w:t>
            </w:r>
          </w:p>
        </w:tc>
        <w:tc>
          <w:tcPr>
            <w:tcW w:type="dxa" w:w="2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Supabase Postgres</w:t>
            </w:r>
          </w:p>
        </w:tc>
      </w:tr>
      <w:tr>
        <w:tc>
          <w:tcPr>
            <w:tcW w:type="dxa" w:w="20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Document store</w:t>
            </w:r>
          </w:p>
        </w:tc>
        <w:tc>
          <w:tcPr>
            <w:tcW w:type="dxa" w:w="4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Generated quotes, invoices, contracts, job sheets — new in v6</w:t>
            </w:r>
          </w:p>
        </w:tc>
        <w:tc>
          <w:tcPr>
            <w:tcW w:type="dxa" w:w="29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Google Drive (Phase 2)</w:t>
            </w:r>
          </w:p>
        </w:tc>
      </w:tr>
      <w:tr>
        <w:tc>
          <w:tcPr>
            <w:tcW w:type="dxa" w:w="20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Research cache</w:t>
            </w:r>
          </w:p>
        </w:tc>
        <w:tc>
          <w:tcPr>
            <w:tcW w:type="dxa" w:w="4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Web research results, competitor data, lead lists — new in v6</w:t>
            </w:r>
          </w:p>
        </w:tc>
        <w:tc>
          <w:tcPr>
            <w:tcW w:type="dxa" w:w="2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Supabase Postgres + pgvector</w:t>
            </w:r>
          </w:p>
        </w:tc>
      </w:tr>
      <w:tr>
        <w:tc>
          <w:tcPr>
            <w:tcW w:type="dxa" w:w="20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Job queue</w:t>
            </w:r>
          </w:p>
        </w:tc>
        <w:tc>
          <w:tcPr>
            <w:tcW w:type="dxa" w:w="4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Background tasks, retry state, worker history</w:t>
            </w:r>
          </w:p>
        </w:tc>
        <w:tc>
          <w:tcPr>
            <w:tcW w:type="dxa" w:w="29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Redis (BullMQ)</w:t>
            </w:r>
          </w:p>
        </w:tc>
      </w:tr>
    </w:tbl>
    <w:p>
      <w:pPr>
        <w:pStyle w:val="Heading2"/>
        <w:spacing w:after="100" w:before="300"/>
      </w:pPr>
      <w:r>
        <w:rPr>
          <w:rFonts w:ascii="Arial" w:cs="Arial" w:eastAsia="Arial" w:hAnsi="Arial"/>
          <w:b/>
          <w:bCs/>
          <w:color w:val="2C3240"/>
          <w:sz w:val="26"/>
          <w:szCs w:val="26"/>
        </w:rPr>
        <w:t xml:space="preserve">3.5  Google OAuth — Active Issue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8B12" w:sz="4"/>
              <w:left w:val="single" w:color="D08B12" w:sz="4"/>
              <w:bottom w:val="single" w:color="D08B12" w:sz="4"/>
              <w:right w:val="single" w:color="D08B12" w:sz="4"/>
            </w:tcBorders>
            <w:shd w:fill="FEF3E2" w:val="clear"/>
            <w:tcMar>
              <w:top w:type="dxa" w:w="120"/>
              <w:left w:type="dxa" w:w="160"/>
              <w:bottom w:type="dxa" w:w="120"/>
              <w:right w:type="dxa" w:w="160"/>
            </w:tcMar>
          </w:tcPr>
          <w:p>
            <w:pPr>
              <w:spacing w:after="0" w:before="0"/>
            </w:pPr>
            <w:r>
              <w:rPr>
                <w:rFonts w:ascii="Arial" w:cs="Arial" w:eastAsia="Arial" w:hAnsi="Arial"/>
                <w:b/>
                <w:bCs/>
                <w:color w:val="D08B12"/>
                <w:sz w:val="18"/>
                <w:szCs w:val="18"/>
              </w:rPr>
              <w:t xml:space="preserve">RISK  </w:t>
            </w:r>
            <w:r>
              <w:rPr>
                <w:rFonts w:ascii="Arial" w:cs="Arial" w:eastAsia="Arial" w:hAnsi="Arial"/>
                <w:color w:val="2C3240"/>
                <w:sz w:val="18"/>
                <w:szCs w:val="18"/>
              </w:rPr>
              <w:t xml:space="preserve">Active issue: invalid_request error in Google OAuth flow. Next step: check Railway logs. Inspect OAuth consent screen scope configuration. Validate redirect URI matches exactly. Do not proceed to Gmail OAuth integration until this is resolved.</w:t>
            </w:r>
          </w:p>
        </w:tc>
      </w:tr>
    </w:tbl>
    <w:p>
      <w:r>
        <w:br w:type="page"/>
      </w:r>
    </w:p>
    <w:p>
      <w:pPr>
        <w:pStyle w:val="Heading1"/>
        <w:pBdr>
          <w:bottom w:val="single" w:color="5A4FD0" w:sz="8" w:space="4"/>
        </w:pBdr>
        <w:spacing w:after="160" w:before="440"/>
      </w:pPr>
      <w:r>
        <w:rPr>
          <w:rFonts w:ascii="Arial" w:cs="Arial" w:eastAsia="Arial" w:hAnsi="Arial"/>
          <w:b/>
          <w:bCs/>
          <w:color w:val="2C3240"/>
          <w:sz w:val="36"/>
          <w:szCs w:val="36"/>
        </w:rPr>
        <w:t xml:space="preserve">4. Memory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377E8" w:sz="4"/>
              <w:left w:val="single" w:color="8377E8" w:sz="4"/>
              <w:bottom w:val="single" w:color="8377E8" w:sz="4"/>
              <w:right w:val="single" w:color="8377E8" w:sz="4"/>
            </w:tcBorders>
            <w:shd w:fill="EDE9FF" w:val="clear"/>
            <w:tcMar>
              <w:top w:type="dxa" w:w="120"/>
              <w:left w:type="dxa" w:w="160"/>
              <w:bottom w:type="dxa" w:w="120"/>
              <w:right w:type="dxa" w:w="160"/>
            </w:tcMar>
          </w:tcPr>
          <w:p>
            <w:pPr>
              <w:spacing w:after="0" w:before="0"/>
            </w:pPr>
            <w:r>
              <w:rPr>
                <w:rFonts w:ascii="Arial" w:cs="Arial" w:eastAsia="Arial" w:hAnsi="Arial"/>
                <w:b/>
                <w:bCs/>
                <w:color w:val="5A4FD0"/>
                <w:sz w:val="18"/>
                <w:szCs w:val="18"/>
              </w:rPr>
              <w:t xml:space="preserve">NOTE  </w:t>
            </w:r>
            <w:r>
              <w:rPr>
                <w:rFonts w:ascii="Arial" w:cs="Arial" w:eastAsia="Arial" w:hAnsi="Arial"/>
                <w:color w:val="2C3240"/>
                <w:sz w:val="18"/>
                <w:szCs w:val="18"/>
              </w:rPr>
              <w:t xml:space="preserve">Memory is the moat. Without governed memory, Olivander is replaceable by any generic AI tool. With it, the agent encodes how this specific business works and switching means starting from zero.</w:t>
            </w:r>
          </w:p>
        </w:tc>
      </w:tr>
    </w:tbl>
    <w:p>
      <w:pPr>
        <w:spacing w:after="0" w:before="80"/>
      </w:pPr>
      <w:r>
        <w:rPr>
          <w:rFonts w:ascii="Arial" w:cs="Arial" w:eastAsia="Arial" w:hAnsi="Arial"/>
          <w:color w:val="2C324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3960"/>
      </w:tblGrid>
      <w:tr>
        <w:tc>
          <w:tcPr>
            <w:tcW w:type="dxa" w:w="20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Layer</w:t>
            </w:r>
          </w:p>
        </w:tc>
        <w:tc>
          <w:tcPr>
            <w:tcW w:type="dxa" w:w="34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What it stores</w:t>
            </w:r>
          </w:p>
        </w:tc>
        <w:tc>
          <w:tcPr>
            <w:tcW w:type="dxa" w:w="396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Governance rules</w:t>
            </w:r>
          </w:p>
        </w:tc>
      </w:tr>
      <w:tr>
        <w:tc>
          <w:tcPr>
            <w:tcW w:type="dxa" w:w="20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Business profile</w:t>
            </w:r>
          </w:p>
        </w:tc>
        <w:tc>
          <w:tcPr>
            <w:tcW w:type="dxa" w:w="3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Services, pricing, GST status, payment terms, hours, bank details, policies</w:t>
            </w:r>
          </w:p>
        </w:tc>
        <w:tc>
          <w:tcPr>
            <w:tcW w:type="dxa" w:w="3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Owner-entered or extracted from onboarding. Every field has source tag + timestamp. Changes require owner confirmation.</w:t>
            </w:r>
          </w:p>
        </w:tc>
      </w:tr>
      <w:tr>
        <w:tc>
          <w:tcPr>
            <w:tcW w:type="dxa" w:w="20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Customer records</w:t>
            </w:r>
          </w:p>
        </w:tc>
        <w:tc>
          <w:tcPr>
            <w:tcW w:type="dxa" w:w="3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Name, contact, relationship history, communication preferences, payment behaviour, notes</w:t>
            </w:r>
          </w:p>
        </w:tc>
        <w:tc>
          <w:tcPr>
            <w:tcW w:type="dxa" w:w="39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Created from first contact. Updated from Xero + Gmail + owner corrections. Never auto-overwritten.</w:t>
            </w:r>
          </w:p>
        </w:tc>
      </w:tr>
      <w:tr>
        <w:tc>
          <w:tcPr>
            <w:tcW w:type="dxa" w:w="20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Staff records</w:t>
            </w:r>
          </w:p>
        </w:tc>
        <w:tc>
          <w:tcPr>
            <w:tcW w:type="dxa" w:w="3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Role, availability rules, skills, contact preference, pay rate (owner-entered)</w:t>
            </w:r>
          </w:p>
        </w:tc>
        <w:tc>
          <w:tcPr>
            <w:tcW w:type="dxa" w:w="3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Owner-managed. No auto-updates. Privacy-sensitive — row-level security enforced.</w:t>
            </w:r>
          </w:p>
        </w:tc>
      </w:tr>
      <w:tr>
        <w:tc>
          <w:tcPr>
            <w:tcW w:type="dxa" w:w="20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Supplier records</w:t>
            </w:r>
          </w:p>
        </w:tc>
        <w:tc>
          <w:tcPr>
            <w:tcW w:type="dxa" w:w="3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Name, category, contact, typical lead time, preferred order method, notes</w:t>
            </w:r>
          </w:p>
        </w:tc>
        <w:tc>
          <w:tcPr>
            <w:tcW w:type="dxa" w:w="39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Auto-created from outbound emails to suppliers. Owner-confirmed before becoming active.</w:t>
            </w:r>
          </w:p>
        </w:tc>
      </w:tr>
      <w:tr>
        <w:tc>
          <w:tcPr>
            <w:tcW w:type="dxa" w:w="20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Lead pipeline</w:t>
            </w:r>
          </w:p>
        </w:tc>
        <w:tc>
          <w:tcPr>
            <w:tcW w:type="dxa" w:w="3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Lead name, enquiry type, date, source, quote status, follow-up due date</w:t>
            </w:r>
          </w:p>
        </w:tc>
        <w:tc>
          <w:tcPr>
            <w:tcW w:type="dxa" w:w="3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Auto-created from email classification. Owner sees pipeline in dashboard.</w:t>
            </w:r>
          </w:p>
        </w:tc>
      </w:tr>
      <w:tr>
        <w:tc>
          <w:tcPr>
            <w:tcW w:type="dxa" w:w="20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Conversation history</w:t>
            </w:r>
          </w:p>
        </w:tc>
        <w:tc>
          <w:tcPr>
            <w:tcW w:type="dxa" w:w="3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Email thread summaries, booking history, invoicing history per customer</w:t>
            </w:r>
          </w:p>
        </w:tc>
        <w:tc>
          <w:tcPr>
            <w:tcW w:type="dxa" w:w="39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Appended, never overwritten. Immutable once logged.</w:t>
            </w:r>
          </w:p>
        </w:tc>
      </w:tr>
      <w:tr>
        <w:tc>
          <w:tcPr>
            <w:tcW w:type="dxa" w:w="20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Learned preferences</w:t>
            </w:r>
          </w:p>
        </w:tc>
        <w:tc>
          <w:tcPr>
            <w:tcW w:type="dxa" w:w="3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Tone rules, timing rules, follow-up delays, autonomy tier adjustments</w:t>
            </w:r>
          </w:p>
        </w:tc>
        <w:tc>
          <w:tcPr>
            <w:tcW w:type="dxa" w:w="3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Only updated via confirmed rule suggestions. Reversible in one tap.</w:t>
            </w:r>
          </w:p>
        </w:tc>
      </w:tr>
      <w:tr>
        <w:tc>
          <w:tcPr>
            <w:tcW w:type="dxa" w:w="20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Research cache</w:t>
            </w:r>
          </w:p>
        </w:tc>
        <w:tc>
          <w:tcPr>
            <w:tcW w:type="dxa" w:w="3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Web research results, competitor snapshots, local business directories, lead lists</w:t>
            </w:r>
          </w:p>
        </w:tc>
        <w:tc>
          <w:tcPr>
            <w:tcW w:type="dxa" w:w="39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Time-stamped. Auto-expires at 30 days. Owner can pin important items.</w:t>
            </w:r>
          </w:p>
        </w:tc>
      </w:tr>
      <w:tr>
        <w:tc>
          <w:tcPr>
            <w:tcW w:type="dxa" w:w="20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Audit log</w:t>
            </w:r>
          </w:p>
        </w:tc>
        <w:tc>
          <w:tcPr>
            <w:tcW w:type="dxa" w:w="3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Every trigger, context retrieved, model used, draft, owner edit, final outcome</w:t>
            </w:r>
          </w:p>
        </w:tc>
        <w:tc>
          <w:tcPr>
            <w:tcW w:type="dxa" w:w="3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Immutable. Never editable. Retained 24 months.</w:t>
            </w:r>
          </w:p>
        </w:tc>
      </w:tr>
      <w:tr>
        <w:tc>
          <w:tcPr>
            <w:tcW w:type="dxa" w:w="20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Semantic memory</w:t>
            </w:r>
          </w:p>
        </w:tc>
        <w:tc>
          <w:tcPr>
            <w:tcW w:type="dxa" w:w="3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Business context embeddings for RAG retrieval</w:t>
            </w:r>
          </w:p>
        </w:tc>
        <w:tc>
          <w:tcPr>
            <w:tcW w:type="dxa" w:w="39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pgvector, 768-dim. Cosine similarity. Top-3 chunks per query.</w:t>
            </w:r>
          </w:p>
        </w:tc>
      </w:tr>
    </w:tbl>
    <w:p>
      <w:pPr>
        <w:spacing w:after="80" w:before="60"/>
      </w:pPr>
      <w:r>
        <w:rPr>
          <w:rFonts w:ascii="Arial" w:cs="Arial" w:eastAsia="Arial" w:hAnsi="Arial"/>
          <w:color w:val="5C6475"/>
          <w:sz w:val="20"/>
          <w:szCs w:val="20"/>
        </w:rPr>
        <w:t xml:space="preserve">Memory governance: Nothing enters durable memory without direct owner input, deterministic extraction from an approved source, or a reviewable system suggestion the owner has confirmed. Every item carries provenance. Learned preferences are reversible in one tap. When a draft relies on retrieved memory, the context used is shown in the approval card — no black-box provenance.</w:t>
      </w:r>
    </w:p>
    <w:p>
      <w:r>
        <w:br w:type="page"/>
      </w:r>
    </w:p>
    <w:p>
      <w:pPr>
        <w:pStyle w:val="Heading1"/>
        <w:pBdr>
          <w:bottom w:val="single" w:color="5A4FD0" w:sz="8" w:space="4"/>
        </w:pBdr>
        <w:spacing w:after="160" w:before="440"/>
      </w:pPr>
      <w:r>
        <w:rPr>
          <w:rFonts w:ascii="Arial" w:cs="Arial" w:eastAsia="Arial" w:hAnsi="Arial"/>
          <w:b/>
          <w:bCs/>
          <w:color w:val="2C3240"/>
          <w:sz w:val="36"/>
          <w:szCs w:val="36"/>
        </w:rPr>
        <w:t xml:space="preserve">5. Autonomy Engine</w:t>
      </w:r>
    </w:p>
    <w:p>
      <w:pPr>
        <w:pStyle w:val="Heading2"/>
        <w:spacing w:after="100" w:before="300"/>
      </w:pPr>
      <w:r>
        <w:rPr>
          <w:rFonts w:ascii="Arial" w:cs="Arial" w:eastAsia="Arial" w:hAnsi="Arial"/>
          <w:b/>
          <w:bCs/>
          <w:color w:val="2C3240"/>
          <w:sz w:val="26"/>
          <w:szCs w:val="26"/>
        </w:rPr>
        <w:t xml:space="preserve">5.1  Four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gridCol w:w="2800"/>
        <w:gridCol w:w="4160"/>
      </w:tblGrid>
      <w:tr>
        <w:tc>
          <w:tcPr>
            <w:tcW w:type="dxa" w:w="6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Tier</w:t>
            </w:r>
          </w:p>
        </w:tc>
        <w:tc>
          <w:tcPr>
            <w:tcW w:type="dxa" w:w="18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Name</w:t>
            </w:r>
          </w:p>
        </w:tc>
        <w:tc>
          <w:tcPr>
            <w:tcW w:type="dxa" w:w="28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Behaviour</w:t>
            </w:r>
          </w:p>
        </w:tc>
        <w:tc>
          <w:tcPr>
            <w:tcW w:type="dxa" w:w="416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Default assignments</w:t>
            </w:r>
          </w:p>
        </w:tc>
      </w:tr>
      <w:tr>
        <w:tc>
          <w:tcPr>
            <w:tcW w:type="dxa" w:w="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1</w:t>
            </w:r>
          </w:p>
        </w:tc>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Auto-Execute</w:t>
            </w:r>
          </w:p>
        </w:tc>
        <w:tc>
          <w:tcPr>
            <w:tcW w:type="dxa" w:w="2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Executes immediately. Logged. Owner sees it but does not pre-approve.</w:t>
            </w:r>
          </w:p>
        </w:tc>
        <w:tc>
          <w:tcPr>
            <w:tcW w:type="dxa" w:w="41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Nothing at MVP launch. Actions promoted here by owner after proven reliability.</w:t>
            </w:r>
          </w:p>
        </w:tc>
      </w:tr>
      <w:tr>
        <w:tc>
          <w:tcPr>
            <w:tcW w:type="dxa" w:w="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2</w:t>
            </w:r>
          </w:p>
        </w:tc>
        <w:tc>
          <w:tcPr>
            <w:tcW w:type="dxa" w:w="1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Approve-to-Send (2hr)</w:t>
            </w:r>
          </w:p>
        </w:tc>
        <w:tc>
          <w:tcPr>
            <w:tcW w:type="dxa" w:w="2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Queued with 2-hour window. Sends automatically if not rejected.</w:t>
            </w:r>
          </w:p>
        </w:tc>
        <w:tc>
          <w:tcPr>
            <w:tcW w:type="dxa" w:w="41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Booking reminders for existing confirmed clients after 30+ days of reliable operation.</w:t>
            </w:r>
          </w:p>
        </w:tc>
      </w:tr>
      <w:tr>
        <w:tc>
          <w:tcPr>
            <w:tcW w:type="dxa" w:w="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3</w:t>
            </w:r>
          </w:p>
        </w:tc>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Review Required</w:t>
            </w:r>
          </w:p>
        </w:tc>
        <w:tc>
          <w:tcPr>
            <w:tcW w:type="dxa" w:w="2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Queued. No auto-execution. Owner must explicitly approve.</w:t>
            </w:r>
          </w:p>
        </w:tc>
        <w:tc>
          <w:tcPr>
            <w:tcW w:type="dxa" w:w="41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All actions weeks 1-4. All financial actions. All new client communications. All web research outputs.</w:t>
            </w:r>
          </w:p>
        </w:tc>
      </w:tr>
      <w:tr>
        <w:tc>
          <w:tcPr>
            <w:tcW w:type="dxa" w:w="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4</w:t>
            </w:r>
          </w:p>
        </w:tc>
        <w:tc>
          <w:tcPr>
            <w:tcW w:type="dxa" w:w="1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Escalate</w:t>
            </w:r>
          </w:p>
        </w:tc>
        <w:tc>
          <w:tcPr>
            <w:tcW w:type="dxa" w:w="2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Agent flags situation. Provides context and suggested response. Owner handles manually.</w:t>
            </w:r>
          </w:p>
        </w:tc>
        <w:tc>
          <w:tcPr>
            <w:tcW w:type="dxa" w:w="41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Complaint emails. Invoices overdue &gt;21 days. Any communication referencing legal action. Negative reviews.</w:t>
            </w:r>
          </w:p>
        </w:tc>
      </w:tr>
    </w:tbl>
    <w:p>
      <w:pPr>
        <w:pStyle w:val="Heading2"/>
        <w:spacing w:after="100" w:before="300"/>
      </w:pPr>
      <w:r>
        <w:rPr>
          <w:rFonts w:ascii="Arial" w:cs="Arial" w:eastAsia="Arial" w:hAnsi="Arial"/>
          <w:b/>
          <w:bCs/>
          <w:color w:val="2C3240"/>
          <w:sz w:val="26"/>
          <w:szCs w:val="26"/>
        </w:rPr>
        <w:t xml:space="preserve">5.2  Execution Plan Gate — Non-Negotiable</w:t>
      </w:r>
    </w:p>
    <w:p>
      <w:pPr>
        <w:spacing w:after="80" w:before="60"/>
      </w:pPr>
      <w:r>
        <w:rPr>
          <w:rFonts w:ascii="Arial" w:cs="Arial" w:eastAsia="Arial" w:hAnsi="Arial"/>
          <w:color w:val="5C6475"/>
          <w:sz w:val="20"/>
          <w:szCs w:val="20"/>
        </w:rPr>
        <w:t xml:space="preserve">For any multi-step action, the agent MUST display a numbered execution plan before anything executes. Each step shows: what will happen, which system will be affected, and confidence level (High / Medium / Review). Partial execution failure must be communicated explicitly — never leave ambiguous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c>
          <w:tcPr>
            <w:tcW w:type="dxa" w:w="18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Confidence level</w:t>
            </w:r>
          </w:p>
        </w:tc>
        <w:tc>
          <w:tcPr>
            <w:tcW w:type="dxa" w:w="38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When assigned</w:t>
            </w:r>
          </w:p>
        </w:tc>
        <w:tc>
          <w:tcPr>
            <w:tcW w:type="dxa" w:w="376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Display</w:t>
            </w:r>
          </w:p>
        </w:tc>
      </w:tr>
      <w:tr>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High</w:t>
            </w:r>
          </w:p>
        </w:tc>
        <w:tc>
          <w:tcPr>
            <w:tcW w:type="dxa" w:w="3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Agent has relevant memory, clear classification, known client</w:t>
            </w:r>
          </w:p>
        </w:tc>
        <w:tc>
          <w:tcPr>
            <w:tcW w:type="dxa" w:w="37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Green indicator</w:t>
            </w:r>
          </w:p>
        </w:tc>
      </w:tr>
      <w:tr>
        <w:tc>
          <w:tcPr>
            <w:tcW w:type="dxa" w:w="1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Medium</w:t>
            </w:r>
          </w:p>
        </w:tc>
        <w:tc>
          <w:tcPr>
            <w:tcW w:type="dxa" w:w="3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Partial memory match, first contact with client, ambiguous intent</w:t>
            </w:r>
          </w:p>
        </w:tc>
        <w:tc>
          <w:tcPr>
            <w:tcW w:type="dxa" w:w="37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Amber indicator</w:t>
            </w:r>
          </w:p>
        </w:tc>
      </w:tr>
      <w:tr>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Review</w:t>
            </w:r>
          </w:p>
        </w:tc>
        <w:tc>
          <w:tcPr>
            <w:tcW w:type="dxa" w:w="3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Missing memory fields, high-value action, new workflow type</w:t>
            </w:r>
          </w:p>
        </w:tc>
        <w:tc>
          <w:tcPr>
            <w:tcW w:type="dxa" w:w="37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Purple indicator — owner prompted to verify before approving</w:t>
            </w:r>
          </w:p>
        </w:tc>
      </w:tr>
    </w:tbl>
    <w:p>
      <w:pPr>
        <w:pStyle w:val="Heading2"/>
        <w:spacing w:after="100" w:before="300"/>
      </w:pPr>
      <w:r>
        <w:rPr>
          <w:rFonts w:ascii="Arial" w:cs="Arial" w:eastAsia="Arial" w:hAnsi="Arial"/>
          <w:b/>
          <w:bCs/>
          <w:color w:val="2C3240"/>
          <w:sz w:val="26"/>
          <w:szCs w:val="26"/>
        </w:rPr>
        <w:t xml:space="preserve">5.3  Trust Progression Rules</w:t>
      </w:r>
    </w:p>
    <w:p>
      <w:pPr>
        <w:pStyle w:val="ListParagraph"/>
        <w:numPr>
          <w:ilvl w:val="0"/>
          <w:numId w:val="2"/>
        </w:numPr>
        <w:spacing w:after="40" w:before="40"/>
      </w:pPr>
      <w:r>
        <w:rPr>
          <w:rFonts w:ascii="Arial" w:cs="Arial" w:eastAsia="Arial" w:hAnsi="Arial"/>
          <w:color w:val="5C6475"/>
          <w:sz w:val="20"/>
          <w:szCs w:val="20"/>
        </w:rPr>
        <w:t xml:space="preserve">Promotion is never automatic. The agent suggests; the owner confirms.</w:t>
      </w:r>
    </w:p>
    <w:p>
      <w:pPr>
        <w:pStyle w:val="ListParagraph"/>
        <w:numPr>
          <w:ilvl w:val="0"/>
          <w:numId w:val="2"/>
        </w:numPr>
        <w:spacing w:after="40" w:before="40"/>
      </w:pPr>
      <w:r>
        <w:rPr>
          <w:rFonts w:ascii="Arial" w:cs="Arial" w:eastAsia="Arial" w:hAnsi="Arial"/>
          <w:color w:val="5C6475"/>
          <w:sz w:val="20"/>
          <w:szCs w:val="20"/>
        </w:rPr>
        <w:t xml:space="preserve">Suggestion trigger: 10 consecutive approvals of the same action type without any edit.</w:t>
      </w:r>
    </w:p>
    <w:p>
      <w:pPr>
        <w:pStyle w:val="ListParagraph"/>
        <w:numPr>
          <w:ilvl w:val="0"/>
          <w:numId w:val="2"/>
        </w:numPr>
        <w:spacing w:after="40" w:before="40"/>
      </w:pPr>
      <w:r>
        <w:rPr>
          <w:rFonts w:ascii="Arial" w:cs="Arial" w:eastAsia="Arial" w:hAnsi="Arial"/>
          <w:color w:val="5C6475"/>
          <w:sz w:val="20"/>
          <w:szCs w:val="20"/>
        </w:rPr>
        <w:t xml:space="preserve">Hard floor for finance: invoices, payment chasers, and expense entries can never be promoted above Tier 2.</w:t>
      </w:r>
    </w:p>
    <w:p>
      <w:pPr>
        <w:pStyle w:val="ListParagraph"/>
        <w:numPr>
          <w:ilvl w:val="0"/>
          <w:numId w:val="2"/>
        </w:numPr>
        <w:spacing w:after="40" w:before="40"/>
      </w:pPr>
      <w:r>
        <w:rPr>
          <w:rFonts w:ascii="Arial" w:cs="Arial" w:eastAsia="Arial" w:hAnsi="Arial"/>
          <w:color w:val="5C6475"/>
          <w:sz w:val="20"/>
          <w:szCs w:val="20"/>
        </w:rPr>
        <w:t xml:space="preserve">Hard floor for research outputs: all web research results are Tier 3 minimum. Agent never acts on research without owner review.</w:t>
      </w:r>
    </w:p>
    <w:p>
      <w:pPr>
        <w:pStyle w:val="ListParagraph"/>
        <w:numPr>
          <w:ilvl w:val="0"/>
          <w:numId w:val="2"/>
        </w:numPr>
        <w:spacing w:after="40" w:before="40"/>
      </w:pPr>
      <w:r>
        <w:rPr>
          <w:rFonts w:ascii="Arial" w:cs="Arial" w:eastAsia="Arial" w:hAnsi="Arial"/>
          <w:color w:val="5C6475"/>
          <w:sz w:val="20"/>
          <w:szCs w:val="20"/>
        </w:rPr>
        <w:t xml:space="preserve">Week 1 override: all actions Tier 3 for the first 7 days regardless of any other setting.</w:t>
      </w:r>
    </w:p>
    <w:p>
      <w:pPr>
        <w:pStyle w:val="ListParagraph"/>
        <w:numPr>
          <w:ilvl w:val="0"/>
          <w:numId w:val="2"/>
        </w:numPr>
        <w:spacing w:after="40" w:before="40"/>
      </w:pPr>
      <w:r>
        <w:rPr>
          <w:rFonts w:ascii="Arial" w:cs="Arial" w:eastAsia="Arial" w:hAnsi="Arial"/>
          <w:color w:val="5C6475"/>
          <w:sz w:val="20"/>
          <w:szCs w:val="20"/>
        </w:rPr>
        <w:t xml:space="preserve">Demotion: any action type can be demoted at any time in Settings &gt; Autonomy. One tap.</w:t>
      </w:r>
    </w:p>
    <w:p>
      <w:r>
        <w:br w:type="page"/>
      </w:r>
    </w:p>
    <w:p>
      <w:pPr>
        <w:pStyle w:val="Heading1"/>
        <w:pBdr>
          <w:bottom w:val="single" w:color="5A4FD0" w:sz="8" w:space="4"/>
        </w:pBdr>
        <w:spacing w:after="160" w:before="440"/>
      </w:pPr>
      <w:r>
        <w:rPr>
          <w:rFonts w:ascii="Arial" w:cs="Arial" w:eastAsia="Arial" w:hAnsi="Arial"/>
          <w:b/>
          <w:bCs/>
          <w:color w:val="2C3240"/>
          <w:sz w:val="36"/>
          <w:szCs w:val="36"/>
        </w:rPr>
        <w:t xml:space="preserve">6. MVP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377E8" w:sz="4"/>
              <w:left w:val="single" w:color="8377E8" w:sz="4"/>
              <w:bottom w:val="single" w:color="8377E8" w:sz="4"/>
              <w:right w:val="single" w:color="8377E8" w:sz="4"/>
            </w:tcBorders>
            <w:shd w:fill="EDE9FF" w:val="clear"/>
            <w:tcMar>
              <w:top w:type="dxa" w:w="120"/>
              <w:left w:type="dxa" w:w="160"/>
              <w:bottom w:type="dxa" w:w="120"/>
              <w:right w:type="dxa" w:w="160"/>
            </w:tcMar>
          </w:tcPr>
          <w:p>
            <w:pPr>
              <w:spacing w:after="0" w:before="0"/>
            </w:pPr>
            <w:r>
              <w:rPr>
                <w:rFonts w:ascii="Arial" w:cs="Arial" w:eastAsia="Arial" w:hAnsi="Arial"/>
                <w:b/>
                <w:bCs/>
                <w:color w:val="5A4FD0"/>
                <w:sz w:val="18"/>
                <w:szCs w:val="18"/>
              </w:rPr>
              <w:t xml:space="preserve">NOTE  </w:t>
            </w:r>
            <w:r>
              <w:rPr>
                <w:rFonts w:ascii="Arial" w:cs="Arial" w:eastAsia="Arial" w:hAnsi="Arial"/>
                <w:color w:val="2C3240"/>
                <w:sz w:val="18"/>
                <w:szCs w:val="18"/>
              </w:rPr>
              <w:t xml:space="preserve">The MVP hypothesis: one SME owner, Gmail + Google Calendar + Xero, under-25-minute setup, at least one real agent action in week one, nothing breaks. That is the only question the MVP needs to answer. Do not build Phase 2 features to fix Phase 1 problems.</w:t>
            </w:r>
          </w:p>
        </w:tc>
      </w:tr>
    </w:tbl>
    <w:p>
      <w:pPr>
        <w:spacing w:after="0" w:before="80"/>
      </w:pPr>
      <w:r>
        <w:rPr>
          <w:rFonts w:ascii="Arial" w:cs="Arial" w:eastAsia="Arial" w:hAnsi="Arial"/>
          <w:color w:val="2C3240"/>
          <w:sz w:val="20"/>
          <w:szCs w:val="20"/>
        </w:rPr>
        <w:t xml:space="preserve"/>
      </w:r>
    </w:p>
    <w:p>
      <w:pPr>
        <w:pStyle w:val="Heading2"/>
        <w:spacing w:after="100" w:before="300"/>
      </w:pPr>
      <w:r>
        <w:rPr>
          <w:rFonts w:ascii="Arial" w:cs="Arial" w:eastAsia="Arial" w:hAnsi="Arial"/>
          <w:b/>
          <w:bCs/>
          <w:color w:val="2C3240"/>
          <w:sz w:val="26"/>
          <w:szCs w:val="26"/>
        </w:rPr>
        <w:t xml:space="preserve">6.1  Three Core Workflows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1800"/>
        <w:gridCol w:w="4000"/>
        <w:gridCol w:w="3160"/>
      </w:tblGrid>
      <w:tr>
        <w:tc>
          <w:tcPr>
            <w:tcW w:type="dxa" w:w="4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w:t>
            </w:r>
          </w:p>
        </w:tc>
        <w:tc>
          <w:tcPr>
            <w:tcW w:type="dxa" w:w="18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Workflow</w:t>
            </w:r>
          </w:p>
        </w:tc>
        <w:tc>
          <w:tcPr>
            <w:tcW w:type="dxa" w:w="40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Agent execution</w:t>
            </w:r>
          </w:p>
        </w:tc>
        <w:tc>
          <w:tcPr>
            <w:tcW w:type="dxa" w:w="316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Success condition</w:t>
            </w:r>
          </w:p>
        </w:tc>
      </w:tr>
      <w:tr>
        <w:tc>
          <w:tcPr>
            <w:tcW w:type="dxa" w:w="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1</w:t>
            </w:r>
          </w:p>
        </w:tc>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Email Triage &amp; Response</w:t>
            </w:r>
          </w:p>
        </w:tc>
        <w:tc>
          <w:tcPr>
            <w:tcW w:type="dxa" w:w="40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Classifies inbox. Generates 2-line summaries. Drafts replies using business memory. Queues for approval via email notification.</w:t>
            </w:r>
          </w:p>
        </w:tc>
        <w:tc>
          <w:tcPr>
            <w:tcW w:type="dxa" w:w="31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Owner approves a draft reply from their phone, without typing, within the first week.</w:t>
            </w:r>
          </w:p>
        </w:tc>
      </w:tr>
      <w:tr>
        <w:tc>
          <w:tcPr>
            <w:tcW w:type="dxa" w:w="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2</w:t>
            </w:r>
          </w:p>
        </w:tc>
        <w:tc>
          <w:tcPr>
            <w:tcW w:type="dxa" w:w="1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Booking Handling via Email</w:t>
            </w:r>
          </w:p>
        </w:tc>
        <w:tc>
          <w:tcPr>
            <w:tcW w:type="dxa" w:w="40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Detects booking requests. Checks Calendar availability + buffer rules. Proposes 2-3 slots. On selection: creates event, sends confirmation, queues reminders.</w:t>
            </w:r>
          </w:p>
        </w:tc>
        <w:tc>
          <w:tcPr>
            <w:tcW w:type="dxa" w:w="31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 booking confirmed via agent-drafted email with no owner typing, in week one.</w:t>
            </w:r>
          </w:p>
        </w:tc>
      </w:tr>
      <w:tr>
        <w:tc>
          <w:tcPr>
            <w:tcW w:type="dxa" w:w="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3</w:t>
            </w:r>
          </w:p>
        </w:tc>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Invoice Creation &amp; Payment Chasing</w:t>
            </w:r>
          </w:p>
        </w:tc>
        <w:tc>
          <w:tcPr>
            <w:tcW w:type="dxa" w:w="40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Owner sends text instruction: "Invoice Tom $2,400 fencing job." Agent drafts Xero invoice with GST. Day 7/14/21 chasers with live Xero status verification before each.</w:t>
            </w:r>
          </w:p>
        </w:tc>
        <w:tc>
          <w:tcPr>
            <w:tcW w:type="dxa" w:w="31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An invoice created and correctly-timed chaser sent without owner doing it manually.</w:t>
            </w:r>
          </w:p>
        </w:tc>
      </w:tr>
    </w:tbl>
    <w:p>
      <w:pPr>
        <w:pStyle w:val="Heading2"/>
        <w:spacing w:after="100" w:before="300"/>
      </w:pPr>
      <w:r>
        <w:rPr>
          <w:rFonts w:ascii="Arial" w:cs="Arial" w:eastAsia="Arial" w:hAnsi="Arial"/>
          <w:b/>
          <w:bCs/>
          <w:color w:val="2C3240"/>
          <w:sz w:val="26"/>
          <w:szCs w:val="26"/>
        </w:rPr>
        <w:t xml:space="preserve">6.2  Five UI Screens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600"/>
        <w:gridCol w:w="5360"/>
      </w:tblGrid>
      <w:tr>
        <w:tc>
          <w:tcPr>
            <w:tcW w:type="dxa" w:w="14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Screen</w:t>
            </w:r>
          </w:p>
        </w:tc>
        <w:tc>
          <w:tcPr>
            <w:tcW w:type="dxa" w:w="26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Purpose</w:t>
            </w:r>
          </w:p>
        </w:tc>
        <w:tc>
          <w:tcPr>
            <w:tcW w:type="dxa" w:w="536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Non-negotiable elements</w:t>
            </w:r>
          </w:p>
        </w:tc>
      </w:tr>
      <w:tr>
        <w:tc>
          <w:tcPr>
            <w:tcW w:type="dxa" w:w="1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Home</w:t>
            </w:r>
          </w:p>
        </w:tc>
        <w:tc>
          <w:tcPr>
            <w:tcW w:type="dxa" w:w="2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Today's activity overview. Quick access to approval queue. Instruction input.</w:t>
            </w:r>
          </w:p>
        </w:tc>
        <w:tc>
          <w:tcPr>
            <w:tcW w:type="dxa" w:w="53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Recent agent actions, pending approvals count, instruction input, connection status, lead pipeline summary badge</w:t>
            </w:r>
          </w:p>
        </w:tc>
      </w:tr>
      <w:tr>
        <w:tc>
          <w:tcPr>
            <w:tcW w:type="dxa" w:w="1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Approval Queue</w:t>
            </w:r>
          </w:p>
        </w:tc>
        <w:tc>
          <w:tcPr>
            <w:tcW w:type="dxa" w:w="2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THE product. Review, approve, edit, or reject every pending agent action.</w:t>
            </w:r>
          </w:p>
        </w:tc>
        <w:tc>
          <w:tcPr>
            <w:tcW w:type="dxa" w:w="53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Swipeable cards (WHO/WHAT/WHY/WHEN), approve/edit/reject, batch approve, urgency sort, 2hr Tier 2 countdown, execution plan display</w:t>
            </w:r>
          </w:p>
        </w:tc>
      </w:tr>
      <w:tr>
        <w:tc>
          <w:tcPr>
            <w:tcW w:type="dxa" w:w="1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Memory</w:t>
            </w:r>
          </w:p>
        </w:tc>
        <w:tc>
          <w:tcPr>
            <w:tcW w:type="dxa" w:w="2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What the agent knows. Owner reviews, corrects, and adds to knowledge base.</w:t>
            </w:r>
          </w:p>
        </w:tc>
        <w:tc>
          <w:tcPr>
            <w:tcW w:type="dxa" w:w="53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Client list with history, staff list, supplier list, business profile, learned preferences, pending rule suggestions</w:t>
            </w:r>
          </w:p>
        </w:tc>
      </w:tr>
      <w:tr>
        <w:tc>
          <w:tcPr>
            <w:tcW w:type="dxa" w:w="1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Activity Log</w:t>
            </w:r>
          </w:p>
        </w:tc>
        <w:tc>
          <w:tcPr>
            <w:tcW w:type="dxa" w:w="2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Full history of every action taken or queued.</w:t>
            </w:r>
          </w:p>
        </w:tc>
        <w:tc>
          <w:tcPr>
            <w:tcW w:type="dxa" w:w="53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Timeline view, filter by date/workflow/status/type, plain-English descriptions, expandable provenance</w:t>
            </w:r>
          </w:p>
        </w:tc>
      </w:tr>
      <w:tr>
        <w:tc>
          <w:tcPr>
            <w:tcW w:type="dxa" w:w="1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Settings</w:t>
            </w:r>
          </w:p>
        </w:tc>
        <w:tc>
          <w:tcPr>
            <w:tcW w:type="dxa" w:w="2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All configuration. Never accessed in normal daily use.</w:t>
            </w:r>
          </w:p>
        </w:tc>
        <w:tc>
          <w:tcPr>
            <w:tcW w:type="dxa" w:w="53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OAuth connections, autonomy tier editor, notification frequency, usage bar, billing, provider status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ED9D0" w:sz="4"/>
              <w:left w:val="single" w:color="DED9D0" w:sz="4"/>
              <w:bottom w:val="single" w:color="DED9D0" w:sz="4"/>
              <w:right w:val="single" w:color="DED9D0" w:sz="4"/>
            </w:tcBorders>
            <w:shd w:fill="EDE6D8" w:val="clear"/>
            <w:tcMar>
              <w:top w:type="dxa" w:w="120"/>
              <w:left w:type="dxa" w:w="160"/>
              <w:bottom w:type="dxa" w:w="120"/>
              <w:right w:type="dxa" w:w="160"/>
            </w:tcMar>
          </w:tcPr>
          <w:p>
            <w:pPr>
              <w:spacing w:after="0" w:before="0"/>
            </w:pPr>
            <w:r>
              <w:rPr>
                <w:rFonts w:ascii="Arial" w:cs="Arial" w:eastAsia="Arial" w:hAnsi="Arial"/>
                <w:b/>
                <w:bCs/>
                <w:color w:val="2C3240"/>
                <w:sz w:val="18"/>
                <w:szCs w:val="18"/>
              </w:rPr>
              <w:t xml:space="preserve">BUILD  </w:t>
            </w:r>
            <w:r>
              <w:rPr>
                <w:rFonts w:ascii="Arial" w:cs="Arial" w:eastAsia="Arial" w:hAnsi="Arial"/>
                <w:color w:val="2C3240"/>
                <w:sz w:val="18"/>
                <w:szCs w:val="18"/>
              </w:rPr>
              <w:t xml:space="preserve">Settings is behind a top-right menu icon — not a persistent bottom tab. Putting settings in the nav bar signals owners will need to configure constantly. They should not.</w:t>
            </w:r>
          </w:p>
        </w:tc>
      </w:tr>
    </w:tbl>
    <w:p>
      <w:pPr>
        <w:pStyle w:val="Heading2"/>
        <w:spacing w:after="100" w:before="300"/>
      </w:pPr>
      <w:r>
        <w:rPr>
          <w:rFonts w:ascii="Arial" w:cs="Arial" w:eastAsia="Arial" w:hAnsi="Arial"/>
          <w:b/>
          <w:bCs/>
          <w:color w:val="2C3240"/>
          <w:sz w:val="26"/>
          <w:szCs w:val="26"/>
        </w:rPr>
        <w:t xml:space="preserve">6.3  Onboarding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5500"/>
        <w:gridCol w:w="1660"/>
      </w:tblGrid>
      <w:tr>
        <w:tc>
          <w:tcPr>
            <w:tcW w:type="dxa" w:w="6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Step</w:t>
            </w:r>
          </w:p>
        </w:tc>
        <w:tc>
          <w:tcPr>
            <w:tcW w:type="dxa" w:w="16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Name</w:t>
            </w:r>
          </w:p>
        </w:tc>
        <w:tc>
          <w:tcPr>
            <w:tcW w:type="dxa" w:w="55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What happens</w:t>
            </w:r>
          </w:p>
        </w:tc>
        <w:tc>
          <w:tcPr>
            <w:tcW w:type="dxa" w:w="166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Time</w:t>
            </w:r>
          </w:p>
        </w:tc>
      </w:tr>
      <w:tr>
        <w:tc>
          <w:tcPr>
            <w:tcW w:type="dxa" w:w="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1</w:t>
            </w:r>
          </w:p>
        </w:tc>
        <w:tc>
          <w:tcPr>
            <w:tcW w:type="dxa" w:w="1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Connect</w:t>
            </w:r>
          </w:p>
        </w:tc>
        <w:tc>
          <w:tcPr>
            <w:tcW w:type="dxa" w:w="55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OAuth for Gmail, Google Calendar, Xero. Real-time connection status. Agent cannot start without Gmail.</w:t>
            </w:r>
          </w:p>
        </w:tc>
        <w:tc>
          <w:tcPr>
            <w:tcW w:type="dxa" w:w="16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5 min</w:t>
            </w:r>
          </w:p>
        </w:tc>
      </w:tr>
      <w:tr>
        <w:tc>
          <w:tcPr>
            <w:tcW w:type="dxa" w:w="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2</w:t>
            </w:r>
          </w:p>
        </w:tc>
        <w:tc>
          <w:tcPr>
            <w:tcW w:type="dxa" w:w="1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About your business</w:t>
            </w:r>
          </w:p>
        </w:tc>
        <w:tc>
          <w:tcPr>
            <w:tcW w:type="dxa" w:w="55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8 questions: business type, service scope, pricing range, payment terms, GST status, staff count, good client email example (tone seed), communication rules.</w:t>
            </w:r>
          </w:p>
        </w:tc>
        <w:tc>
          <w:tcPr>
            <w:tcW w:type="dxa" w:w="16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8 min</w:t>
            </w:r>
          </w:p>
        </w:tc>
      </w:tr>
      <w:tr>
        <w:tc>
          <w:tcPr>
            <w:tcW w:type="dxa" w:w="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3</w:t>
            </w:r>
          </w:p>
        </w:tc>
        <w:tc>
          <w:tcPr>
            <w:tcW w:type="dxa" w:w="1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Preferences</w:t>
            </w:r>
          </w:p>
        </w:tc>
        <w:tc>
          <w:tcPr>
            <w:tcW w:type="dxa" w:w="55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Notification frequency, time zone (auto-detected), task defaults.</w:t>
            </w:r>
          </w:p>
        </w:tc>
        <w:tc>
          <w:tcPr>
            <w:tcW w:type="dxa" w:w="16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4 min</w:t>
            </w:r>
          </w:p>
        </w:tc>
      </w:tr>
      <w:tr>
        <w:tc>
          <w:tcPr>
            <w:tcW w:type="dxa" w:w="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4</w:t>
            </w:r>
          </w:p>
        </w:tc>
        <w:tc>
          <w:tcPr>
            <w:tcW w:type="dxa" w:w="1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Review &amp; Launch</w:t>
            </w:r>
          </w:p>
        </w:tc>
        <w:tc>
          <w:tcPr>
            <w:tcW w:type="dxa" w:w="55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Summary of all inputs. Memory summary shown. DRY RUN: agent shows 2-3 proposals against recent real emails before going live.</w:t>
            </w:r>
          </w:p>
        </w:tc>
        <w:tc>
          <w:tcPr>
            <w:tcW w:type="dxa" w:w="16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8 min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ED9D0" w:sz="4"/>
              <w:left w:val="single" w:color="DED9D0" w:sz="4"/>
              <w:bottom w:val="single" w:color="DED9D0" w:sz="4"/>
              <w:right w:val="single" w:color="DED9D0" w:sz="4"/>
            </w:tcBorders>
            <w:shd w:fill="EDE6D8" w:val="clear"/>
            <w:tcMar>
              <w:top w:type="dxa" w:w="120"/>
              <w:left w:type="dxa" w:w="160"/>
              <w:bottom w:type="dxa" w:w="120"/>
              <w:right w:type="dxa" w:w="160"/>
            </w:tcMar>
          </w:tcPr>
          <w:p>
            <w:pPr>
              <w:spacing w:after="0" w:before="0"/>
            </w:pPr>
            <w:r>
              <w:rPr>
                <w:rFonts w:ascii="Arial" w:cs="Arial" w:eastAsia="Arial" w:hAnsi="Arial"/>
                <w:b/>
                <w:bCs/>
                <w:color w:val="2C3240"/>
                <w:sz w:val="18"/>
                <w:szCs w:val="18"/>
              </w:rPr>
              <w:t xml:space="preserve">BUILD  </w:t>
            </w:r>
            <w:r>
              <w:rPr>
                <w:rFonts w:ascii="Arial" w:cs="Arial" w:eastAsia="Arial" w:hAnsi="Arial"/>
                <w:color w:val="2C3240"/>
                <w:sz w:val="18"/>
                <w:szCs w:val="18"/>
              </w:rPr>
              <w:t xml:space="preserve">The dry run in Step 4 is non-optional. The owner must see real proposals against their own recent data before going live. This is the moment trust is won.</w:t>
            </w:r>
          </w:p>
        </w:tc>
      </w:tr>
    </w:tbl>
    <w:p>
      <w:r>
        <w:br w:type="page"/>
      </w:r>
    </w:p>
    <w:p>
      <w:pPr>
        <w:pStyle w:val="Heading1"/>
        <w:pBdr>
          <w:bottom w:val="single" w:color="5A4FD0" w:sz="8" w:space="4"/>
        </w:pBdr>
        <w:spacing w:after="160" w:before="440"/>
      </w:pPr>
      <w:r>
        <w:rPr>
          <w:rFonts w:ascii="Arial" w:cs="Arial" w:eastAsia="Arial" w:hAnsi="Arial"/>
          <w:b/>
          <w:bCs/>
          <w:color w:val="2C3240"/>
          <w:sz w:val="36"/>
          <w:szCs w:val="36"/>
        </w:rPr>
        <w:t xml:space="preserve">7. Core Workflow Execution Logic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ED9D0" w:sz="4"/>
              <w:left w:val="single" w:color="DED9D0" w:sz="4"/>
              <w:bottom w:val="single" w:color="DED9D0" w:sz="4"/>
              <w:right w:val="single" w:color="DED9D0" w:sz="4"/>
            </w:tcBorders>
            <w:shd w:fill="EDE6D8" w:val="clear"/>
            <w:tcMar>
              <w:top w:type="dxa" w:w="120"/>
              <w:left w:type="dxa" w:w="160"/>
              <w:bottom w:type="dxa" w:w="120"/>
              <w:right w:type="dxa" w:w="160"/>
            </w:tcMar>
          </w:tcPr>
          <w:p>
            <w:pPr>
              <w:spacing w:after="0" w:before="0"/>
            </w:pPr>
            <w:r>
              <w:rPr>
                <w:rFonts w:ascii="Arial" w:cs="Arial" w:eastAsia="Arial" w:hAnsi="Arial"/>
                <w:b/>
                <w:bCs/>
                <w:color w:val="2C3240"/>
                <w:sz w:val="18"/>
                <w:szCs w:val="18"/>
              </w:rPr>
              <w:t xml:space="preserve">BUILD  </w:t>
            </w:r>
            <w:r>
              <w:rPr>
                <w:rFonts w:ascii="Arial" w:cs="Arial" w:eastAsia="Arial" w:hAnsi="Arial"/>
                <w:color w:val="2C3240"/>
                <w:sz w:val="18"/>
                <w:szCs w:val="18"/>
              </w:rPr>
              <w:t xml:space="preserve">These are engineering requirements, not feature descriptions. Every numbered step is a build deliverable. The logic is exact and must not be approximated.</w:t>
            </w:r>
          </w:p>
        </w:tc>
      </w:tr>
    </w:tbl>
    <w:p>
      <w:pPr>
        <w:pStyle w:val="Heading2"/>
        <w:spacing w:after="100" w:before="300"/>
      </w:pPr>
      <w:r>
        <w:rPr>
          <w:rFonts w:ascii="Arial" w:cs="Arial" w:eastAsia="Arial" w:hAnsi="Arial"/>
          <w:b/>
          <w:bCs/>
          <w:color w:val="2C3240"/>
          <w:sz w:val="26"/>
          <w:szCs w:val="26"/>
        </w:rPr>
        <w:t xml:space="preserve">7.1  Email Workflow</w:t>
      </w:r>
    </w:p>
    <w:p>
      <w:pPr>
        <w:pStyle w:val="Heading3"/>
        <w:spacing w:after="80" w:before="200"/>
      </w:pPr>
      <w:r>
        <w:rPr>
          <w:rFonts w:ascii="Arial" w:cs="Arial" w:eastAsia="Arial" w:hAnsi="Arial"/>
          <w:b/>
          <w:bCs/>
          <w:color w:val="5A4FD0"/>
          <w:sz w:val="22"/>
          <w:szCs w:val="22"/>
        </w:rPr>
        <w:t xml:space="preserve">Inbound Processing</w:t>
      </w:r>
    </w:p>
    <w:p>
      <w:pPr>
        <w:pStyle w:val="ListParagraph"/>
        <w:numPr>
          <w:ilvl w:val="0"/>
          <w:numId w:val="2"/>
        </w:numPr>
        <w:spacing w:after="40" w:before="40"/>
      </w:pPr>
      <w:r>
        <w:rPr>
          <w:rFonts w:ascii="Arial" w:cs="Arial" w:eastAsia="Arial" w:hAnsi="Arial"/>
          <w:color w:val="5C6475"/>
          <w:sz w:val="20"/>
          <w:szCs w:val="20"/>
        </w:rPr>
        <w:t>Provider notification fires: Gmail via Cloud Pub/Sub, Outlook via Microsoft Graph change notifications → FastAPI webhook → job added to queue with priority based on classification hint</w:t>
      </w:r>
    </w:p>
    <w:p>
      <w:pPr>
        <w:pStyle w:val="ListParagraph"/>
        <w:numPr>
          <w:ilvl w:val="0"/>
          <w:numId w:val="2"/>
        </w:numPr>
        <w:spacing w:after="40" w:before="40"/>
      </w:pPr>
      <w:r>
        <w:rPr>
          <w:rFonts w:ascii="Arial" w:cs="Arial" w:eastAsia="Arial" w:hAnsi="Arial"/>
          <w:color w:val="5C6475"/>
          <w:sz w:val="20"/>
          <w:szCs w:val="20"/>
        </w:rPr>
        <w:t xml:space="preserve">Email Worker fetches full thread (not just latest message) — thread context required for coherent reply generation</w:t>
      </w:r>
    </w:p>
    <w:p>
      <w:pPr>
        <w:pStyle w:val="ListParagraph"/>
        <w:numPr>
          <w:ilvl w:val="0"/>
          <w:numId w:val="2"/>
        </w:numPr>
        <w:spacing w:after="40" w:before="40"/>
      </w:pPr>
      <w:r>
        <w:rPr>
          <w:rFonts w:ascii="Arial" w:cs="Arial" w:eastAsia="Arial" w:hAnsi="Arial"/>
          <w:color w:val="5C6475"/>
          <w:sz w:val="20"/>
          <w:szCs w:val="20"/>
        </w:rPr>
        <w:t xml:space="preserve">Groq classifies: [new lead | existing client | booking request | complaint | invoice | payment confirmation | supplier | FYI | spam]</w:t>
      </w:r>
    </w:p>
    <w:p>
      <w:pPr>
        <w:pStyle w:val="ListParagraph"/>
        <w:numPr>
          <w:ilvl w:val="0"/>
          <w:numId w:val="2"/>
        </w:numPr>
        <w:spacing w:after="40" w:before="40"/>
      </w:pPr>
      <w:r>
        <w:rPr>
          <w:rFonts w:ascii="Arial" w:cs="Arial" w:eastAsia="Arial" w:hAnsi="Arial"/>
          <w:color w:val="5C6475"/>
          <w:sz w:val="20"/>
          <w:szCs w:val="20"/>
        </w:rPr>
        <w:t xml:space="preserve">2-line summary generated and stored in activity log with timestamp and classification label</w:t>
      </w:r>
    </w:p>
    <w:p>
      <w:pPr>
        <w:pStyle w:val="ListParagraph"/>
        <w:numPr>
          <w:ilvl w:val="0"/>
          <w:numId w:val="2"/>
        </w:numPr>
        <w:spacing w:after="40" w:before="40"/>
      </w:pPr>
      <w:r>
        <w:rPr>
          <w:rFonts w:ascii="Arial" w:cs="Arial" w:eastAsia="Arial" w:hAnsi="Arial"/>
          <w:color w:val="5C6475"/>
          <w:sz w:val="20"/>
          <w:szCs w:val="20"/>
        </w:rPr>
        <w:t xml:space="preserve">pgvector query: retrieve top-3 chunks from semantic memory matching sender + subject. Fetch structured client record if sender known.</w:t>
      </w:r>
    </w:p>
    <w:p>
      <w:pPr>
        <w:pStyle w:val="ListParagraph"/>
        <w:numPr>
          <w:ilvl w:val="0"/>
          <w:numId w:val="2"/>
        </w:numPr>
        <w:spacing w:after="40" w:before="40"/>
      </w:pPr>
      <w:r>
        <w:rPr>
          <w:rFonts w:ascii="Arial" w:cs="Arial" w:eastAsia="Arial" w:hAnsi="Arial"/>
          <w:color w:val="5C6475"/>
          <w:sz w:val="20"/>
          <w:szCs w:val="20"/>
        </w:rPr>
        <w:t xml:space="preserve">Autonomy tier determined: classification + sender type + owner-configured rules + week-1 override</w:t>
      </w:r>
    </w:p>
    <w:p>
      <w:pPr>
        <w:pStyle w:val="ListParagraph"/>
        <w:numPr>
          <w:ilvl w:val="0"/>
          <w:numId w:val="2"/>
        </w:numPr>
        <w:spacing w:after="40" w:before="40"/>
      </w:pPr>
      <w:r>
        <w:rPr>
          <w:rFonts w:ascii="Arial" w:cs="Arial" w:eastAsia="Arial" w:hAnsi="Arial"/>
          <w:color w:val="5C6475"/>
          <w:sz w:val="20"/>
          <w:szCs w:val="20"/>
        </w:rPr>
        <w:t xml:space="preserve">Draft generated using classification-specific template + retrieved memory chunks + tone model. Explicit instruction: use only retrieved context, never hallucinated facts.</w:t>
      </w:r>
    </w:p>
    <w:p>
      <w:pPr>
        <w:pStyle w:val="ListParagraph"/>
        <w:numPr>
          <w:ilvl w:val="0"/>
          <w:numId w:val="2"/>
        </w:numPr>
        <w:spacing w:after="40" w:before="40"/>
      </w:pPr>
      <w:r>
        <w:rPr>
          <w:rFonts w:ascii="Arial" w:cs="Arial" w:eastAsia="Arial" w:hAnsi="Arial"/>
          <w:color w:val="5C6475"/>
          <w:sz w:val="20"/>
          <w:szCs w:val="20"/>
        </w:rPr>
        <w:t xml:space="preserve">Draft stored in action queue. Approval email sent with WHO/WHAT/WHY/WHEN and three tap-target buttons.</w:t>
      </w:r>
    </w:p>
    <w:p>
      <w:pPr>
        <w:pStyle w:val="ListParagraph"/>
        <w:numPr>
          <w:ilvl w:val="0"/>
          <w:numId w:val="2"/>
        </w:numPr>
        <w:spacing w:after="40" w:before="40"/>
      </w:pPr>
      <w:r>
        <w:rPr>
          <w:rFonts w:ascii="Arial" w:cs="Arial" w:eastAsia="Arial" w:hAnsi="Arial"/>
          <w:color w:val="5C6475"/>
          <w:sz w:val="20"/>
          <w:szCs w:val="20"/>
        </w:rPr>
        <w:t>On approval: email sent through the active EmailProvider (Gmail API or Outlook/Microsoft Graph), action logged, follow-up sequence triggered if applicable.</w:t>
      </w:r>
    </w:p>
    <w:p>
      <w:pPr>
        <w:pStyle w:val="Heading3"/>
        <w:spacing w:after="80" w:before="200"/>
      </w:pPr>
      <w:r>
        <w:rPr>
          <w:rFonts w:ascii="Arial" w:cs="Arial" w:eastAsia="Arial" w:hAnsi="Arial"/>
          <w:b/>
          <w:bCs/>
          <w:color w:val="5A4FD0"/>
          <w:sz w:val="22"/>
          <w:szCs w:val="22"/>
        </w:rPr>
        <w:t xml:space="preserve">Follow-Up Sequences</w:t>
      </w:r>
    </w:p>
    <w:p>
      <w:pPr>
        <w:pStyle w:val="ListParagraph"/>
        <w:numPr>
          <w:ilvl w:val="0"/>
          <w:numId w:val="2"/>
        </w:numPr>
        <w:spacing w:after="40" w:before="40"/>
      </w:pPr>
      <w:r>
        <w:rPr>
          <w:rFonts w:ascii="Arial" w:cs="Arial" w:eastAsia="Arial" w:hAnsi="Arial"/>
          <w:color w:val="5C6475"/>
          <w:sz w:val="20"/>
          <w:szCs w:val="20"/>
        </w:rPr>
        <w:t xml:space="preserve">New lead inquiry: +48h, +5 days, +10 days. Halts on any reply. All Tier 3.</w:t>
      </w:r>
    </w:p>
    <w:p>
      <w:pPr>
        <w:pStyle w:val="ListParagraph"/>
        <w:numPr>
          <w:ilvl w:val="0"/>
          <w:numId w:val="2"/>
        </w:numPr>
        <w:spacing w:after="40" w:before="40"/>
      </w:pPr>
      <w:r>
        <w:rPr>
          <w:rFonts w:ascii="Arial" w:cs="Arial" w:eastAsia="Arial" w:hAnsi="Arial"/>
          <w:color w:val="5C6475"/>
          <w:sz w:val="20"/>
          <w:szCs w:val="20"/>
        </w:rPr>
        <w:t xml:space="preserve">Quote sent: +48h, +5 days, +10 days. Halts on acceptance or any client reply.</w:t>
      </w:r>
    </w:p>
    <w:p>
      <w:pPr>
        <w:pStyle w:val="ListParagraph"/>
        <w:numPr>
          <w:ilvl w:val="0"/>
          <w:numId w:val="2"/>
        </w:numPr>
        <w:spacing w:after="40" w:before="40"/>
      </w:pPr>
      <w:r>
        <w:rPr>
          <w:rFonts w:ascii="Arial" w:cs="Arial" w:eastAsia="Arial" w:hAnsi="Arial"/>
          <w:color w:val="5C6475"/>
          <w:sz w:val="20"/>
          <w:szCs w:val="20"/>
        </w:rPr>
        <w:t xml:space="preserve">Post-job: +24h satisfaction check, +7 days review request. Configurable in plain English.</w:t>
      </w:r>
    </w:p>
    <w:p>
      <w:pPr>
        <w:pStyle w:val="ListParagraph"/>
        <w:numPr>
          <w:ilvl w:val="0"/>
          <w:numId w:val="2"/>
        </w:numPr>
        <w:spacing w:after="40" w:before="40"/>
      </w:pPr>
      <w:r>
        <w:rPr>
          <w:rFonts w:ascii="Arial" w:cs="Arial" w:eastAsia="Arial" w:hAnsi="Arial"/>
          <w:color w:val="5C6475"/>
          <w:sz w:val="20"/>
          <w:szCs w:val="20"/>
        </w:rPr>
        <w:t xml:space="preserve">Meeting booked: confirmation immediately, reminder 24h before, reminder 2h before.</w:t>
      </w:r>
    </w:p>
    <w:p>
      <w:pPr>
        <w:pStyle w:val="Heading2"/>
        <w:spacing w:after="100" w:before="300"/>
      </w:pPr>
      <w:r>
        <w:rPr>
          <w:rFonts w:ascii="Arial" w:cs="Arial" w:eastAsia="Arial" w:hAnsi="Arial"/>
          <w:b/>
          <w:bCs/>
          <w:color w:val="2C3240"/>
          <w:sz w:val="26"/>
          <w:szCs w:val="26"/>
        </w:rPr>
        <w:t xml:space="preserve">7.2  Calendar Workflow</w:t>
      </w:r>
    </w:p>
    <w:p>
      <w:pPr>
        <w:pStyle w:val="ListParagraph"/>
        <w:numPr>
          <w:ilvl w:val="0"/>
          <w:numId w:val="2"/>
        </w:numPr>
        <w:spacing w:after="40" w:before="40"/>
      </w:pPr>
      <w:r>
        <w:rPr>
          <w:rFonts w:ascii="Arial" w:cs="Arial" w:eastAsia="Arial" w:hAnsi="Arial"/>
          <w:color w:val="5C6475"/>
          <w:sz w:val="20"/>
          <w:szCs w:val="20"/>
        </w:rPr>
        <w:t>Booking request detected via email classification or calendar push event from Google Calendar or Outlook Calendar</w:t>
      </w:r>
    </w:p>
    <w:p>
      <w:pPr>
        <w:pStyle w:val="ListParagraph"/>
        <w:numPr>
          <w:ilvl w:val="0"/>
          <w:numId w:val="2"/>
        </w:numPr>
        <w:spacing w:after="40" w:before="40"/>
      </w:pPr>
      <w:r>
        <w:rPr>
          <w:rFonts w:ascii="Arial" w:cs="Arial" w:eastAsia="Arial" w:hAnsi="Arial"/>
          <w:color w:val="5C6475"/>
          <w:sz w:val="20"/>
          <w:szCs w:val="20"/>
        </w:rPr>
        <w:t xml:space="preserve">Calendar Worker fetches availability: primary calendar + buffer rules (default 30-min gap, configurable)</w:t>
      </w:r>
    </w:p>
    <w:p>
      <w:pPr>
        <w:pStyle w:val="ListParagraph"/>
        <w:numPr>
          <w:ilvl w:val="0"/>
          <w:numId w:val="2"/>
        </w:numPr>
        <w:spacing w:after="40" w:before="40"/>
      </w:pPr>
      <w:r>
        <w:rPr>
          <w:rFonts w:ascii="Arial" w:cs="Arial" w:eastAsia="Arial" w:hAnsi="Arial"/>
          <w:color w:val="5C6475"/>
          <w:sz w:val="20"/>
          <w:szCs w:val="20"/>
        </w:rPr>
        <w:t xml:space="preserve">Business rules applied: minimum lead time, maximum daily bookings, blocked periods</w:t>
      </w:r>
    </w:p>
    <w:p>
      <w:pPr>
        <w:pStyle w:val="ListParagraph"/>
        <w:numPr>
          <w:ilvl w:val="0"/>
          <w:numId w:val="2"/>
        </w:numPr>
        <w:spacing w:after="40" w:before="40"/>
      </w:pPr>
      <w:r>
        <w:rPr>
          <w:rFonts w:ascii="Arial" w:cs="Arial" w:eastAsia="Arial" w:hAnsi="Arial"/>
          <w:color w:val="5C6475"/>
          <w:sz w:val="20"/>
          <w:szCs w:val="20"/>
        </w:rPr>
        <w:t xml:space="preserve">Draft reply with 2-3 available slots. Tier 3 for new client; Tier 2 for existing with &gt;30 days clean history.</w:t>
      </w:r>
    </w:p>
    <w:p>
      <w:pPr>
        <w:pStyle w:val="ListParagraph"/>
        <w:numPr>
          <w:ilvl w:val="0"/>
          <w:numId w:val="2"/>
        </w:numPr>
        <w:spacing w:after="40" w:before="40"/>
      </w:pPr>
      <w:r>
        <w:rPr>
          <w:rFonts w:ascii="Arial" w:cs="Arial" w:eastAsia="Arial" w:hAnsi="Arial"/>
          <w:color w:val="5C6475"/>
          <w:sz w:val="20"/>
          <w:szCs w:val="20"/>
        </w:rPr>
        <w:t xml:space="preserve">On slot selection: Calendar event created on both sides, confirmation sent, deposit link if configured, reminder sequence queued.</w:t>
      </w:r>
    </w:p>
    <w:p>
      <w:pPr>
        <w:pStyle w:val="ListParagraph"/>
        <w:numPr>
          <w:ilvl w:val="0"/>
          <w:numId w:val="2"/>
        </w:numPr>
        <w:spacing w:after="40" w:before="40"/>
      </w:pPr>
      <w:r>
        <w:rPr>
          <w:rFonts w:ascii="Arial" w:cs="Arial" w:eastAsia="Arial" w:hAnsi="Arial"/>
          <w:color w:val="5C6475"/>
          <w:sz w:val="20"/>
          <w:szCs w:val="20"/>
        </w:rPr>
        <w:t xml:space="preserve">No-show: 15 min after scheduled start → "Are you still coming?" at Tier 2, 5-min window. 30 min → Tier 4 with client name, booking value, three options.</w:t>
      </w:r>
    </w:p>
    <w:p>
      <w:pPr>
        <w:pStyle w:val="Heading2"/>
        <w:spacing w:after="100" w:before="300"/>
      </w:pPr>
      <w:r>
        <w:rPr>
          <w:rFonts w:ascii="Arial" w:cs="Arial" w:eastAsia="Arial" w:hAnsi="Arial"/>
          <w:b/>
          <w:bCs/>
          <w:color w:val="2C3240"/>
          <w:sz w:val="26"/>
          <w:szCs w:val="26"/>
        </w:rPr>
        <w:t xml:space="preserve">7.3  Finance Workflow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ED9D0" w:sz="4"/>
              <w:left w:val="single" w:color="DED9D0" w:sz="4"/>
              <w:bottom w:val="single" w:color="DED9D0" w:sz="4"/>
              <w:right w:val="single" w:color="DED9D0" w:sz="4"/>
            </w:tcBorders>
            <w:shd w:fill="EDE6D8" w:val="clear"/>
            <w:tcMar>
              <w:top w:type="dxa" w:w="120"/>
              <w:left w:type="dxa" w:w="160"/>
              <w:bottom w:type="dxa" w:w="120"/>
              <w:right w:type="dxa" w:w="160"/>
            </w:tcMar>
          </w:tcPr>
          <w:p>
            <w:pPr>
              <w:spacing w:after="0" w:before="0"/>
            </w:pPr>
            <w:r>
              <w:rPr>
                <w:rFonts w:ascii="Arial" w:cs="Arial" w:eastAsia="Arial" w:hAnsi="Arial"/>
                <w:b/>
                <w:bCs/>
                <w:color w:val="2C3240"/>
                <w:sz w:val="18"/>
                <w:szCs w:val="18"/>
              </w:rPr>
              <w:t xml:space="preserve">BUILD  </w:t>
            </w:r>
            <w:r>
              <w:rPr>
                <w:rFonts w:ascii="Arial" w:cs="Arial" w:eastAsia="Arial" w:hAnsi="Arial"/>
                <w:color w:val="2C3240"/>
                <w:sz w:val="18"/>
                <w:szCs w:val="18"/>
              </w:rPr>
              <w:t xml:space="preserve">All finance actions are Tier 3 minimum. Finance Worker queries Xero API live immediately before queuing any chaser. This verification step is non-optional and cannot be disabled. An invoice paid 5 minutes ago must never receive a chaser.</w:t>
            </w:r>
          </w:p>
        </w:tc>
      </w:tr>
    </w:tbl>
    <w:p>
      <w:pPr>
        <w:pStyle w:val="Heading3"/>
        <w:spacing w:after="80" w:before="200"/>
      </w:pPr>
      <w:r>
        <w:rPr>
          <w:rFonts w:ascii="Arial" w:cs="Arial" w:eastAsia="Arial" w:hAnsi="Arial"/>
          <w:b/>
          <w:bCs/>
          <w:color w:val="5A4FD0"/>
          <w:sz w:val="22"/>
          <w:szCs w:val="22"/>
        </w:rPr>
        <w:t xml:space="preserve">Invoice Creation</w:t>
      </w:r>
    </w:p>
    <w:p>
      <w:pPr>
        <w:pStyle w:val="ListParagraph"/>
        <w:numPr>
          <w:ilvl w:val="0"/>
          <w:numId w:val="2"/>
        </w:numPr>
        <w:spacing w:after="40" w:before="40"/>
      </w:pPr>
      <w:r>
        <w:rPr>
          <w:rFonts w:ascii="Arial" w:cs="Arial" w:eastAsia="Arial" w:hAnsi="Arial"/>
          <w:color w:val="5C6475"/>
          <w:sz w:val="20"/>
          <w:szCs w:val="20"/>
        </w:rPr>
        <w:t xml:space="preserve">Trigger: owner text instruction or calendar event completion with billable tag</w:t>
      </w:r>
    </w:p>
    <w:p>
      <w:pPr>
        <w:pStyle w:val="ListParagraph"/>
        <w:numPr>
          <w:ilvl w:val="0"/>
          <w:numId w:val="2"/>
        </w:numPr>
        <w:spacing w:after="40" w:before="40"/>
      </w:pPr>
      <w:r>
        <w:rPr>
          <w:rFonts w:ascii="Arial" w:cs="Arial" w:eastAsia="Arial" w:hAnsi="Arial"/>
          <w:color w:val="5C6475"/>
          <w:sz w:val="20"/>
          <w:szCs w:val="20"/>
        </w:rPr>
        <w:t xml:space="preserve">Finance Worker retrieves: scope from email thread memory, pricing from business memory, payment history from Xero, PO number if on file</w:t>
      </w:r>
    </w:p>
    <w:p>
      <w:pPr>
        <w:pStyle w:val="ListParagraph"/>
        <w:numPr>
          <w:ilvl w:val="0"/>
          <w:numId w:val="2"/>
        </w:numPr>
        <w:spacing w:after="40" w:before="40"/>
      </w:pPr>
      <w:r>
        <w:rPr>
          <w:rFonts w:ascii="Arial" w:cs="Arial" w:eastAsia="Arial" w:hAnsi="Arial"/>
          <w:color w:val="5C6475"/>
          <w:sz w:val="20"/>
          <w:szCs w:val="20"/>
        </w:rPr>
        <w:t xml:space="preserve">Invoice drafted: line items, GST 15% NZ / 10% AU configurable, payment terms, bank details</w:t>
      </w:r>
    </w:p>
    <w:p>
      <w:pPr>
        <w:pStyle w:val="ListParagraph"/>
        <w:numPr>
          <w:ilvl w:val="0"/>
          <w:numId w:val="2"/>
        </w:numPr>
        <w:spacing w:after="40" w:before="40"/>
      </w:pPr>
      <w:r>
        <w:rPr>
          <w:rFonts w:ascii="Arial" w:cs="Arial" w:eastAsia="Arial" w:hAnsi="Arial"/>
          <w:color w:val="5C6475"/>
          <w:sz w:val="20"/>
          <w:szCs w:val="20"/>
        </w:rPr>
        <w:t xml:space="preserve">Placed in Tier 3 queue. Owner reviews on mobile. Taps Approve.</w:t>
      </w:r>
    </w:p>
    <w:p>
      <w:pPr>
        <w:pStyle w:val="ListParagraph"/>
        <w:numPr>
          <w:ilvl w:val="0"/>
          <w:numId w:val="2"/>
        </w:numPr>
        <w:spacing w:after="40" w:before="40"/>
      </w:pPr>
      <w:r>
        <w:rPr>
          <w:rFonts w:ascii="Arial" w:cs="Arial" w:eastAsia="Arial" w:hAnsi="Arial"/>
          <w:color w:val="5C6475"/>
          <w:sz w:val="20"/>
          <w:szCs w:val="20"/>
        </w:rPr>
        <w:t xml:space="preserve">On approval: Xero invoice created, sent to client with payment link, logged with provenance.</w:t>
      </w:r>
    </w:p>
    <w:p>
      <w:pPr>
        <w:pStyle w:val="Heading3"/>
        <w:spacing w:after="80" w:before="200"/>
      </w:pPr>
      <w:r>
        <w:rPr>
          <w:rFonts w:ascii="Arial" w:cs="Arial" w:eastAsia="Arial" w:hAnsi="Arial"/>
          <w:b/>
          <w:bCs/>
          <w:color w:val="5A4FD0"/>
          <w:sz w:val="22"/>
          <w:szCs w:val="22"/>
        </w:rPr>
        <w:t xml:space="preserve">Payment Chaser Logic</w:t>
      </w:r>
    </w:p>
    <w:p>
      <w:pPr>
        <w:pStyle w:val="ListParagraph"/>
        <w:numPr>
          <w:ilvl w:val="0"/>
          <w:numId w:val="2"/>
        </w:numPr>
        <w:spacing w:after="40" w:before="40"/>
      </w:pPr>
      <w:r>
        <w:rPr>
          <w:rFonts w:ascii="Arial" w:cs="Arial" w:eastAsia="Arial" w:hAnsi="Arial"/>
          <w:color w:val="5C6475"/>
          <w:sz w:val="20"/>
          <w:szCs w:val="20"/>
        </w:rPr>
        <w:t xml:space="preserve">Day 7: query Xero live → UNPAID → friendly reminder → Tier 2 → 2hr window → sends</w:t>
      </w:r>
    </w:p>
    <w:p>
      <w:pPr>
        <w:pStyle w:val="ListParagraph"/>
        <w:numPr>
          <w:ilvl w:val="0"/>
          <w:numId w:val="2"/>
        </w:numPr>
        <w:spacing w:after="40" w:before="40"/>
      </w:pPr>
      <w:r>
        <w:rPr>
          <w:rFonts w:ascii="Arial" w:cs="Arial" w:eastAsia="Arial" w:hAnsi="Arial"/>
          <w:color w:val="5C6475"/>
          <w:sz w:val="20"/>
          <w:szCs w:val="20"/>
        </w:rPr>
        <w:t xml:space="preserve">Day 14: query Xero live → UNPAID → firmer reminder with payment link → Tier 2</w:t>
      </w:r>
    </w:p>
    <w:p>
      <w:pPr>
        <w:pStyle w:val="ListParagraph"/>
        <w:numPr>
          <w:ilvl w:val="0"/>
          <w:numId w:val="2"/>
        </w:numPr>
        <w:spacing w:after="40" w:before="40"/>
      </w:pPr>
      <w:r>
        <w:rPr>
          <w:rFonts w:ascii="Arial" w:cs="Arial" w:eastAsia="Arial" w:hAnsi="Arial"/>
          <w:color w:val="5C6475"/>
          <w:sz w:val="20"/>
          <w:szCs w:val="20"/>
        </w:rPr>
        <w:t xml:space="preserve">Day 21: query Xero live → UNPAID → escalates to Tier 4. Owner gets: client, amount, full invoice history, suggested phone script.</w:t>
      </w:r>
    </w:p>
    <w:p>
      <w:pPr>
        <w:pStyle w:val="ListParagraph"/>
        <w:numPr>
          <w:ilvl w:val="0"/>
          <w:numId w:val="2"/>
        </w:numPr>
        <w:spacing w:after="40" w:before="40"/>
      </w:pPr>
      <w:r>
        <w:rPr>
          <w:rFonts w:ascii="Arial" w:cs="Arial" w:eastAsia="Arial" w:hAnsi="Arial"/>
          <w:color w:val="5C6475"/>
          <w:sz w:val="20"/>
          <w:szCs w:val="20"/>
        </w:rPr>
        <w:t xml:space="preserve">Partial payment: Finance Worker creates updated invoice for outstanding balance. Queues thank-you + balance-due at Tier 3.</w:t>
      </w:r>
    </w:p>
    <w:p>
      <w:r>
        <w:br w:type="page"/>
      </w:r>
    </w:p>
    <w:p>
      <w:pPr>
        <w:pStyle w:val="Heading1"/>
        <w:pBdr>
          <w:bottom w:val="single" w:color="5A4FD0" w:sz="8" w:space="4"/>
        </w:pBdr>
        <w:spacing w:after="160" w:before="440"/>
      </w:pPr>
      <w:r>
        <w:rPr>
          <w:rFonts w:ascii="Arial" w:cs="Arial" w:eastAsia="Arial" w:hAnsi="Arial"/>
          <w:b/>
          <w:bCs/>
          <w:color w:val="2C3240"/>
          <w:sz w:val="36"/>
          <w:szCs w:val="36"/>
        </w:rPr>
        <w:t xml:space="preserve">8. New Workflows — Version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D52" w:sz="4"/>
              <w:left w:val="single" w:color="2E7D52" w:sz="4"/>
              <w:bottom w:val="single" w:color="2E7D52" w:sz="4"/>
              <w:right w:val="single" w:color="2E7D52" w:sz="4"/>
            </w:tcBorders>
            <w:shd w:fill="E8F3EE" w:val="clear"/>
            <w:tcMar>
              <w:top w:type="dxa" w:w="120"/>
              <w:left w:type="dxa" w:w="160"/>
              <w:bottom w:type="dxa" w:w="120"/>
              <w:right w:type="dxa" w:w="160"/>
            </w:tcMar>
          </w:tcPr>
          <w:p>
            <w:pPr>
              <w:spacing w:after="0" w:before="0"/>
            </w:pPr>
            <w:r>
              <w:rPr>
                <w:rFonts w:ascii="Arial" w:cs="Arial" w:eastAsia="Arial" w:hAnsi="Arial"/>
                <w:b/>
                <w:bCs/>
                <w:color w:val="2E7D52"/>
                <w:sz w:val="18"/>
                <w:szCs w:val="18"/>
              </w:rPr>
              <w:t xml:space="preserve">NEW IN v6  </w:t>
            </w:r>
            <w:r>
              <w:rPr>
                <w:rFonts w:ascii="Arial" w:cs="Arial" w:eastAsia="Arial" w:hAnsi="Arial"/>
                <w:color w:val="2C3240"/>
                <w:sz w:val="18"/>
                <w:szCs w:val="18"/>
              </w:rPr>
              <w:t xml:space="preserve">These workflows are new in v6.0. They are not in any prior PRD. Each has a designated phase (MVP addition, Phase 2, or Phase 3) and full execution logic specified below.</w:t>
            </w:r>
          </w:p>
        </w:tc>
      </w:tr>
    </w:tbl>
    <w:p>
      <w:pPr>
        <w:pStyle w:val="Heading2"/>
        <w:spacing w:after="100" w:before="300"/>
      </w:pPr>
      <w:r>
        <w:rPr>
          <w:rFonts w:ascii="Arial" w:cs="Arial" w:eastAsia="Arial" w:hAnsi="Arial"/>
          <w:b/>
          <w:bCs/>
          <w:color w:val="2C3240"/>
          <w:sz w:val="26"/>
          <w:szCs w:val="26"/>
        </w:rPr>
        <w:t xml:space="preserve">8.1  Quote Generation</w:t>
      </w:r>
    </w:p>
    <w:p>
      <w:pPr>
        <w:spacing w:after="80" w:before="60"/>
      </w:pPr>
      <w:r>
        <w:rPr>
          <w:rFonts w:ascii="Arial" w:cs="Arial" w:eastAsia="Arial" w:hAnsi="Arial"/>
          <w:color w:val="5C6475"/>
          <w:sz w:val="20"/>
          <w:szCs w:val="20"/>
        </w:rPr>
        <w:t xml:space="preserve">Owner says: "Quote Sarah for a 60sqm deck rebuild, standard rates." Agent retrieves Sarah's client record, pulls standard rates from business memory, drafts a structured quote with line items, GST, validity period, acceptance link, and business bank details. Owner reviews and approves. Quote sent as PDF attachment. Phase: MVP addition.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5000"/>
        <w:gridCol w:w="3960"/>
      </w:tblGrid>
      <w:tr>
        <w:tc>
          <w:tcPr>
            <w:tcW w:type="dxa" w:w="4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Step</w:t>
            </w:r>
          </w:p>
        </w:tc>
        <w:tc>
          <w:tcPr>
            <w:tcW w:type="dxa" w:w="50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Action</w:t>
            </w:r>
          </w:p>
        </w:tc>
        <w:tc>
          <w:tcPr>
            <w:tcW w:type="dxa" w:w="396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System</w:t>
            </w:r>
          </w:p>
        </w:tc>
      </w:tr>
      <w:tr>
        <w:tc>
          <w:tcPr>
            <w:tcW w:type="dxa" w:w="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1</w:t>
            </w:r>
          </w:p>
        </w:tc>
        <w:tc>
          <w:tcPr>
            <w:tcW w:type="dxa" w:w="50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Trigger: owner text instruction containing "quote" + client name + scope</w:t>
            </w:r>
          </w:p>
        </w:tc>
        <w:tc>
          <w:tcPr>
            <w:tcW w:type="dxa" w:w="3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FastAPI + BullMQ</w:t>
            </w:r>
          </w:p>
        </w:tc>
      </w:tr>
      <w:tr>
        <w:tc>
          <w:tcPr>
            <w:tcW w:type="dxa" w:w="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2</w:t>
            </w:r>
          </w:p>
        </w:tc>
        <w:tc>
          <w:tcPr>
            <w:tcW w:type="dxa" w:w="50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Retrieve client record from Supabase — contact, address, previous job history</w:t>
            </w:r>
          </w:p>
        </w:tc>
        <w:tc>
          <w:tcPr>
            <w:tcW w:type="dxa" w:w="39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Supabase Postgres</w:t>
            </w:r>
          </w:p>
        </w:tc>
      </w:tr>
      <w:tr>
        <w:tc>
          <w:tcPr>
            <w:tcW w:type="dxa" w:w="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3</w:t>
            </w:r>
          </w:p>
        </w:tc>
        <w:tc>
          <w:tcPr>
            <w:tcW w:type="dxa" w:w="50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Retrieve standard rates for service type from business memory</w:t>
            </w:r>
          </w:p>
        </w:tc>
        <w:tc>
          <w:tcPr>
            <w:tcW w:type="dxa" w:w="3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Supabase Postgres</w:t>
            </w:r>
          </w:p>
        </w:tc>
      </w:tr>
      <w:tr>
        <w:tc>
          <w:tcPr>
            <w:tcW w:type="dxa" w:w="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4</w:t>
            </w:r>
          </w:p>
        </w:tc>
        <w:tc>
          <w:tcPr>
            <w:tcW w:type="dxa" w:w="50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Generate quote: line items, GST calculation, validity period (default 30 days), acceptance method</w:t>
            </w:r>
          </w:p>
        </w:tc>
        <w:tc>
          <w:tcPr>
            <w:tcW w:type="dxa" w:w="39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Groq + template</w:t>
            </w:r>
          </w:p>
        </w:tc>
      </w:tr>
      <w:tr>
        <w:tc>
          <w:tcPr>
            <w:tcW w:type="dxa" w:w="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5</w:t>
            </w:r>
          </w:p>
        </w:tc>
        <w:tc>
          <w:tcPr>
            <w:tcW w:type="dxa" w:w="50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Generate PDF — structured, Olivander-branded, owner's business name and logo placeholder</w:t>
            </w:r>
          </w:p>
        </w:tc>
        <w:tc>
          <w:tcPr>
            <w:tcW w:type="dxa" w:w="3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WeasyPrint or similar</w:t>
            </w:r>
          </w:p>
        </w:tc>
      </w:tr>
      <w:tr>
        <w:tc>
          <w:tcPr>
            <w:tcW w:type="dxa" w:w="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6</w:t>
            </w:r>
          </w:p>
        </w:tc>
        <w:tc>
          <w:tcPr>
            <w:tcW w:type="dxa" w:w="50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Queue at Tier 3. Execution plan shown: "1. Generate PDF. 2. Send to Sarah at [email]. 3. Open follow-up sequence."</w:t>
            </w:r>
          </w:p>
        </w:tc>
        <w:tc>
          <w:tcPr>
            <w:tcW w:type="dxa" w:w="39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Approval queue</w:t>
            </w:r>
          </w:p>
        </w:tc>
      </w:tr>
      <w:tr>
        <w:tc>
          <w:tcPr>
            <w:tcW w:type="dxa" w:w="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7</w:t>
            </w:r>
          </w:p>
        </w:tc>
        <w:tc>
          <w:tcPr>
            <w:tcW w:type="dxa" w:w="50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On approval: email sent with PDF attachment. Lead pipeline record updated to "Quote sent". Follow-up queued.</w:t>
            </w:r>
          </w:p>
        </w:tc>
        <w:tc>
          <w:tcPr>
            <w:tcW w:type="dxa" w:w="3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Gmail API + Supabase</w:t>
            </w:r>
          </w:p>
        </w:tc>
      </w:tr>
      <w:tr>
        <w:tc>
          <w:tcPr>
            <w:tcW w:type="dxa" w:w="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8</w:t>
            </w:r>
          </w:p>
        </w:tc>
        <w:tc>
          <w:tcPr>
            <w:tcW w:type="dxa" w:w="50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If client replies accepting: mark lead won, trigger invoice creation prompt to owner</w:t>
            </w:r>
          </w:p>
        </w:tc>
        <w:tc>
          <w:tcPr>
            <w:tcW w:type="dxa" w:w="39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Email classification + pipeline update</w:t>
            </w:r>
          </w:p>
        </w:tc>
      </w:tr>
    </w:tbl>
    <w:p>
      <w:pPr>
        <w:pStyle w:val="Heading2"/>
        <w:spacing w:after="100" w:before="300"/>
      </w:pPr>
      <w:r>
        <w:rPr>
          <w:rFonts w:ascii="Arial" w:cs="Arial" w:eastAsia="Arial" w:hAnsi="Arial"/>
          <w:b/>
          <w:bCs/>
          <w:color w:val="2C3240"/>
          <w:sz w:val="26"/>
          <w:szCs w:val="26"/>
        </w:rPr>
        <w:t xml:space="preserve">8.2  Expense Capture</w:t>
      </w:r>
    </w:p>
    <w:p>
      <w:pPr>
        <w:spacing w:after="80" w:before="60"/>
      </w:pPr>
      <w:r>
        <w:rPr>
          <w:rFonts w:ascii="Arial" w:cs="Arial" w:eastAsia="Arial" w:hAnsi="Arial"/>
          <w:color w:val="5C6475"/>
          <w:sz w:val="20"/>
          <w:szCs w:val="20"/>
        </w:rPr>
        <w:t xml:space="preserve">Owner photographs a receipt. Agent extracts vendor, amount, GST component, and likely expense category. Drafts a Xero expense entry for owner approval. No more shoebox. Estimated 2-3 hours/week saved. Phase: Phase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5000"/>
        <w:gridCol w:w="3960"/>
      </w:tblGrid>
      <w:tr>
        <w:tc>
          <w:tcPr>
            <w:tcW w:type="dxa" w:w="4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Step</w:t>
            </w:r>
          </w:p>
        </w:tc>
        <w:tc>
          <w:tcPr>
            <w:tcW w:type="dxa" w:w="50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Action</w:t>
            </w:r>
          </w:p>
        </w:tc>
        <w:tc>
          <w:tcPr>
            <w:tcW w:type="dxa" w:w="396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System</w:t>
            </w:r>
          </w:p>
        </w:tc>
      </w:tr>
      <w:tr>
        <w:tc>
          <w:tcPr>
            <w:tcW w:type="dxa" w:w="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1</w:t>
            </w:r>
          </w:p>
        </w:tc>
        <w:tc>
          <w:tcPr>
            <w:tcW w:type="dxa" w:w="50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Trigger: owner sends photo via app or Telegram with or without caption</w:t>
            </w:r>
          </w:p>
        </w:tc>
        <w:tc>
          <w:tcPr>
            <w:tcW w:type="dxa" w:w="3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FastAPI + image upload</w:t>
            </w:r>
          </w:p>
        </w:tc>
      </w:tr>
      <w:tr>
        <w:tc>
          <w:tcPr>
            <w:tcW w:type="dxa" w:w="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2</w:t>
            </w:r>
          </w:p>
        </w:tc>
        <w:tc>
          <w:tcPr>
            <w:tcW w:type="dxa" w:w="50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Extract from image: vendor name, date, total, GST component, line items if visible</w:t>
            </w:r>
          </w:p>
        </w:tc>
        <w:tc>
          <w:tcPr>
            <w:tcW w:type="dxa" w:w="39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Groq vision or OCR + Groq</w:t>
            </w:r>
          </w:p>
        </w:tc>
      </w:tr>
      <w:tr>
        <w:tc>
          <w:tcPr>
            <w:tcW w:type="dxa" w:w="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3</w:t>
            </w:r>
          </w:p>
        </w:tc>
        <w:tc>
          <w:tcPr>
            <w:tcW w:type="dxa" w:w="50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Classify expense category using business memory (common categories learned from prior approvals)</w:t>
            </w:r>
          </w:p>
        </w:tc>
        <w:tc>
          <w:tcPr>
            <w:tcW w:type="dxa" w:w="3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Groq + memory</w:t>
            </w:r>
          </w:p>
        </w:tc>
      </w:tr>
      <w:tr>
        <w:tc>
          <w:tcPr>
            <w:tcW w:type="dxa" w:w="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4</w:t>
            </w:r>
          </w:p>
        </w:tc>
        <w:tc>
          <w:tcPr>
            <w:tcW w:type="dxa" w:w="50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Draft Xero expense entry: vendor, date, amount, GST, category, description</w:t>
            </w:r>
          </w:p>
        </w:tc>
        <w:tc>
          <w:tcPr>
            <w:tcW w:type="dxa" w:w="39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Finance Worker</w:t>
            </w:r>
          </w:p>
        </w:tc>
      </w:tr>
      <w:tr>
        <w:tc>
          <w:tcPr>
            <w:tcW w:type="dxa" w:w="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5</w:t>
            </w:r>
          </w:p>
        </w:tc>
        <w:tc>
          <w:tcPr>
            <w:tcW w:type="dxa" w:w="50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Queue at Tier 3. Execution plan: "1. Create expense in Xero. Category: Materials. Amount: $234.50 incl. GST."</w:t>
            </w:r>
          </w:p>
        </w:tc>
        <w:tc>
          <w:tcPr>
            <w:tcW w:type="dxa" w:w="3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Approval queue</w:t>
            </w:r>
          </w:p>
        </w:tc>
      </w:tr>
      <w:tr>
        <w:tc>
          <w:tcPr>
            <w:tcW w:type="dxa" w:w="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6</w:t>
            </w:r>
          </w:p>
        </w:tc>
        <w:tc>
          <w:tcPr>
            <w:tcW w:type="dxa" w:w="50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On approval: Xero expense created via API, receipt image attached, logged with provenance</w:t>
            </w:r>
          </w:p>
        </w:tc>
        <w:tc>
          <w:tcPr>
            <w:tcW w:type="dxa" w:w="39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Xero API</w:t>
            </w:r>
          </w:p>
        </w:tc>
      </w:tr>
      <w:tr>
        <w:tc>
          <w:tcPr>
            <w:tcW w:type="dxa" w:w="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7</w:t>
            </w:r>
          </w:p>
        </w:tc>
        <w:tc>
          <w:tcPr>
            <w:tcW w:type="dxa" w:w="50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If category is uncertain: agent marks confidence as Review and asks owner to confirm before creating</w:t>
            </w:r>
          </w:p>
        </w:tc>
        <w:tc>
          <w:tcPr>
            <w:tcW w:type="dxa" w:w="3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Approval card — Review confidence</w:t>
            </w:r>
          </w:p>
        </w:tc>
      </w:tr>
    </w:tbl>
    <w:p>
      <w:pPr>
        <w:pStyle w:val="Heading2"/>
        <w:spacing w:after="100" w:before="300"/>
      </w:pPr>
      <w:r>
        <w:rPr>
          <w:rFonts w:ascii="Arial" w:cs="Arial" w:eastAsia="Arial" w:hAnsi="Arial"/>
          <w:b/>
          <w:bCs/>
          <w:color w:val="2C3240"/>
          <w:sz w:val="26"/>
          <w:szCs w:val="26"/>
        </w:rPr>
        <w:t xml:space="preserve">8.3  Staff Rostering</w:t>
      </w:r>
    </w:p>
    <w:p>
      <w:pPr>
        <w:spacing w:after="80" w:before="60"/>
      </w:pPr>
      <w:r>
        <w:rPr>
          <w:rFonts w:ascii="Arial" w:cs="Arial" w:eastAsia="Arial" w:hAnsi="Arial"/>
          <w:color w:val="5C6475"/>
          <w:sz w:val="20"/>
          <w:szCs w:val="20"/>
        </w:rPr>
        <w:t xml:space="preserve">Manual scheduling takes up to 12 hours per manager per week for a service business. No-shows disrupt operations. Olivander builds a lightweight internal rostering layer — not a full workforce management system like Deputy, but an AI orchestration layer on top of staff records. Phase: Phase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400"/>
        <w:gridCol w:w="2760"/>
      </w:tblGrid>
      <w:tr>
        <w:tc>
          <w:tcPr>
            <w:tcW w:type="dxa" w:w="22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Step / Feature</w:t>
            </w:r>
          </w:p>
        </w:tc>
        <w:tc>
          <w:tcPr>
            <w:tcW w:type="dxa" w:w="44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Description</w:t>
            </w:r>
          </w:p>
        </w:tc>
        <w:tc>
          <w:tcPr>
            <w:tcW w:type="dxa" w:w="276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System</w:t>
            </w:r>
          </w:p>
        </w:tc>
      </w:tr>
      <w:tr>
        <w:tc>
          <w:tcPr>
            <w:tcW w:type="dxa" w:w="22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Staff record schema</w:t>
            </w:r>
          </w:p>
        </w:tc>
        <w:tc>
          <w:tcPr>
            <w:tcW w:type="dxa" w:w="4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Name, role, skills, availability rules (standard hours + exceptions), contact (phone/email/WhatsApp), pay rate (optional, owner-entered)</w:t>
            </w:r>
          </w:p>
        </w:tc>
        <w:tc>
          <w:tcPr>
            <w:tcW w:type="dxa" w:w="27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Supabase Postgres</w:t>
            </w:r>
          </w:p>
        </w:tc>
      </w:tr>
      <w:tr>
        <w:tc>
          <w:tcPr>
            <w:tcW w:type="dxa" w:w="22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Roster view</w:t>
            </w:r>
          </w:p>
        </w:tc>
        <w:tc>
          <w:tcPr>
            <w:tcW w:type="dxa" w:w="4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Weekly grid showing confirmed staff against confirmed jobs/shifts. Gaps highlighted.</w:t>
            </w:r>
          </w:p>
        </w:tc>
        <w:tc>
          <w:tcPr>
            <w:tcW w:type="dxa" w:w="27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React frontend</w:t>
            </w:r>
          </w:p>
        </w:tc>
      </w:tr>
      <w:tr>
        <w:tc>
          <w:tcPr>
            <w:tcW w:type="dxa" w:w="22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Roster suggestion</w:t>
            </w:r>
          </w:p>
        </w:tc>
        <w:tc>
          <w:tcPr>
            <w:tcW w:type="dxa" w:w="4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Agent detects confirmed job with no staff assigned → suggests available staff based on availability rules and skills</w:t>
            </w:r>
          </w:p>
        </w:tc>
        <w:tc>
          <w:tcPr>
            <w:tcW w:type="dxa" w:w="27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Rostering Worker</w:t>
            </w:r>
          </w:p>
        </w:tc>
      </w:tr>
      <w:tr>
        <w:tc>
          <w:tcPr>
            <w:tcW w:type="dxa" w:w="22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Outbound staff notification</w:t>
            </w:r>
          </w:p>
        </w:tc>
        <w:tc>
          <w:tcPr>
            <w:tcW w:type="dxa" w:w="4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Agent drafts shift assignment message for owner approval. On approval: sent via SMS, WhatsApp, or email based on staff preference.</w:t>
            </w:r>
          </w:p>
        </w:tc>
        <w:tc>
          <w:tcPr>
            <w:tcW w:type="dxa" w:w="27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Approval queue + SMS/email</w:t>
            </w:r>
          </w:p>
        </w:tc>
      </w:tr>
      <w:tr>
        <w:tc>
          <w:tcPr>
            <w:tcW w:type="dxa" w:w="22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Leave request handling</w:t>
            </w:r>
          </w:p>
        </w:tc>
        <w:tc>
          <w:tcPr>
            <w:tcW w:type="dxa" w:w="4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Staff member texts business number: "Can't do Saturday" → agent classifies, flags to owner, updates availability record</w:t>
            </w:r>
          </w:p>
        </w:tc>
        <w:tc>
          <w:tcPr>
            <w:tcW w:type="dxa" w:w="27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SMS Worker + Supabase</w:t>
            </w:r>
          </w:p>
        </w:tc>
      </w:tr>
      <w:tr>
        <w:tc>
          <w:tcPr>
            <w:tcW w:type="dxa" w:w="22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Coverage gap alert</w:t>
            </w:r>
          </w:p>
        </w:tc>
        <w:tc>
          <w:tcPr>
            <w:tcW w:type="dxa" w:w="4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Agent proactively flags: "You have 3 guides rostered Saturday but the Dart River booking requires 4. Two staff have availability."</w:t>
            </w:r>
          </w:p>
        </w:tc>
        <w:tc>
          <w:tcPr>
            <w:tcW w:type="dxa" w:w="27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Rostering Worker → Tier 3</w:t>
            </w:r>
          </w:p>
        </w:tc>
      </w:tr>
      <w:tr>
        <w:tc>
          <w:tcPr>
            <w:tcW w:type="dxa" w:w="22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Acknowledgement tracking</w:t>
            </w:r>
          </w:p>
        </w:tc>
        <w:tc>
          <w:tcPr>
            <w:tcW w:type="dxa" w:w="4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Agent knows who has confirmed shift receipt. Flags unconfirmed after 2 hours.</w:t>
            </w:r>
          </w:p>
        </w:tc>
        <w:tc>
          <w:tcPr>
            <w:tcW w:type="dxa" w:w="27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Supabase Postgres</w:t>
            </w:r>
          </w:p>
        </w:tc>
      </w:tr>
      <w:tr>
        <w:tc>
          <w:tcPr>
            <w:tcW w:type="dxa" w:w="22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Payroll integration hook</w:t>
            </w:r>
          </w:p>
        </w:tc>
        <w:tc>
          <w:tcPr>
            <w:tcW w:type="dxa" w:w="4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Exports confirmed shift data to Xero Payroll or PayHero for pay run. Phase 3 full integration.</w:t>
            </w:r>
          </w:p>
        </w:tc>
        <w:tc>
          <w:tcPr>
            <w:tcW w:type="dxa" w:w="27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Phase 3</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377E8" w:sz="4"/>
              <w:left w:val="single" w:color="8377E8" w:sz="4"/>
              <w:bottom w:val="single" w:color="8377E8" w:sz="4"/>
              <w:right w:val="single" w:color="8377E8" w:sz="4"/>
            </w:tcBorders>
            <w:shd w:fill="EDE9FF" w:val="clear"/>
            <w:tcMar>
              <w:top w:type="dxa" w:w="120"/>
              <w:left w:type="dxa" w:w="160"/>
              <w:bottom w:type="dxa" w:w="120"/>
              <w:right w:type="dxa" w:w="160"/>
            </w:tcMar>
          </w:tcPr>
          <w:p>
            <w:pPr>
              <w:spacing w:after="0" w:before="0"/>
            </w:pPr>
            <w:r>
              <w:rPr>
                <w:rFonts w:ascii="Arial" w:cs="Arial" w:eastAsia="Arial" w:hAnsi="Arial"/>
                <w:b/>
                <w:bCs/>
                <w:color w:val="5A4FD0"/>
                <w:sz w:val="18"/>
                <w:szCs w:val="18"/>
              </w:rPr>
              <w:t xml:space="preserve">NOTE  </w:t>
            </w:r>
            <w:r>
              <w:rPr>
                <w:rFonts w:ascii="Arial" w:cs="Arial" w:eastAsia="Arial" w:hAnsi="Arial"/>
                <w:color w:val="2C3240"/>
                <w:sz w:val="18"/>
                <w:szCs w:val="18"/>
              </w:rPr>
              <w:t xml:space="preserve">Olivander does not replace Deputy, Homebase, or similar rostering tools. For businesses already using one of those, Phase 3 adds a read integration so Olivander can see roster state without owning it. For businesses using a whiteboard or WhatsApp group (the ICP default), Olivander IS the roster.</w:t>
            </w:r>
          </w:p>
        </w:tc>
      </w:tr>
    </w:tbl>
    <w:p>
      <w:pPr>
        <w:pStyle w:val="Heading2"/>
        <w:spacing w:after="100" w:before="300"/>
      </w:pPr>
      <w:r>
        <w:rPr>
          <w:rFonts w:ascii="Arial" w:cs="Arial" w:eastAsia="Arial" w:hAnsi="Arial"/>
          <w:b/>
          <w:bCs/>
          <w:color w:val="2C3240"/>
          <w:sz w:val="26"/>
          <w:szCs w:val="26"/>
        </w:rPr>
        <w:t xml:space="preserve">8.4  Document Generation &amp; Storage</w:t>
      </w:r>
    </w:p>
    <w:p>
      <w:pPr>
        <w:spacing w:after="80" w:before="60"/>
      </w:pPr>
      <w:r>
        <w:rPr>
          <w:rFonts w:ascii="Arial" w:cs="Arial" w:eastAsia="Arial" w:hAnsi="Arial"/>
          <w:color w:val="5C6475"/>
          <w:sz w:val="20"/>
          <w:szCs w:val="20"/>
        </w:rPr>
        <w:t xml:space="preserve">The ICP generates quotes, contracts, job sheets, and work orders regularly. Most do it manually in Word or on paper. Olivander generates these from structured memory and natural language instructions, stores them in Google Drive with structured naming, and retrieves them on demand. Phase: Phase 2 (Google Drive integration).</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3200"/>
        <w:gridCol w:w="2960"/>
      </w:tblGrid>
      <w:tr>
        <w:tc>
          <w:tcPr>
            <w:tcW w:type="dxa" w:w="18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Document type</w:t>
            </w:r>
          </w:p>
        </w:tc>
        <w:tc>
          <w:tcPr>
            <w:tcW w:type="dxa" w:w="24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Trigger</w:t>
            </w:r>
          </w:p>
        </w:tc>
        <w:tc>
          <w:tcPr>
            <w:tcW w:type="dxa" w:w="32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Contents</w:t>
            </w:r>
          </w:p>
        </w:tc>
        <w:tc>
          <w:tcPr>
            <w:tcW w:type="dxa" w:w="296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Storage</w:t>
            </w:r>
          </w:p>
        </w:tc>
      </w:tr>
      <w:tr>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Quote</w:t>
            </w:r>
          </w:p>
        </w:tc>
        <w:tc>
          <w:tcPr>
            <w:tcW w:type="dxa" w:w="2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Owner instruction or inbound booking request</w:t>
            </w:r>
          </w:p>
        </w:tc>
        <w:tc>
          <w:tcPr>
            <w:tcW w:type="dxa" w:w="32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Line items, GST, validity, acceptance method, business branding</w:t>
            </w:r>
          </w:p>
        </w:tc>
        <w:tc>
          <w:tcPr>
            <w:tcW w:type="dxa" w:w="2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Google Drive: /Quotes/YYYY-MM/ClientName_QuoteNum.pdf</w:t>
            </w:r>
          </w:p>
        </w:tc>
      </w:tr>
      <w:tr>
        <w:tc>
          <w:tcPr>
            <w:tcW w:type="dxa" w:w="1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Invoice</w:t>
            </w:r>
          </w:p>
        </w:tc>
        <w:tc>
          <w:tcPr>
            <w:tcW w:type="dxa" w:w="2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Owner approval of draft invoice (existing workflow)</w:t>
            </w:r>
          </w:p>
        </w:tc>
        <w:tc>
          <w:tcPr>
            <w:tcW w:type="dxa" w:w="32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Line items, GST, payment terms, bank details</w:t>
            </w:r>
          </w:p>
        </w:tc>
        <w:tc>
          <w:tcPr>
            <w:tcW w:type="dxa" w:w="29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Google Drive: /Invoices/YYYY-MM/ClientName_InvNum.pdf</w:t>
            </w:r>
          </w:p>
        </w:tc>
      </w:tr>
      <w:tr>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Job sheet</w:t>
            </w:r>
          </w:p>
        </w:tc>
        <w:tc>
          <w:tcPr>
            <w:tcW w:type="dxa" w:w="2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Booking confirmed + billable tag</w:t>
            </w:r>
          </w:p>
        </w:tc>
        <w:tc>
          <w:tcPr>
            <w:tcW w:type="dxa" w:w="32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Client name, address, scope, assigned staff, prep notes from email history</w:t>
            </w:r>
          </w:p>
        </w:tc>
        <w:tc>
          <w:tcPr>
            <w:tcW w:type="dxa" w:w="2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Google Drive: /JobSheets/YYYY-MM/ClientName_Date.pdf</w:t>
            </w:r>
          </w:p>
        </w:tc>
      </w:tr>
      <w:tr>
        <w:tc>
          <w:tcPr>
            <w:tcW w:type="dxa" w:w="1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Service contract</w:t>
            </w:r>
          </w:p>
        </w:tc>
        <w:tc>
          <w:tcPr>
            <w:tcW w:type="dxa" w:w="2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Owner instruction for new ongoing client</w:t>
            </w:r>
          </w:p>
        </w:tc>
        <w:tc>
          <w:tcPr>
            <w:tcW w:type="dxa" w:w="32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Service description, payment terms, cancellation policy, signatures placeholder</w:t>
            </w:r>
          </w:p>
        </w:tc>
        <w:tc>
          <w:tcPr>
            <w:tcW w:type="dxa" w:w="29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Google Drive: /Contracts/ClientName_ContractDate.pdf</w:t>
            </w:r>
          </w:p>
        </w:tc>
      </w:tr>
      <w:tr>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Purchase order</w:t>
            </w:r>
          </w:p>
        </w:tc>
        <w:tc>
          <w:tcPr>
            <w:tcW w:type="dxa" w:w="2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Owner instruction to order from supplier</w:t>
            </w:r>
          </w:p>
        </w:tc>
        <w:tc>
          <w:tcPr>
            <w:tcW w:type="dxa" w:w="32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Supplier name, items, quantity, delivery address, reference number</w:t>
            </w:r>
          </w:p>
        </w:tc>
        <w:tc>
          <w:tcPr>
            <w:tcW w:type="dxa" w:w="2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Google Drive: /POs/YYYY-MM/Supplier_PONum.pdf</w:t>
            </w:r>
          </w:p>
        </w:tc>
      </w:tr>
    </w:tbl>
    <w:p>
      <w:pPr>
        <w:spacing w:after="80" w:before="60"/>
      </w:pPr>
      <w:r>
        <w:rPr>
          <w:rFonts w:ascii="Arial" w:cs="Arial" w:eastAsia="Arial" w:hAnsi="Arial"/>
          <w:color w:val="5C6475"/>
          <w:sz w:val="20"/>
          <w:szCs w:val="20"/>
        </w:rPr>
        <w:t xml:space="preserve">Document retrieval: Owner asks "what did I quote Marcus last year?" → agent queries Google Drive index + pgvector semantic search → returns document link and summary. This is the RAG use case pgvector is already configured for.</w:t>
      </w:r>
    </w:p>
    <w:p>
      <w:pPr>
        <w:pStyle w:val="Heading2"/>
        <w:spacing w:after="100" w:before="300"/>
      </w:pPr>
      <w:r>
        <w:rPr>
          <w:rFonts w:ascii="Arial" w:cs="Arial" w:eastAsia="Arial" w:hAnsi="Arial"/>
          <w:b/>
          <w:bCs/>
          <w:color w:val="2C3240"/>
          <w:sz w:val="26"/>
          <w:szCs w:val="26"/>
        </w:rPr>
        <w:t xml:space="preserve">8.5  Lead Pipeline Management</w:t>
      </w:r>
    </w:p>
    <w:p>
      <w:pPr>
        <w:spacing w:after="80" w:before="60"/>
      </w:pPr>
      <w:r>
        <w:rPr>
          <w:rFonts w:ascii="Arial" w:cs="Arial" w:eastAsia="Arial" w:hAnsi="Arial"/>
          <w:color w:val="5C6475"/>
          <w:sz w:val="20"/>
          <w:szCs w:val="20"/>
        </w:rPr>
        <w:t xml:space="preserve">A lightweight pipeline view derived from email classifications and memory. Not CRM in the HubSpot sense — just never dropping a ball. Phase: MVP addition.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560"/>
      </w:tblGrid>
      <w:tr>
        <w:tc>
          <w:tcPr>
            <w:tcW w:type="dxa" w:w="18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Pipeline stage</w:t>
            </w:r>
          </w:p>
        </w:tc>
        <w:tc>
          <w:tcPr>
            <w:tcW w:type="dxa" w:w="30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How it's created</w:t>
            </w:r>
          </w:p>
        </w:tc>
        <w:tc>
          <w:tcPr>
            <w:tcW w:type="dxa" w:w="456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Agent behaviour</w:t>
            </w:r>
          </w:p>
        </w:tc>
      </w:tr>
      <w:tr>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New enquiry</w:t>
            </w:r>
          </w:p>
        </w:tc>
        <w:tc>
          <w:tcPr>
            <w:tcW w:type="dxa" w:w="30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Email classified as "new lead" → pipeline record created automatically</w:t>
            </w:r>
          </w:p>
        </w:tc>
        <w:tc>
          <w:tcPr>
            <w:tcW w:type="dxa" w:w="45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Queues draft reply, opens follow-up sequence</w:t>
            </w:r>
          </w:p>
        </w:tc>
      </w:tr>
      <w:tr>
        <w:tc>
          <w:tcPr>
            <w:tcW w:type="dxa" w:w="1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Contacted</w:t>
            </w:r>
          </w:p>
        </w:tc>
        <w:tc>
          <w:tcPr>
            <w:tcW w:type="dxa" w:w="30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Reply sent (approved by owner)</w:t>
            </w:r>
          </w:p>
        </w:tc>
        <w:tc>
          <w:tcPr>
            <w:tcW w:type="dxa" w:w="45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Waits for response. If none at 48h → follow-up queued.</w:t>
            </w:r>
          </w:p>
        </w:tc>
      </w:tr>
      <w:tr>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Quote sent</w:t>
            </w:r>
          </w:p>
        </w:tc>
        <w:tc>
          <w:tcPr>
            <w:tcW w:type="dxa" w:w="30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Quote generated and sent</w:t>
            </w:r>
          </w:p>
        </w:tc>
        <w:tc>
          <w:tcPr>
            <w:tcW w:type="dxa" w:w="45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Monitors for acceptance. Follow-up sequence: +48h, +5 days, +10 days.</w:t>
            </w:r>
          </w:p>
        </w:tc>
      </w:tr>
      <w:tr>
        <w:tc>
          <w:tcPr>
            <w:tcW w:type="dxa" w:w="1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Quote accepted</w:t>
            </w:r>
          </w:p>
        </w:tc>
        <w:tc>
          <w:tcPr>
            <w:tcW w:type="dxa" w:w="30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Client reply with acceptance language detected</w:t>
            </w:r>
          </w:p>
        </w:tc>
        <w:tc>
          <w:tcPr>
            <w:tcW w:type="dxa" w:w="45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Agent flags win. Prompts owner: "Want me to create an invoice and schedule the job?"</w:t>
            </w:r>
          </w:p>
        </w:tc>
      </w:tr>
      <w:tr>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Won</w:t>
            </w:r>
          </w:p>
        </w:tc>
        <w:tc>
          <w:tcPr>
            <w:tcW w:type="dxa" w:w="30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Invoice created or job confirmed</w:t>
            </w:r>
          </w:p>
        </w:tc>
        <w:tc>
          <w:tcPr>
            <w:tcW w:type="dxa" w:w="45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Moves to active client record. Pipeline record closed.</w:t>
            </w:r>
          </w:p>
        </w:tc>
      </w:tr>
      <w:tr>
        <w:tc>
          <w:tcPr>
            <w:tcW w:type="dxa" w:w="1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Lost / No response</w:t>
            </w:r>
          </w:p>
        </w:tc>
        <w:tc>
          <w:tcPr>
            <w:tcW w:type="dxa" w:w="30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No response after 10-day follow-up sequence</w:t>
            </w:r>
          </w:p>
        </w:tc>
        <w:tc>
          <w:tcPr>
            <w:tcW w:type="dxa" w:w="45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Agent flags: "Lead from [Date] has gone cold. Mark as lost?"</w:t>
            </w:r>
          </w:p>
        </w:tc>
      </w:tr>
    </w:tbl>
    <w:p>
      <w:pPr>
        <w:spacing w:after="80" w:before="60"/>
      </w:pPr>
      <w:r>
        <w:rPr>
          <w:rFonts w:ascii="Arial" w:cs="Arial" w:eastAsia="Arial" w:hAnsi="Arial"/>
          <w:color w:val="5C6475"/>
          <w:sz w:val="20"/>
          <w:szCs w:val="20"/>
        </w:rPr>
        <w:t xml:space="preserve">Weekly lead summary surfaced in Home screen: "You have 6 open leads. 2 quotes pending response (both over 5 days old). 1 new enquiry from yesterday has not been replied to. Your conversion rate this month: 3 of 8 quotes accepted."</w:t>
      </w:r>
    </w:p>
    <w:p>
      <w:pPr>
        <w:pStyle w:val="Heading2"/>
        <w:spacing w:after="100" w:before="300"/>
      </w:pPr>
      <w:r>
        <w:rPr>
          <w:rFonts w:ascii="Arial" w:cs="Arial" w:eastAsia="Arial" w:hAnsi="Arial"/>
          <w:b/>
          <w:bCs/>
          <w:color w:val="2C3240"/>
          <w:sz w:val="26"/>
          <w:szCs w:val="26"/>
        </w:rPr>
        <w:t xml:space="preserve">8.6  Reputation &amp; Review Management</w:t>
      </w:r>
    </w:p>
    <w:p>
      <w:pPr>
        <w:spacing w:after="80" w:before="60"/>
      </w:pPr>
      <w:r>
        <w:rPr>
          <w:rFonts w:ascii="Arial" w:cs="Arial" w:eastAsia="Arial" w:hAnsi="Arial"/>
          <w:color w:val="5C6475"/>
          <w:sz w:val="20"/>
          <w:szCs w:val="20"/>
        </w:rPr>
        <w:t xml:space="preserve">Google Reviews directly affect booking volume for tourism operators, allied health, and hospitality. Businesses using automated review request systems respond to 88% of customer feedback promptly. Olivander automates the request and response cycle while keeping the owner in control. Phase: Phase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400"/>
        <w:gridCol w:w="3360"/>
      </w:tblGrid>
      <w:tr>
        <w:tc>
          <w:tcPr>
            <w:tcW w:type="dxa" w:w="16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Step</w:t>
            </w:r>
          </w:p>
        </w:tc>
        <w:tc>
          <w:tcPr>
            <w:tcW w:type="dxa" w:w="44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Action</w:t>
            </w:r>
          </w:p>
        </w:tc>
        <w:tc>
          <w:tcPr>
            <w:tcW w:type="dxa" w:w="336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Trigger</w:t>
            </w:r>
          </w:p>
        </w:tc>
      </w:tr>
      <w:tr>
        <w:tc>
          <w:tcPr>
            <w:tcW w:type="dxa" w:w="1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Review request</w:t>
            </w:r>
          </w:p>
        </w:tc>
        <w:tc>
          <w:tcPr>
            <w:tcW w:type="dxa" w:w="4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Personalised email or SMS sent to client 24-48h after job completion or invoice marked paid</w:t>
            </w:r>
          </w:p>
        </w:tc>
        <w:tc>
          <w:tcPr>
            <w:tcW w:type="dxa" w:w="33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Finance Worker detects PAID status in Xero → triggers Review Request Worker</w:t>
            </w:r>
          </w:p>
        </w:tc>
      </w:tr>
      <w:tr>
        <w:tc>
          <w:tcPr>
            <w:tcW w:type="dxa" w:w="1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Message draft</w:t>
            </w:r>
          </w:p>
        </w:tc>
        <w:tc>
          <w:tcPr>
            <w:tcW w:type="dxa" w:w="4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Agent drafts friendly review request referencing the specific job. Queued at Tier 2.</w:t>
            </w:r>
          </w:p>
        </w:tc>
        <w:tc>
          <w:tcPr>
            <w:tcW w:type="dxa" w:w="33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Auto-sends if owner doesn't reject within 2hr window</w:t>
            </w:r>
          </w:p>
        </w:tc>
      </w:tr>
      <w:tr>
        <w:tc>
          <w:tcPr>
            <w:tcW w:type="dxa" w:w="1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New review detected</w:t>
            </w:r>
          </w:p>
        </w:tc>
        <w:tc>
          <w:tcPr>
            <w:tcW w:type="dxa" w:w="4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Google My Business API webhook fires when new review is posted</w:t>
            </w:r>
          </w:p>
        </w:tc>
        <w:tc>
          <w:tcPr>
            <w:tcW w:type="dxa" w:w="33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Review Response Worker</w:t>
            </w:r>
          </w:p>
        </w:tc>
      </w:tr>
      <w:tr>
        <w:tc>
          <w:tcPr>
            <w:tcW w:type="dxa" w:w="1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Positive review</w:t>
            </w:r>
          </w:p>
        </w:tc>
        <w:tc>
          <w:tcPr>
            <w:tcW w:type="dxa" w:w="4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Agent drafts personalised response referencing review content. Queued at Tier 2.</w:t>
            </w:r>
          </w:p>
        </w:tc>
        <w:tc>
          <w:tcPr>
            <w:tcW w:type="dxa" w:w="33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Auto-sends if owner doesn't reject within 2hr window</w:t>
            </w:r>
          </w:p>
        </w:tc>
      </w:tr>
      <w:tr>
        <w:tc>
          <w:tcPr>
            <w:tcW w:type="dxa" w:w="1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Negative review</w:t>
            </w:r>
          </w:p>
        </w:tc>
        <w:tc>
          <w:tcPr>
            <w:tcW w:type="dxa" w:w="4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Agent drafts response but escalates to Tier 4. Owner must handle manually.</w:t>
            </w:r>
          </w:p>
        </w:tc>
        <w:tc>
          <w:tcPr>
            <w:tcW w:type="dxa" w:w="33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Never auto-responds to negative reviews. Ever.</w:t>
            </w:r>
          </w:p>
        </w:tc>
      </w:tr>
      <w:tr>
        <w:tc>
          <w:tcPr>
            <w:tcW w:type="dxa" w:w="1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Review summary</w:t>
            </w:r>
          </w:p>
        </w:tc>
        <w:tc>
          <w:tcPr>
            <w:tcW w:type="dxa" w:w="4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Monthly digest: new review count, average rating trend, review velocity vs prior month</w:t>
            </w:r>
          </w:p>
        </w:tc>
        <w:tc>
          <w:tcPr>
            <w:tcW w:type="dxa" w:w="33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Monthly digest email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ED9D0" w:sz="4"/>
              <w:left w:val="single" w:color="DED9D0" w:sz="4"/>
              <w:bottom w:val="single" w:color="DED9D0" w:sz="4"/>
              <w:right w:val="single" w:color="DED9D0" w:sz="4"/>
            </w:tcBorders>
            <w:shd w:fill="EDE6D8" w:val="clear"/>
            <w:tcMar>
              <w:top w:type="dxa" w:w="120"/>
              <w:left w:type="dxa" w:w="160"/>
              <w:bottom w:type="dxa" w:w="120"/>
              <w:right w:type="dxa" w:w="160"/>
            </w:tcMar>
          </w:tcPr>
          <w:p>
            <w:pPr>
              <w:spacing w:after="0" w:before="0"/>
            </w:pPr>
            <w:r>
              <w:rPr>
                <w:rFonts w:ascii="Arial" w:cs="Arial" w:eastAsia="Arial" w:hAnsi="Arial"/>
                <w:b/>
                <w:bCs/>
                <w:color w:val="2C3240"/>
                <w:sz w:val="18"/>
                <w:szCs w:val="18"/>
              </w:rPr>
              <w:t xml:space="preserve">BUILD  </w:t>
            </w:r>
            <w:r>
              <w:rPr>
                <w:rFonts w:ascii="Arial" w:cs="Arial" w:eastAsia="Arial" w:hAnsi="Arial"/>
                <w:color w:val="2C3240"/>
                <w:sz w:val="18"/>
                <w:szCs w:val="18"/>
              </w:rPr>
              <w:t xml:space="preserve">Negative reviews are always Tier 4 — the agent drafts a suggested response for context but the owner must write and send their own reply. Never auto-respond to a negative review.</w:t>
            </w:r>
          </w:p>
        </w:tc>
      </w:tr>
    </w:tbl>
    <w:p>
      <w:pPr>
        <w:pStyle w:val="Heading2"/>
        <w:spacing w:after="100" w:before="300"/>
      </w:pPr>
      <w:r>
        <w:rPr>
          <w:rFonts w:ascii="Arial" w:cs="Arial" w:eastAsia="Arial" w:hAnsi="Arial"/>
          <w:b/>
          <w:bCs/>
          <w:color w:val="2C3240"/>
          <w:sz w:val="26"/>
          <w:szCs w:val="26"/>
        </w:rPr>
        <w:t xml:space="preserve">8.7  SMS Channel &amp; Missed Call Recovery</w:t>
      </w:r>
    </w:p>
    <w:p>
      <w:pPr>
        <w:spacing w:after="80" w:before="60"/>
      </w:pPr>
      <w:r>
        <w:rPr>
          <w:rFonts w:ascii="Arial" w:cs="Arial" w:eastAsia="Arial" w:hAnsi="Arial"/>
          <w:color w:val="5C6475"/>
          <w:sz w:val="20"/>
          <w:szCs w:val="20"/>
        </w:rPr>
        <w:t xml:space="preserve">The ICP's clients often don't email — they text or call. International tourists especially communicate via SMS or WhatsApp. A missed call is a missed lead. Phase: Phase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360"/>
      </w:tblGrid>
      <w:tr>
        <w:tc>
          <w:tcPr>
            <w:tcW w:type="dxa" w:w="22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Feature</w:t>
            </w:r>
          </w:p>
        </w:tc>
        <w:tc>
          <w:tcPr>
            <w:tcW w:type="dxa" w:w="38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Description</w:t>
            </w:r>
          </w:p>
        </w:tc>
        <w:tc>
          <w:tcPr>
            <w:tcW w:type="dxa" w:w="336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Implementation</w:t>
            </w:r>
          </w:p>
        </w:tc>
      </w:tr>
      <w:tr>
        <w:tc>
          <w:tcPr>
            <w:tcW w:type="dxa" w:w="22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Business SMS number</w:t>
            </w:r>
          </w:p>
        </w:tc>
        <w:tc>
          <w:tcPr>
            <w:tcW w:type="dxa" w:w="3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Twilio or Burst SMS (NZ-local, cheaper) provides a dedicated business number for two-way SMS</w:t>
            </w:r>
          </w:p>
        </w:tc>
        <w:tc>
          <w:tcPr>
            <w:tcW w:type="dxa" w:w="33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Twilio API or Burst SMS API</w:t>
            </w:r>
          </w:p>
        </w:tc>
      </w:tr>
      <w:tr>
        <w:tc>
          <w:tcPr>
            <w:tcW w:type="dxa" w:w="22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Inbound SMS classification</w:t>
            </w:r>
          </w:p>
        </w:tc>
        <w:tc>
          <w:tcPr>
            <w:tcW w:type="dxa" w:w="3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SMS classified and routed exactly like email: new lead, booking request, complaint, FYI, etc.</w:t>
            </w:r>
          </w:p>
        </w:tc>
        <w:tc>
          <w:tcPr>
            <w:tcW w:type="dxa" w:w="33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SMS Worker → same classification pipeline as email</w:t>
            </w:r>
          </w:p>
        </w:tc>
      </w:tr>
      <w:tr>
        <w:tc>
          <w:tcPr>
            <w:tcW w:type="dxa" w:w="22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Outbound SMS approvals</w:t>
            </w:r>
          </w:p>
        </w:tc>
        <w:tc>
          <w:tcPr>
            <w:tcW w:type="dxa" w:w="3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Booking confirmations, reminders, and follow-ups can be sent via SMS. Owner approves via approval queue.</w:t>
            </w:r>
          </w:p>
        </w:tc>
        <w:tc>
          <w:tcPr>
            <w:tcW w:type="dxa" w:w="33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Approval queue → Twilio/Burst SMS</w:t>
            </w:r>
          </w:p>
        </w:tc>
      </w:tr>
      <w:tr>
        <w:tc>
          <w:tcPr>
            <w:tcW w:type="dxa" w:w="22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Missed call recovery</w:t>
            </w:r>
          </w:p>
        </w:tc>
        <w:tc>
          <w:tcPr>
            <w:tcW w:type="dxa" w:w="3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When business number receives a missed call, automatic SMS fires: "Hi, you've reached [Business]. We're on a job — reply here or email [address] and we'll get back to you today."</w:t>
            </w:r>
          </w:p>
        </w:tc>
        <w:tc>
          <w:tcPr>
            <w:tcW w:type="dxa" w:w="33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Twilio voice webhook → automatic SMS (Tier 1 — no approval needed)</w:t>
            </w:r>
          </w:p>
        </w:tc>
      </w:tr>
      <w:tr>
        <w:tc>
          <w:tcPr>
            <w:tcW w:type="dxa" w:w="22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SMS reply handling</w:t>
            </w:r>
          </w:p>
        </w:tc>
        <w:tc>
          <w:tcPr>
            <w:tcW w:type="dxa" w:w="3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When client replies to missed call SMS, agent classifies and routes as new inbound communication</w:t>
            </w:r>
          </w:p>
        </w:tc>
        <w:tc>
          <w:tcPr>
            <w:tcW w:type="dxa" w:w="33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SMS Worker → email pipeline</w:t>
            </w:r>
          </w:p>
        </w:tc>
      </w:tr>
      <w:tr>
        <w:tc>
          <w:tcPr>
            <w:tcW w:type="dxa" w:w="22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Staff SMS broadcast</w:t>
            </w:r>
          </w:p>
        </w:tc>
        <w:tc>
          <w:tcPr>
            <w:tcW w:type="dxa" w:w="3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Owner types: "Reminder to all staff: start at 7am tomorrow, meet at depot." Agent drafts SMS to all staff contacts for approval.</w:t>
            </w:r>
          </w:p>
        </w:tc>
        <w:tc>
          <w:tcPr>
            <w:tcW w:type="dxa" w:w="33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Rostering Worker → Twilio</w:t>
            </w:r>
          </w:p>
        </w:tc>
      </w:tr>
    </w:tbl>
    <w:p>
      <w:pPr>
        <w:pStyle w:val="Heading2"/>
        <w:spacing w:after="100" w:before="300"/>
      </w:pPr>
      <w:r>
        <w:rPr>
          <w:rFonts w:ascii="Arial" w:cs="Arial" w:eastAsia="Arial" w:hAnsi="Arial"/>
          <w:b/>
          <w:bCs/>
          <w:color w:val="2C3240"/>
          <w:sz w:val="26"/>
          <w:szCs w:val="26"/>
        </w:rPr>
        <w:t xml:space="preserve">8.8  Supplier &amp; Subcontractor Coordination</w:t>
      </w:r>
    </w:p>
    <w:p>
      <w:pPr>
        <w:spacing w:after="80" w:before="60"/>
      </w:pPr>
      <w:r>
        <w:rPr>
          <w:rFonts w:ascii="Arial" w:cs="Arial" w:eastAsia="Arial" w:hAnsi="Arial"/>
          <w:color w:val="5C6475"/>
          <w:sz w:val="20"/>
          <w:szCs w:val="20"/>
        </w:rPr>
        <w:t xml:space="preserve">Trades businesses spend significant admin time coordinating suppliers and subcontractors — requesting quotes, sending purchase orders, following up deliveries, chasing subcontractor invoices. This uses the same email workflow engine, applied to supplier relationships. Phase: Phase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160"/>
      </w:tblGrid>
      <w:tr>
        <w:tc>
          <w:tcPr>
            <w:tcW w:type="dxa" w:w="20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Workflow</w:t>
            </w:r>
          </w:p>
        </w:tc>
        <w:tc>
          <w:tcPr>
            <w:tcW w:type="dxa" w:w="32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Trigger</w:t>
            </w:r>
          </w:p>
        </w:tc>
        <w:tc>
          <w:tcPr>
            <w:tcW w:type="dxa" w:w="416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Agent action</w:t>
            </w:r>
          </w:p>
        </w:tc>
      </w:tr>
      <w:tr>
        <w:tc>
          <w:tcPr>
            <w:tcW w:type="dxa" w:w="20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Purchase order</w:t>
            </w:r>
          </w:p>
        </w:tc>
        <w:tc>
          <w:tcPr>
            <w:tcW w:type="dxa" w:w="32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Owner instruction: "Order the timber for the Henderson job from Carters"</w:t>
            </w:r>
          </w:p>
        </w:tc>
        <w:tc>
          <w:tcPr>
            <w:tcW w:type="dxa" w:w="41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Retrieves Carters supplier record, drafts PO email with items + quantities. Tier 3 queue.</w:t>
            </w:r>
          </w:p>
        </w:tc>
      </w:tr>
      <w:tr>
        <w:tc>
          <w:tcPr>
            <w:tcW w:type="dxa" w:w="20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Quote request to supplier</w:t>
            </w:r>
          </w:p>
        </w:tc>
        <w:tc>
          <w:tcPr>
            <w:tcW w:type="dxa" w:w="32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Owner instruction: "Get 3 quotes for concreting on the Queenstown site"</w:t>
            </w:r>
          </w:p>
        </w:tc>
        <w:tc>
          <w:tcPr>
            <w:tcW w:type="dxa" w:w="41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Agent drafts quote request emails to preferred concrete suppliers from memory. One per supplier. Tier 3 queue.</w:t>
            </w:r>
          </w:p>
        </w:tc>
      </w:tr>
      <w:tr>
        <w:tc>
          <w:tcPr>
            <w:tcW w:type="dxa" w:w="20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Delivery follow-up</w:t>
            </w:r>
          </w:p>
        </w:tc>
        <w:tc>
          <w:tcPr>
            <w:tcW w:type="dxa" w:w="32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No delivery confirmation received by expected date (stored in supplier record)</w:t>
            </w:r>
          </w:p>
        </w:tc>
        <w:tc>
          <w:tcPr>
            <w:tcW w:type="dxa" w:w="41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Agent queues follow-up email: "Following up on our order from [date] — can you confirm delivery status?" Tier 2 queue.</w:t>
            </w:r>
          </w:p>
        </w:tc>
      </w:tr>
      <w:tr>
        <w:tc>
          <w:tcPr>
            <w:tcW w:type="dxa" w:w="20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Subcontractor invoice chase</w:t>
            </w:r>
          </w:p>
        </w:tc>
        <w:tc>
          <w:tcPr>
            <w:tcW w:type="dxa" w:w="32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Subcontractor owes invoice and hasn't submitted within configured days</w:t>
            </w:r>
          </w:p>
        </w:tc>
        <w:tc>
          <w:tcPr>
            <w:tcW w:type="dxa" w:w="41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Agent queues friendly chase. Tier 2. Escalates to Tier 4 at 21+ days.</w:t>
            </w:r>
          </w:p>
        </w:tc>
      </w:tr>
      <w:tr>
        <w:tc>
          <w:tcPr>
            <w:tcW w:type="dxa" w:w="20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Supplier memory</w:t>
            </w:r>
          </w:p>
        </w:tc>
        <w:tc>
          <w:tcPr>
            <w:tcW w:type="dxa" w:w="32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Auto-created from first outbound email to supplier. Enriched from responses.</w:t>
            </w:r>
          </w:p>
        </w:tc>
        <w:tc>
          <w:tcPr>
            <w:tcW w:type="dxa" w:w="41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Stores: preferred contact, typical lead times, last order, payment terms.</w:t>
            </w:r>
          </w:p>
        </w:tc>
      </w:tr>
    </w:tbl>
    <w:p>
      <w:pPr>
        <w:pStyle w:val="Heading2"/>
        <w:spacing w:after="100" w:before="300"/>
      </w:pPr>
      <w:r>
        <w:rPr>
          <w:rFonts w:ascii="Arial" w:cs="Arial" w:eastAsia="Arial" w:hAnsi="Arial"/>
          <w:b/>
          <w:bCs/>
          <w:color w:val="2C3240"/>
          <w:sz w:val="26"/>
          <w:szCs w:val="26"/>
        </w:rPr>
        <w:t xml:space="preserve">8.9  Cash Position Summary &amp; Payroll Awareness</w:t>
      </w:r>
    </w:p>
    <w:p>
      <w:pPr>
        <w:spacing w:after="80" w:before="60"/>
      </w:pPr>
      <w:r>
        <w:rPr>
          <w:rFonts w:ascii="Arial" w:cs="Arial" w:eastAsia="Arial" w:hAnsi="Arial"/>
          <w:color w:val="5C6475"/>
          <w:sz w:val="20"/>
          <w:szCs w:val="20"/>
        </w:rPr>
        <w:t xml:space="preserve">The owner needs to know not just who owes them money, but what their real cash position is. This synthesises Xero data into a plain-English weekly summary. Phase: Phase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Feature</w:t>
            </w:r>
          </w:p>
        </w:tc>
        <w:tc>
          <w:tcPr>
            <w:tcW w:type="dxa" w:w="696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Description</w:t>
            </w:r>
          </w:p>
        </w:tc>
      </w:tr>
      <w:tr>
        <w:tc>
          <w:tcPr>
            <w:tcW w:type="dxa" w:w="2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Weekly cash summary</w:t>
            </w:r>
          </w:p>
        </w:tc>
        <w:tc>
          <w:tcPr>
            <w:tcW w:type="dxa" w:w="6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"You have $47K in outstanding invoices. $12K expected this week based on your clients' payment patterns. $8,400 in scheduled payments due Thursday."</w:t>
            </w:r>
          </w:p>
        </w:tc>
      </w:tr>
      <w:tr>
        <w:tc>
          <w:tcPr>
            <w:tcW w:type="dxa" w:w="2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Xero bank balance</w:t>
            </w:r>
          </w:p>
        </w:tc>
        <w:tc>
          <w:tcPr>
            <w:tcW w:type="dxa" w:w="69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Live bank balance pulled from Xero bank feed. Displayed in Home screen alongside outstanding.</w:t>
            </w:r>
          </w:p>
        </w:tc>
      </w:tr>
      <w:tr>
        <w:tc>
          <w:tcPr>
            <w:tcW w:type="dxa" w:w="2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Overdue breakdown</w:t>
            </w:r>
          </w:p>
        </w:tc>
        <w:tc>
          <w:tcPr>
            <w:tcW w:type="dxa" w:w="6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"3 invoices overdue: Marcus ($2,400 — 21 days), Alpine Lodge ($1,800 — 14 days), Henderson Builders ($3,200 — 8 days)."</w:t>
            </w:r>
          </w:p>
        </w:tc>
      </w:tr>
      <w:tr>
        <w:tc>
          <w:tcPr>
            <w:tcW w:type="dxa" w:w="2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Payroll warning</w:t>
            </w:r>
          </w:p>
        </w:tc>
        <w:tc>
          <w:tcPr>
            <w:tcW w:type="dxa" w:w="69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Owner enters payroll run date in Settings. Agent flags: "Payroll is due Thursday — you have 3 unpaid invoices totalling $14K that haven't cleared. Want me to send urgent chasers?"</w:t>
            </w:r>
          </w:p>
        </w:tc>
      </w:tr>
      <w:tr>
        <w:tc>
          <w:tcPr>
            <w:tcW w:type="dxa" w:w="2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Client payment pattern memory</w:t>
            </w:r>
          </w:p>
        </w:tc>
        <w:tc>
          <w:tcPr>
            <w:tcW w:type="dxa" w:w="6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Agent learns each client's typical days-to-pay from Xero history. Uses this to weight cash flow projections.</w:t>
            </w:r>
          </w:p>
        </w:tc>
      </w:tr>
      <w:tr>
        <w:tc>
          <w:tcPr>
            <w:tcW w:type="dxa" w:w="2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Abnormal payment alert</w:t>
            </w:r>
          </w:p>
        </w:tc>
        <w:tc>
          <w:tcPr>
            <w:tcW w:type="dxa" w:w="69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"Marcus (usually pays in 14 days) is now at day 19 on INV-0041. Earlier than usual to flag."</w:t>
            </w:r>
          </w:p>
        </w:tc>
      </w:tr>
    </w:tbl>
    <w:p>
      <w:r>
        <w:br w:type="page"/>
      </w:r>
    </w:p>
    <w:p>
      <w:pPr>
        <w:pStyle w:val="Heading1"/>
        <w:pBdr>
          <w:bottom w:val="single" w:color="5A4FD0" w:sz="8" w:space="4"/>
        </w:pBdr>
        <w:spacing w:after="160" w:before="440"/>
      </w:pPr>
      <w:r>
        <w:rPr>
          <w:rFonts w:ascii="Arial" w:cs="Arial" w:eastAsia="Arial" w:hAnsi="Arial"/>
          <w:b/>
          <w:bCs/>
          <w:color w:val="2C3240"/>
          <w:sz w:val="36"/>
          <w:szCs w:val="36"/>
        </w:rPr>
        <w:t xml:space="preserve">9. Online Research Engine — New in v6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D52" w:sz="4"/>
              <w:left w:val="single" w:color="2E7D52" w:sz="4"/>
              <w:bottom w:val="single" w:color="2E7D52" w:sz="4"/>
              <w:right w:val="single" w:color="2E7D52" w:sz="4"/>
            </w:tcBorders>
            <w:shd w:fill="E8F3EE" w:val="clear"/>
            <w:tcMar>
              <w:top w:type="dxa" w:w="120"/>
              <w:left w:type="dxa" w:w="160"/>
              <w:bottom w:type="dxa" w:w="120"/>
              <w:right w:type="dxa" w:w="160"/>
            </w:tcMar>
          </w:tcPr>
          <w:p>
            <w:pPr>
              <w:spacing w:after="0" w:before="0"/>
            </w:pPr>
            <w:r>
              <w:rPr>
                <w:rFonts w:ascii="Arial" w:cs="Arial" w:eastAsia="Arial" w:hAnsi="Arial"/>
                <w:b/>
                <w:bCs/>
                <w:color w:val="2E7D52"/>
                <w:sz w:val="18"/>
                <w:szCs w:val="18"/>
              </w:rPr>
              <w:t xml:space="preserve">NEW IN v6  </w:t>
            </w:r>
            <w:r>
              <w:rPr>
                <w:rFonts w:ascii="Arial" w:cs="Arial" w:eastAsia="Arial" w:hAnsi="Arial"/>
                <w:color w:val="2C3240"/>
                <w:sz w:val="18"/>
                <w:szCs w:val="18"/>
              </w:rPr>
              <w:t xml:space="preserve">This is a new capability class in v6. The agent can conduct structured web research on behalf of the owner — finding leads, monitoring competitors, tracking local market conditions, and surfacing marketing intelligence. All research outputs are Tier 3 minimum: the owner always reviews before any action is taken.</w:t>
            </w:r>
          </w:p>
        </w:tc>
      </w:tr>
    </w:tbl>
    <w:p>
      <w:pPr>
        <w:spacing w:after="0" w:before="80"/>
      </w:pPr>
      <w:r>
        <w:rPr>
          <w:rFonts w:ascii="Arial" w:cs="Arial" w:eastAsia="Arial" w:hAnsi="Arial"/>
          <w:color w:val="2C3240"/>
          <w:sz w:val="20"/>
          <w:szCs w:val="20"/>
        </w:rPr>
        <w:t xml:space="preserve"/>
      </w:r>
    </w:p>
    <w:p>
      <w:pPr>
        <w:pStyle w:val="Heading2"/>
        <w:spacing w:after="100" w:before="300"/>
      </w:pPr>
      <w:r>
        <w:rPr>
          <w:rFonts w:ascii="Arial" w:cs="Arial" w:eastAsia="Arial" w:hAnsi="Arial"/>
          <w:b/>
          <w:bCs/>
          <w:color w:val="2C3240"/>
          <w:sz w:val="26"/>
          <w:szCs w:val="26"/>
        </w:rPr>
        <w:t xml:space="preserve">9.1  Architecture</w:t>
      </w:r>
    </w:p>
    <w:p>
      <w:pPr>
        <w:spacing w:after="80" w:before="60"/>
      </w:pPr>
      <w:r>
        <w:rPr>
          <w:rFonts w:ascii="Arial" w:cs="Arial" w:eastAsia="Arial" w:hAnsi="Arial"/>
          <w:color w:val="5C6475"/>
          <w:sz w:val="20"/>
          <w:szCs w:val="20"/>
        </w:rPr>
        <w:t xml:space="preserve">The research engine is a dedicated Worker (Research Worker) that runs web searches via the Brave Search API (privacy-focused, no advertising bias, structured API, free tier available) and synthesises results using Groq. Results are cached in Supabase with 30-day expiry. The owner triggers research via natural language instruction or the agent proactively surfaces research when it detects a relevant trigger.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c>
          <w:tcPr>
            <w:tcW w:type="dxa" w:w="18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Component</w:t>
            </w:r>
          </w:p>
        </w:tc>
        <w:tc>
          <w:tcPr>
            <w:tcW w:type="dxa" w:w="24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Technology</w:t>
            </w:r>
          </w:p>
        </w:tc>
        <w:tc>
          <w:tcPr>
            <w:tcW w:type="dxa" w:w="516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Purpose</w:t>
            </w:r>
          </w:p>
        </w:tc>
      </w:tr>
      <w:tr>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Search API</w:t>
            </w:r>
          </w:p>
        </w:tc>
        <w:tc>
          <w:tcPr>
            <w:tcW w:type="dxa" w:w="2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Brave Search API</w:t>
            </w:r>
          </w:p>
        </w:tc>
        <w:tc>
          <w:tcPr>
            <w:tcW w:type="dxa" w:w="51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Web search with structured JSON results. No Google tracking. Free tier: 2,000 queries/month. Paid: $3/1,000 queries. Sufficient for ICP usage.</w:t>
            </w:r>
          </w:p>
        </w:tc>
      </w:tr>
      <w:tr>
        <w:tc>
          <w:tcPr>
            <w:tcW w:type="dxa" w:w="1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Synthesis</w:t>
            </w:r>
          </w:p>
        </w:tc>
        <w:tc>
          <w:tcPr>
            <w:tcW w:type="dxa" w:w="2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Groq llama-3.3-70b-versatile</w:t>
            </w:r>
          </w:p>
        </w:tc>
        <w:tc>
          <w:tcPr>
            <w:tcW w:type="dxa" w:w="51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Converts raw search results into business-relevant summaries, lead lists, and recommendations</w:t>
            </w:r>
          </w:p>
        </w:tc>
      </w:tr>
      <w:tr>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Research cache</w:t>
            </w:r>
          </w:p>
        </w:tc>
        <w:tc>
          <w:tcPr>
            <w:tcW w:type="dxa" w:w="2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Supabase Postgres + pgvector</w:t>
            </w:r>
          </w:p>
        </w:tc>
        <w:tc>
          <w:tcPr>
            <w:tcW w:type="dxa" w:w="51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Stores research results with timestamp, query, source URLs, and extracted data. 30-day expiry.</w:t>
            </w:r>
          </w:p>
        </w:tc>
      </w:tr>
      <w:tr>
        <w:tc>
          <w:tcPr>
            <w:tcW w:type="dxa" w:w="1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Research Worker</w:t>
            </w:r>
          </w:p>
        </w:tc>
        <w:tc>
          <w:tcPr>
            <w:tcW w:type="dxa" w:w="2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FastAPI background task via BullMQ</w:t>
            </w:r>
          </w:p>
        </w:tc>
        <w:tc>
          <w:tcPr>
            <w:tcW w:type="dxa" w:w="51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Handles async research jobs. Never blocks the main thread. Results returned to approval queue.</w:t>
            </w:r>
          </w:p>
        </w:tc>
      </w:tr>
      <w:tr>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Rate limiting</w:t>
            </w:r>
          </w:p>
        </w:tc>
        <w:tc>
          <w:tcPr>
            <w:tcW w:type="dxa" w:w="2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Per-owner daily research budget (configurable, default 10 queries/day)</w:t>
            </w:r>
          </w:p>
        </w:tc>
        <w:tc>
          <w:tcPr>
            <w:tcW w:type="dxa" w:w="51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Prevents runaway API costs. Owner can increase in Settings.</w:t>
            </w:r>
          </w:p>
        </w:tc>
      </w:tr>
    </w:tbl>
    <w:p>
      <w:pPr>
        <w:pStyle w:val="Heading2"/>
        <w:spacing w:after="100" w:before="300"/>
      </w:pPr>
      <w:r>
        <w:rPr>
          <w:rFonts w:ascii="Arial" w:cs="Arial" w:eastAsia="Arial" w:hAnsi="Arial"/>
          <w:b/>
          <w:bCs/>
          <w:color w:val="2C3240"/>
          <w:sz w:val="26"/>
          <w:szCs w:val="26"/>
        </w:rPr>
        <w:t xml:space="preserve">9.2  Lead Research</w:t>
      </w:r>
    </w:p>
    <w:p>
      <w:pPr>
        <w:spacing w:after="80" w:before="60"/>
      </w:pPr>
      <w:r>
        <w:rPr>
          <w:rFonts w:ascii="Arial" w:cs="Arial" w:eastAsia="Arial" w:hAnsi="Arial"/>
          <w:color w:val="5C6475"/>
          <w:sz w:val="20"/>
          <w:szCs w:val="20"/>
        </w:rPr>
        <w:t xml:space="preserve">The owner asks: "Find me adventure tourism operators in Wanaka who might need our services." Or: "Find local businesses who recently opened and might need bookkeeping help." The agent constructs targeted search queries, processes results, and delivers a curated lead list for owner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Step</w:t>
            </w:r>
          </w:p>
        </w:tc>
        <w:tc>
          <w:tcPr>
            <w:tcW w:type="dxa" w:w="696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Action</w:t>
            </w:r>
          </w:p>
        </w:tc>
      </w:tr>
      <w:tr>
        <w:tc>
          <w:tcPr>
            <w:tcW w:type="dxa" w:w="2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1. Query construction</w:t>
            </w:r>
          </w:p>
        </w:tc>
        <w:tc>
          <w:tcPr>
            <w:tcW w:type="dxa" w:w="6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Agent interprets owner instruction. Generates 3-5 targeted search queries: e.g. "adventure tourism operators Wanaka", "activity companies Wanaka New Zealand contact", "new business openings Queenstown Lakes 2025"</w:t>
            </w:r>
          </w:p>
        </w:tc>
      </w:tr>
      <w:tr>
        <w:tc>
          <w:tcPr>
            <w:tcW w:type="dxa" w:w="2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2. Search execution</w:t>
            </w:r>
          </w:p>
        </w:tc>
        <w:tc>
          <w:tcPr>
            <w:tcW w:type="dxa" w:w="69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Research Worker calls Brave Search API for each query. Retrieves top 10 results per query with title, URL, description, and domain.</w:t>
            </w:r>
          </w:p>
        </w:tc>
      </w:tr>
      <w:tr>
        <w:tc>
          <w:tcPr>
            <w:tcW w:type="dxa" w:w="2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3. Deduplication</w:t>
            </w:r>
          </w:p>
        </w:tc>
        <w:tc>
          <w:tcPr>
            <w:tcW w:type="dxa" w:w="6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Remove duplicate domains. Remove results already in client memory or lead pipeline.</w:t>
            </w:r>
          </w:p>
        </w:tc>
      </w:tr>
      <w:tr>
        <w:tc>
          <w:tcPr>
            <w:tcW w:type="dxa" w:w="2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4. Extraction</w:t>
            </w:r>
          </w:p>
        </w:tc>
        <w:tc>
          <w:tcPr>
            <w:tcW w:type="dxa" w:w="69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For each unique result: extract business name, likely contact info, website, apparent size indicators, and relevance signals using Groq.</w:t>
            </w:r>
          </w:p>
        </w:tc>
      </w:tr>
      <w:tr>
        <w:tc>
          <w:tcPr>
            <w:tcW w:type="dxa" w:w="2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5. Lead list generation</w:t>
            </w:r>
          </w:p>
        </w:tc>
        <w:tc>
          <w:tcPr>
            <w:tcW w:type="dxa" w:w="6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Agent produces structured list: Business name, website, estimated relevance score (High/Medium/Low), reason for relevance, any available contact info.</w:t>
            </w:r>
          </w:p>
        </w:tc>
      </w:tr>
      <w:tr>
        <w:tc>
          <w:tcPr>
            <w:tcW w:type="dxa" w:w="2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6. Tier 3 review</w:t>
            </w:r>
          </w:p>
        </w:tc>
        <w:tc>
          <w:tcPr>
            <w:tcW w:type="dxa" w:w="69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Lead list presented to owner in approval queue. Owner marks each lead: "Add to outreach list", "Not relevant", "Already know them".</w:t>
            </w:r>
          </w:p>
        </w:tc>
      </w:tr>
      <w:tr>
        <w:tc>
          <w:tcPr>
            <w:tcW w:type="dxa" w:w="2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7. Memory update</w:t>
            </w:r>
          </w:p>
        </w:tc>
        <w:tc>
          <w:tcPr>
            <w:tcW w:type="dxa" w:w="6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Approved leads added to lead pipeline with source = "Research". Owner-rejected leads flagged so they do not reappear.</w:t>
            </w:r>
          </w:p>
        </w:tc>
      </w:tr>
      <w:tr>
        <w:tc>
          <w:tcPr>
            <w:tcW w:type="dxa" w:w="2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8. Outreach drafting</w:t>
            </w:r>
          </w:p>
        </w:tc>
        <w:tc>
          <w:tcPr>
            <w:tcW w:type="dxa" w:w="69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For leads owner marks "Add to outreach list": agent drafts personalised first-contact email for each. Owner approves each individually before send.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ED9D0" w:sz="4"/>
              <w:left w:val="single" w:color="DED9D0" w:sz="4"/>
              <w:bottom w:val="single" w:color="DED9D0" w:sz="4"/>
              <w:right w:val="single" w:color="DED9D0" w:sz="4"/>
            </w:tcBorders>
            <w:shd w:fill="EDE6D8" w:val="clear"/>
            <w:tcMar>
              <w:top w:type="dxa" w:w="120"/>
              <w:left w:type="dxa" w:w="160"/>
              <w:bottom w:type="dxa" w:w="120"/>
              <w:right w:type="dxa" w:w="160"/>
            </w:tcMar>
          </w:tcPr>
          <w:p>
            <w:pPr>
              <w:spacing w:after="0" w:before="0"/>
            </w:pPr>
            <w:r>
              <w:rPr>
                <w:rFonts w:ascii="Arial" w:cs="Arial" w:eastAsia="Arial" w:hAnsi="Arial"/>
                <w:b/>
                <w:bCs/>
                <w:color w:val="2C3240"/>
                <w:sz w:val="18"/>
                <w:szCs w:val="18"/>
              </w:rPr>
              <w:t xml:space="preserve">BUILD  </w:t>
            </w:r>
            <w:r>
              <w:rPr>
                <w:rFonts w:ascii="Arial" w:cs="Arial" w:eastAsia="Arial" w:hAnsi="Arial"/>
                <w:color w:val="2C3240"/>
                <w:sz w:val="18"/>
                <w:szCs w:val="18"/>
              </w:rPr>
              <w:t xml:space="preserve">The agent never sends outreach emails from research leads without explicit per-email owner approval. Research outputs are information, not instructions.</w:t>
            </w:r>
          </w:p>
        </w:tc>
      </w:tr>
    </w:tbl>
    <w:p>
      <w:pPr>
        <w:pStyle w:val="Heading2"/>
        <w:spacing w:after="100" w:before="300"/>
      </w:pPr>
      <w:r>
        <w:rPr>
          <w:rFonts w:ascii="Arial" w:cs="Arial" w:eastAsia="Arial" w:hAnsi="Arial"/>
          <w:b/>
          <w:bCs/>
          <w:color w:val="2C3240"/>
          <w:sz w:val="26"/>
          <w:szCs w:val="26"/>
        </w:rPr>
        <w:t xml:space="preserve">9.3  Competitor Monitoring</w:t>
      </w:r>
    </w:p>
    <w:p>
      <w:pPr>
        <w:spacing w:after="80" w:before="60"/>
      </w:pPr>
      <w:r>
        <w:rPr>
          <w:rFonts w:ascii="Arial" w:cs="Arial" w:eastAsia="Arial" w:hAnsi="Arial"/>
          <w:color w:val="5C6475"/>
          <w:sz w:val="20"/>
          <w:szCs w:val="20"/>
        </w:rPr>
        <w:t xml:space="preserve">The owner wants to know what their competitors are doing: new services, pricing changes, promotions, or new businesses entering the market. The agent runs periodic monitoring searches and surfaces significant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Feature</w:t>
            </w:r>
          </w:p>
        </w:tc>
        <w:tc>
          <w:tcPr>
            <w:tcW w:type="dxa" w:w="696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Description</w:t>
            </w:r>
          </w:p>
        </w:tc>
      </w:tr>
      <w:tr>
        <w:tc>
          <w:tcPr>
            <w:tcW w:type="dxa" w:w="2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Competitor list</w:t>
            </w:r>
          </w:p>
        </w:tc>
        <w:tc>
          <w:tcPr>
            <w:tcW w:type="dxa" w:w="6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Owner enters known competitors in Settings &gt; Intelligence. Agent also auto-suggests competitors detected in email context ("we also got a quote from Rival Co").</w:t>
            </w:r>
          </w:p>
        </w:tc>
      </w:tr>
      <w:tr>
        <w:tc>
          <w:tcPr>
            <w:tcW w:type="dxa" w:w="2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Weekly monitoring</w:t>
            </w:r>
          </w:p>
        </w:tc>
        <w:tc>
          <w:tcPr>
            <w:tcW w:type="dxa" w:w="69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Every Monday, agent searches each competitor's website and recent mentions for: new services, pricing pages, promotions, review trends, news mentions.</w:t>
            </w:r>
          </w:p>
        </w:tc>
      </w:tr>
      <w:tr>
        <w:tc>
          <w:tcPr>
            <w:tcW w:type="dxa" w:w="2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Change detection</w:t>
            </w:r>
          </w:p>
        </w:tc>
        <w:tc>
          <w:tcPr>
            <w:tcW w:type="dxa" w:w="6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Agent compares current search results against cached prior week. Flags meaningful changes: new service offering, significant review shift, news mention.</w:t>
            </w:r>
          </w:p>
        </w:tc>
      </w:tr>
      <w:tr>
        <w:tc>
          <w:tcPr>
            <w:tcW w:type="dxa" w:w="2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Weekly intelligence digest</w:t>
            </w:r>
          </w:p>
        </w:tc>
        <w:tc>
          <w:tcPr>
            <w:tcW w:type="dxa" w:w="69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Summary surfaced in Home screen (not an approval — informational only): "Competitor X added guided kayaking to their offerings. Competitor Y has dropped 0.3 stars on Google this month."</w:t>
            </w:r>
          </w:p>
        </w:tc>
      </w:tr>
      <w:tr>
        <w:tc>
          <w:tcPr>
            <w:tcW w:type="dxa" w:w="2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New entrant alert</w:t>
            </w:r>
          </w:p>
        </w:tc>
        <w:tc>
          <w:tcPr>
            <w:tcW w:type="dxa" w:w="6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Monthly search for new businesses in ICP categories within the geographic market. Agent flags: "A new adventure tourism operator opened in Queenstown last month: [Name]. Want me to research them?"</w:t>
            </w:r>
          </w:p>
        </w:tc>
      </w:tr>
      <w:tr>
        <w:tc>
          <w:tcPr>
            <w:tcW w:type="dxa" w:w="2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Proactive opportunity detection</w:t>
            </w:r>
          </w:p>
        </w:tc>
        <w:tc>
          <w:tcPr>
            <w:tcW w:type="dxa" w:w="69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If competitor has a surge of negative reviews or appears to close: agent surfaces this as an opportunity prompt.</w:t>
            </w:r>
          </w:p>
        </w:tc>
      </w:tr>
    </w:tbl>
    <w:p>
      <w:pPr>
        <w:pStyle w:val="Heading2"/>
        <w:spacing w:after="100" w:before="300"/>
      </w:pPr>
      <w:r>
        <w:rPr>
          <w:rFonts w:ascii="Arial" w:cs="Arial" w:eastAsia="Arial" w:hAnsi="Arial"/>
          <w:b/>
          <w:bCs/>
          <w:color w:val="2C3240"/>
          <w:sz w:val="26"/>
          <w:szCs w:val="26"/>
        </w:rPr>
        <w:t xml:space="preserve">9.4  Marketing Intelligence</w:t>
      </w:r>
    </w:p>
    <w:p>
      <w:pPr>
        <w:spacing w:after="80" w:before="60"/>
      </w:pPr>
      <w:r>
        <w:rPr>
          <w:rFonts w:ascii="Arial" w:cs="Arial" w:eastAsia="Arial" w:hAnsi="Arial"/>
          <w:color w:val="5C6475"/>
          <w:sz w:val="20"/>
          <w:szCs w:val="20"/>
        </w:rPr>
        <w:t xml:space="preserve">The owner does not have time to research marketing channels, local event opportunities, or seasonal trends. The agent does this and surfaces actionable recommendations.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Feature</w:t>
            </w:r>
          </w:p>
        </w:tc>
        <w:tc>
          <w:tcPr>
            <w:tcW w:type="dxa" w:w="696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Description</w:t>
            </w:r>
          </w:p>
        </w:tc>
      </w:tr>
      <w:tr>
        <w:tc>
          <w:tcPr>
            <w:tcW w:type="dxa" w:w="2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Local event calendar research</w:t>
            </w:r>
          </w:p>
        </w:tc>
        <w:tc>
          <w:tcPr>
            <w:tcW w:type="dxa" w:w="6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Monthly search for upcoming local events that might drive new enquiries: conferences, festivals, sporting events, trade shows. Agent surfaces: "The Queenstown Winter Festival is in 6 weeks — this typically drives 30%+ more accommodation enquiries. Want me to draft a seasonal promotion email for your client list?"</w:t>
            </w:r>
          </w:p>
        </w:tc>
      </w:tr>
      <w:tr>
        <w:tc>
          <w:tcPr>
            <w:tcW w:type="dxa" w:w="2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Industry news monitoring</w:t>
            </w:r>
          </w:p>
        </w:tc>
        <w:tc>
          <w:tcPr>
            <w:tcW w:type="dxa" w:w="69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Weekly search for news relevant to the owner's industry: regulation changes, seasonal forecasts, competitor industry news. Surfaced as weekly intelligence digest.</w:t>
            </w:r>
          </w:p>
        </w:tc>
      </w:tr>
      <w:tr>
        <w:tc>
          <w:tcPr>
            <w:tcW w:type="dxa" w:w="2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Marketing channel research</w:t>
            </w:r>
          </w:p>
        </w:tc>
        <w:tc>
          <w:tcPr>
            <w:tcW w:type="dxa" w:w="6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On demand: "What are the best ways for a trades business like mine to get new clients in Queenstown?" Agent searches and synthesises a specific, locally-relevant answer.</w:t>
            </w:r>
          </w:p>
        </w:tc>
      </w:tr>
      <w:tr>
        <w:tc>
          <w:tcPr>
            <w:tcW w:type="dxa" w:w="2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Seasonal trend detection</w:t>
            </w:r>
          </w:p>
        </w:tc>
        <w:tc>
          <w:tcPr>
            <w:tcW w:type="dxa" w:w="69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Agent analyses the owner's own booking/enquiry data (from classified emails) to detect seasonality. Surfaces: "Your enquiries typically spike in October — it's now September. Want me to prepare any seasonal outreach?"</w:t>
            </w:r>
          </w:p>
        </w:tc>
      </w:tr>
      <w:tr>
        <w:tc>
          <w:tcPr>
            <w:tcW w:type="dxa" w:w="2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Content suggestions</w:t>
            </w:r>
          </w:p>
        </w:tc>
        <w:tc>
          <w:tcPr>
            <w:tcW w:type="dxa" w:w="6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Agent detects that the owner's Google Business Profile or website hasn't been updated recently (via Google My Business API). Suggests and drafts an update post for owner approval.</w:t>
            </w:r>
          </w:p>
        </w:tc>
      </w:tr>
      <w:tr>
        <w:tc>
          <w:tcPr>
            <w:tcW w:type="dxa" w:w="2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Grant and scheme research</w:t>
            </w:r>
          </w:p>
        </w:tc>
        <w:tc>
          <w:tcPr>
            <w:tcW w:type="dxa" w:w="69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On demand: "Are there any business grants available for tourism operators in Queenstown?" Agent searches business.govt.nz, Callaghan Innovation, MBIE, and relevant councils. Returns structured summary with links.</w:t>
            </w:r>
          </w:p>
        </w:tc>
      </w:tr>
    </w:tbl>
    <w:p>
      <w:pPr>
        <w:pStyle w:val="Heading2"/>
        <w:spacing w:after="100" w:before="300"/>
      </w:pPr>
      <w:r>
        <w:rPr>
          <w:rFonts w:ascii="Arial" w:cs="Arial" w:eastAsia="Arial" w:hAnsi="Arial"/>
          <w:b/>
          <w:bCs/>
          <w:color w:val="2C3240"/>
          <w:sz w:val="26"/>
          <w:szCs w:val="26"/>
        </w:rPr>
        <w:t xml:space="preserve">9.5  Outreach Assistance</w:t>
      </w:r>
    </w:p>
    <w:p>
      <w:pPr>
        <w:spacing w:after="80" w:before="60"/>
      </w:pPr>
      <w:r>
        <w:rPr>
          <w:rFonts w:ascii="Arial" w:cs="Arial" w:eastAsia="Arial" w:hAnsi="Arial"/>
          <w:color w:val="5C6475"/>
          <w:sz w:val="20"/>
          <w:szCs w:val="20"/>
        </w:rPr>
        <w:t xml:space="preserve">Once the owner has identified leads or marketing opportunities, the agent assists with the outreach process — drafting, sequencing, and tracking — while maintaining the approval-first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Feature</w:t>
            </w:r>
          </w:p>
        </w:tc>
        <w:tc>
          <w:tcPr>
            <w:tcW w:type="dxa" w:w="696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Description</w:t>
            </w:r>
          </w:p>
        </w:tc>
      </w:tr>
      <w:tr>
        <w:tc>
          <w:tcPr>
            <w:tcW w:type="dxa" w:w="2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Personalised first-contact drafts</w:t>
            </w:r>
          </w:p>
        </w:tc>
        <w:tc>
          <w:tcPr>
            <w:tcW w:type="dxa" w:w="6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Agent drafts personalised outreach emails for each approved lead, referencing their business, likely pain point, and a specific Olivander capability that's relevant. No generic templates.</w:t>
            </w:r>
          </w:p>
        </w:tc>
      </w:tr>
      <w:tr>
        <w:tc>
          <w:tcPr>
            <w:tcW w:type="dxa" w:w="2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Outreach sequence management</w:t>
            </w:r>
          </w:p>
        </w:tc>
        <w:tc>
          <w:tcPr>
            <w:tcW w:type="dxa" w:w="69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Tracks which leads have been contacted, when, and what the response was. Manages follow-up sequence: contact → +5 days if no response → +10 days → mark cold.</w:t>
            </w:r>
          </w:p>
        </w:tc>
      </w:tr>
      <w:tr>
        <w:tc>
          <w:tcPr>
            <w:tcW w:type="dxa" w:w="2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Response classification</w:t>
            </w:r>
          </w:p>
        </w:tc>
        <w:tc>
          <w:tcPr>
            <w:tcW w:type="dxa" w:w="6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Inbound replies to outreach classified: interested, not now, not relevant, request for more info. Agent drafts follow-up accordingly.</w:t>
            </w:r>
          </w:p>
        </w:tc>
      </w:tr>
      <w:tr>
        <w:tc>
          <w:tcPr>
            <w:tcW w:type="dxa" w:w="2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Referral request timing</w:t>
            </w:r>
          </w:p>
        </w:tc>
        <w:tc>
          <w:tcPr>
            <w:tcW w:type="dxa" w:w="69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Agent detects clients with high calibration scores (&gt;85% approval-without-edit) and high NPS signals. Suggests: "This client seems very happy — good time to ask for a referral. Want me to draft a referral request?"</w:t>
            </w:r>
          </w:p>
        </w:tc>
      </w:tr>
      <w:tr>
        <w:tc>
          <w:tcPr>
            <w:tcW w:type="dxa" w:w="2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LinkedIn research (Phase 3)</w:t>
            </w:r>
          </w:p>
        </w:tc>
        <w:tc>
          <w:tcPr>
            <w:tcW w:type="dxa" w:w="6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For professional services ICP: research leads on LinkedIn via Unipile or similar API before first contact. Surface role, company size, recent posts. Phase 3 only.</w:t>
            </w:r>
          </w:p>
        </w:tc>
      </w:tr>
    </w:tbl>
    <w:p>
      <w:pPr>
        <w:pStyle w:val="Heading2"/>
        <w:spacing w:after="100" w:before="300"/>
      </w:pPr>
      <w:r>
        <w:rPr>
          <w:rFonts w:ascii="Arial" w:cs="Arial" w:eastAsia="Arial" w:hAnsi="Arial"/>
          <w:b/>
          <w:bCs/>
          <w:color w:val="2C3240"/>
          <w:sz w:val="26"/>
          <w:szCs w:val="26"/>
        </w:rPr>
        <w:t xml:space="preserve">9.6  Research Quality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ED9D0" w:sz="4"/>
              <w:left w:val="single" w:color="DED9D0" w:sz="4"/>
              <w:bottom w:val="single" w:color="DED9D0" w:sz="4"/>
              <w:right w:val="single" w:color="DED9D0" w:sz="4"/>
            </w:tcBorders>
            <w:shd w:fill="EDE6D8" w:val="clear"/>
            <w:tcMar>
              <w:top w:type="dxa" w:w="120"/>
              <w:left w:type="dxa" w:w="160"/>
              <w:bottom w:type="dxa" w:w="120"/>
              <w:right w:type="dxa" w:w="160"/>
            </w:tcMar>
          </w:tcPr>
          <w:p>
            <w:pPr>
              <w:spacing w:after="0" w:before="0"/>
            </w:pPr>
            <w:r>
              <w:rPr>
                <w:rFonts w:ascii="Arial" w:cs="Arial" w:eastAsia="Arial" w:hAnsi="Arial"/>
                <w:b/>
                <w:bCs/>
                <w:color w:val="2C3240"/>
                <w:sz w:val="18"/>
                <w:szCs w:val="18"/>
              </w:rPr>
              <w:t xml:space="preserve">BUILD  </w:t>
            </w:r>
            <w:r>
              <w:rPr>
                <w:rFonts w:ascii="Arial" w:cs="Arial" w:eastAsia="Arial" w:hAnsi="Arial"/>
                <w:color w:val="2C3240"/>
                <w:sz w:val="18"/>
                <w:szCs w:val="18"/>
              </w:rPr>
              <w:t xml:space="preserve">Research outputs are information, not actions. The agent never takes action based on research results without owner review. All lead research outputs are Tier 3. Competitor monitoring is informational only — no action queued. Marketing intelligence triggers suggestions, not executions.</w:t>
            </w:r>
          </w:p>
        </w:tc>
      </w:tr>
    </w:tbl>
    <w:p>
      <w:pPr>
        <w:spacing w:after="0" w:before="80"/>
      </w:pPr>
      <w:r>
        <w:rPr>
          <w:rFonts w:ascii="Arial" w:cs="Arial" w:eastAsia="Arial" w:hAnsi="Arial"/>
          <w:color w:val="2C324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Control</w:t>
            </w:r>
          </w:p>
        </w:tc>
        <w:tc>
          <w:tcPr>
            <w:tcW w:type="dxa" w:w="696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Rule</w:t>
            </w:r>
          </w:p>
        </w:tc>
      </w:tr>
      <w:tr>
        <w:tc>
          <w:tcPr>
            <w:tcW w:type="dxa" w:w="2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Source transparency</w:t>
            </w:r>
          </w:p>
        </w:tc>
        <w:tc>
          <w:tcPr>
            <w:tcW w:type="dxa" w:w="6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Every research output shows the source URLs used. Owner can click through to verify any claim.</w:t>
            </w:r>
          </w:p>
        </w:tc>
      </w:tr>
      <w:tr>
        <w:tc>
          <w:tcPr>
            <w:tcW w:type="dxa" w:w="2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Confidence scoring</w:t>
            </w:r>
          </w:p>
        </w:tc>
        <w:tc>
          <w:tcPr>
            <w:tcW w:type="dxa" w:w="69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Agent flags uncertain extractions: "Could not verify contact email — found on directory site, may be outdated."</w:t>
            </w:r>
          </w:p>
        </w:tc>
      </w:tr>
      <w:tr>
        <w:tc>
          <w:tcPr>
            <w:tcW w:type="dxa" w:w="2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Freshness expiry</w:t>
            </w:r>
          </w:p>
        </w:tc>
        <w:tc>
          <w:tcPr>
            <w:tcW w:type="dxa" w:w="6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All research results expire at 30 days and are re-run before presenting again. Stale results are never presented without re-validation.</w:t>
            </w:r>
          </w:p>
        </w:tc>
      </w:tr>
      <w:tr>
        <w:tc>
          <w:tcPr>
            <w:tcW w:type="dxa" w:w="2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Competitor claim caution</w:t>
            </w:r>
          </w:p>
        </w:tc>
        <w:tc>
          <w:tcPr>
            <w:tcW w:type="dxa" w:w="69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Agent never makes definitive claims about competitors based on web search alone. Uses hedged language: "Their website suggests...", "Recent reviews indicate..."</w:t>
            </w:r>
          </w:p>
        </w:tc>
      </w:tr>
      <w:tr>
        <w:tc>
          <w:tcPr>
            <w:tcW w:type="dxa" w:w="2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No outreach without approval</w:t>
            </w:r>
          </w:p>
        </w:tc>
        <w:tc>
          <w:tcPr>
            <w:tcW w:type="dxa" w:w="6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Agent NEVER sends an outreach email or message derived from research without the owner explicitly approving that specific email. Research → approval → send. No exceptions.</w:t>
            </w:r>
          </w:p>
        </w:tc>
      </w:tr>
      <w:tr>
        <w:tc>
          <w:tcPr>
            <w:tcW w:type="dxa" w:w="2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Privacy compliance</w:t>
            </w:r>
          </w:p>
        </w:tc>
        <w:tc>
          <w:tcPr>
            <w:tcW w:type="dxa" w:w="69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Agent never stores or uses personal information extracted from research about private individuals. Business contact information only.</w:t>
            </w:r>
          </w:p>
        </w:tc>
      </w:tr>
      <w:tr>
        <w:tc>
          <w:tcPr>
            <w:tcW w:type="dxa" w:w="2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Daily query budget</w:t>
            </w:r>
          </w:p>
        </w:tc>
        <w:tc>
          <w:tcPr>
            <w:tcW w:type="dxa" w:w="6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Default 10 research queries per day per account. Prevents cost overrun. Configurable in Settings.</w:t>
            </w:r>
          </w:p>
        </w:tc>
      </w:tr>
    </w:tbl>
    <w:p>
      <w:r>
        <w:br w:type="page"/>
      </w:r>
    </w:p>
    <w:p>
      <w:pPr>
        <w:pStyle w:val="Heading1"/>
        <w:pBdr>
          <w:bottom w:val="single" w:color="5A4FD0" w:sz="8" w:space="4"/>
        </w:pBdr>
        <w:spacing w:after="160" w:before="440"/>
      </w:pPr>
      <w:r>
        <w:rPr>
          <w:rFonts w:ascii="Arial" w:cs="Arial" w:eastAsia="Arial" w:hAnsi="Arial"/>
          <w:b/>
          <w:bCs/>
          <w:color w:val="2C3240"/>
          <w:sz w:val="36"/>
          <w:szCs w:val="36"/>
        </w:rPr>
        <w:t xml:space="preserve">10. Proactive Business Intelligence</w:t>
      </w:r>
    </w:p>
    <w:p>
      <w:pPr>
        <w:spacing w:after="80" w:before="60"/>
      </w:pPr>
      <w:r>
        <w:rPr>
          <w:rFonts w:ascii="Arial" w:cs="Arial" w:eastAsia="Arial" w:hAnsi="Arial"/>
          <w:color w:val="5C6475"/>
          <w:sz w:val="20"/>
          <w:szCs w:val="20"/>
        </w:rPr>
        <w:t xml:space="preserve">Business intelligence that the owner would never have time to find themselves, surfaced at the right moment from data already in the system. No new integrations required for most of these — they are computations on data Olivander already holds.</w:t>
      </w:r>
    </w:p>
    <w:p>
      <w:pPr>
        <w:pStyle w:val="Heading2"/>
        <w:spacing w:after="100" w:before="300"/>
      </w:pPr>
      <w:r>
        <w:rPr>
          <w:rFonts w:ascii="Arial" w:cs="Arial" w:eastAsia="Arial" w:hAnsi="Arial"/>
          <w:b/>
          <w:bCs/>
          <w:color w:val="2C3240"/>
          <w:sz w:val="26"/>
          <w:szCs w:val="26"/>
        </w:rPr>
        <w:t xml:space="preserve">10.1  Intelligence Alerts (Internal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60"/>
      </w:tblGrid>
      <w:tr>
        <w:tc>
          <w:tcPr>
            <w:tcW w:type="dxa" w:w="24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Alert type</w:t>
            </w:r>
          </w:p>
        </w:tc>
        <w:tc>
          <w:tcPr>
            <w:tcW w:type="dxa" w:w="34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Trigger condition</w:t>
            </w:r>
          </w:p>
        </w:tc>
        <w:tc>
          <w:tcPr>
            <w:tcW w:type="dxa" w:w="356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Agent action</w:t>
            </w:r>
          </w:p>
        </w:tc>
      </w:tr>
      <w:tr>
        <w:tc>
          <w:tcPr>
            <w:tcW w:type="dxa" w:w="2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Seasonal capacity warning</w:t>
            </w:r>
          </w:p>
        </w:tc>
        <w:tc>
          <w:tcPr>
            <w:tcW w:type="dxa" w:w="3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Agent analyses historical booking patterns from classified emails. Current confirmed bookings for upcoming peak are &lt;70% of prior year same period.</w:t>
            </w:r>
          </w:p>
        </w:tc>
        <w:tc>
          <w:tcPr>
            <w:tcW w:type="dxa" w:w="35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"Your peak season starts in 6 weeks. You're at 60% of last year's bookings for this period. Want me to run a lead search for activity operators who might book corporate packages?"</w:t>
            </w:r>
          </w:p>
        </w:tc>
      </w:tr>
      <w:tr>
        <w:tc>
          <w:tcPr>
            <w:tcW w:type="dxa" w:w="2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Client concentration risk</w:t>
            </w:r>
          </w:p>
        </w:tc>
        <w:tc>
          <w:tcPr>
            <w:tcW w:type="dxa" w:w="3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Single client represents &gt;35% of revenue in rolling 3-month window (derived from Xero invoices)</w:t>
            </w:r>
          </w:p>
        </w:tc>
        <w:tc>
          <w:tcPr>
            <w:tcW w:type="dxa" w:w="35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"42% of your revenue this quarter came from one client. You haven't had a new client enquiry in 3 weeks. Want me to research potential new clients?"</w:t>
            </w:r>
          </w:p>
        </w:tc>
      </w:tr>
      <w:tr>
        <w:tc>
          <w:tcPr>
            <w:tcW w:type="dxa" w:w="2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Quote conversion rate drop</w:t>
            </w:r>
          </w:p>
        </w:tc>
        <w:tc>
          <w:tcPr>
            <w:tcW w:type="dxa" w:w="3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Fewer than 30% of sent quotes accepted in past 30 days (vs 30-day rolling average)</w:t>
            </w:r>
          </w:p>
        </w:tc>
        <w:tc>
          <w:tcPr>
            <w:tcW w:type="dxa" w:w="35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"Your quote conversion is tracking below last month: 2 of 8 accepted vs your usual 4. 3 quotes are over 10 days old with no response — want me to send follow-ups?"</w:t>
            </w:r>
          </w:p>
        </w:tc>
      </w:tr>
      <w:tr>
        <w:tc>
          <w:tcPr>
            <w:tcW w:type="dxa" w:w="2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Unusual payment delay</w:t>
            </w:r>
          </w:p>
        </w:tc>
        <w:tc>
          <w:tcPr>
            <w:tcW w:type="dxa" w:w="3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Client payment significantly later than their historical average</w:t>
            </w:r>
          </w:p>
        </w:tc>
        <w:tc>
          <w:tcPr>
            <w:tcW w:type="dxa" w:w="35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"Marcus (usually pays in 14 days) is now at day 19 on INV-0041. Flagging early."</w:t>
            </w:r>
          </w:p>
        </w:tc>
      </w:tr>
      <w:tr>
        <w:tc>
          <w:tcPr>
            <w:tcW w:type="dxa" w:w="2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Workload imbalance</w:t>
            </w:r>
          </w:p>
        </w:tc>
        <w:tc>
          <w:tcPr>
            <w:tcW w:type="dxa" w:w="3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Significant gap between confirmed jobs on different days</w:t>
            </w:r>
          </w:p>
        </w:tc>
        <w:tc>
          <w:tcPr>
            <w:tcW w:type="dxa" w:w="35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"You have 3 jobs Thursday and nothing Wednesday. One of Thursday's clients was flexible on timing — want me to propose a reschedule?"</w:t>
            </w:r>
          </w:p>
        </w:tc>
      </w:tr>
      <w:tr>
        <w:tc>
          <w:tcPr>
            <w:tcW w:type="dxa" w:w="2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Relationship gap</w:t>
            </w:r>
          </w:p>
        </w:tc>
        <w:tc>
          <w:tcPr>
            <w:tcW w:type="dxa" w:w="3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High-value client with no contact in &gt;6 weeks</w:t>
            </w:r>
          </w:p>
        </w:tc>
        <w:tc>
          <w:tcPr>
            <w:tcW w:type="dxa" w:w="35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"You haven't had any communication with Alpine Lodge (your 2nd highest revenue client) in 7 weeks. Want me to draft a check-in email?"</w:t>
            </w:r>
          </w:p>
        </w:tc>
      </w:tr>
      <w:tr>
        <w:tc>
          <w:tcPr>
            <w:tcW w:type="dxa" w:w="2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Onboarding calibration alert</w:t>
            </w:r>
          </w:p>
        </w:tc>
        <w:tc>
          <w:tcPr>
            <w:tcW w:type="dxa" w:w="3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Calibration score below 60% at Day 30</w:t>
            </w:r>
          </w:p>
        </w:tc>
        <w:tc>
          <w:tcPr>
            <w:tcW w:type="dxa" w:w="35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Automatic outreach from Olivander team to diagnose. Flagged in owner's dashboard.</w:t>
            </w:r>
          </w:p>
        </w:tc>
      </w:tr>
    </w:tbl>
    <w:p>
      <w:pPr>
        <w:pStyle w:val="Heading2"/>
        <w:spacing w:after="100" w:before="300"/>
      </w:pPr>
      <w:r>
        <w:rPr>
          <w:rFonts w:ascii="Arial" w:cs="Arial" w:eastAsia="Arial" w:hAnsi="Arial"/>
          <w:b/>
          <w:bCs/>
          <w:color w:val="2C3240"/>
          <w:sz w:val="26"/>
          <w:szCs w:val="26"/>
        </w:rPr>
        <w:t xml:space="preserve">10.2  Weekly Digest</w:t>
      </w:r>
    </w:p>
    <w:p>
      <w:pPr>
        <w:spacing w:after="80" w:before="60"/>
      </w:pPr>
      <w:r>
        <w:rPr>
          <w:rFonts w:ascii="Arial" w:cs="Arial" w:eastAsia="Arial" w:hAnsi="Arial"/>
          <w:color w:val="5C6475"/>
          <w:sz w:val="20"/>
          <w:szCs w:val="20"/>
        </w:rPr>
        <w:t xml:space="preserve">Every Monday morning (configurable), owner receives a plain-text email digest covering: approval queue items from last week, calibration score trend, cash position summary, open lead count, any intelligence alerts triggered, and one proactive suggestion based on the most actionable finding. No dashboards — just the signal.</w:t>
      </w:r>
    </w:p>
    <w:p>
      <w:pPr>
        <w:pStyle w:val="Heading2"/>
        <w:spacing w:after="100" w:before="300"/>
      </w:pPr>
      <w:r>
        <w:rPr>
          <w:rFonts w:ascii="Arial" w:cs="Arial" w:eastAsia="Arial" w:hAnsi="Arial"/>
          <w:b/>
          <w:bCs/>
          <w:color w:val="2C3240"/>
          <w:sz w:val="26"/>
          <w:szCs w:val="26"/>
        </w:rPr>
        <w:t xml:space="preserve">10.3  Monthly Business Summary</w:t>
      </w:r>
    </w:p>
    <w:p>
      <w:pPr>
        <w:spacing w:after="80" w:before="60"/>
      </w:pPr>
      <w:r>
        <w:rPr>
          <w:rFonts w:ascii="Arial" w:cs="Arial" w:eastAsia="Arial" w:hAnsi="Arial"/>
          <w:color w:val="5C6475"/>
          <w:sz w:val="20"/>
          <w:szCs w:val="20"/>
        </w:rPr>
        <w:t xml:space="preserve">End of each month, agent produces a structured summary: revenue invoiced vs prior month, invoices outstanding, new clients acquired, leads in pipeline, calibration score, hours estimated saved (based on action count × estimated time per action type). Delivered as a PDF to the owner's email for filing. This is the artefact the owner shows their accountant.</w:t>
      </w:r>
    </w:p>
    <w:p>
      <w:r>
        <w:br w:type="page"/>
      </w:r>
    </w:p>
    <w:p>
      <w:pPr>
        <w:pStyle w:val="Heading1"/>
        <w:pBdr>
          <w:bottom w:val="single" w:color="5A4FD0" w:sz="8" w:space="4"/>
        </w:pBdr>
        <w:spacing w:after="160" w:before="440"/>
      </w:pPr>
      <w:r>
        <w:rPr>
          <w:rFonts w:ascii="Arial" w:cs="Arial" w:eastAsia="Arial" w:hAnsi="Arial"/>
          <w:b/>
          <w:bCs/>
          <w:color w:val="2C3240"/>
          <w:sz w:val="36"/>
          <w:szCs w:val="36"/>
        </w:rPr>
        <w:t xml:space="preserve">11. Full Feature Specification</w:t>
      </w:r>
    </w:p>
    <w:p>
      <w:pPr>
        <w:pStyle w:val="Heading2"/>
        <w:spacing w:after="100" w:before="300"/>
      </w:pPr>
      <w:r>
        <w:rPr>
          <w:rFonts w:ascii="Arial" w:cs="Arial" w:eastAsia="Arial" w:hAnsi="Arial"/>
          <w:b/>
          <w:bCs/>
          <w:color w:val="2C3240"/>
          <w:sz w:val="26"/>
          <w:szCs w:val="26"/>
        </w:rPr>
        <w:t xml:space="preserve">11.1  Email Features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1600"/>
        <w:gridCol w:w="1560"/>
      </w:tblGrid>
      <w:tr>
        <w:tc>
          <w:tcPr>
            <w:tcW w:type="dxa" w:w="26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Feature</w:t>
            </w:r>
          </w:p>
        </w:tc>
        <w:tc>
          <w:tcPr>
            <w:tcW w:type="dxa" w:w="36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Description</w:t>
            </w:r>
          </w:p>
        </w:tc>
        <w:tc>
          <w:tcPr>
            <w:tcW w:type="dxa" w:w="16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Status</w:t>
            </w:r>
          </w:p>
        </w:tc>
        <w:tc>
          <w:tcPr>
            <w:tcW w:type="dxa" w:w="156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Phase</w:t>
            </w:r>
          </w:p>
        </w:tc>
      </w:tr>
      <w:tr>
        <w:tc>
          <w:tcPr>
            <w:tcW w:type="dxa" w:w="2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Inbox classification (8 categories)</w:t>
            </w:r>
          </w:p>
        </w:tc>
        <w:tc>
          <w:tcPr>
            <w:tcW w:type="dxa" w:w="3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Classify every inbound email. Store classification + 2-line summary.</w:t>
            </w:r>
          </w:p>
        </w:tc>
        <w:tc>
          <w:tcPr>
            <w:tcW w:type="dxa" w:w="1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Built (Groq tested)</w:t>
            </w:r>
          </w:p>
        </w:tc>
        <w:tc>
          <w:tcPr>
            <w:tcW w:type="dxa" w:w="15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MVP</w:t>
            </w:r>
          </w:p>
        </w:tc>
      </w:tr>
      <w:tr>
        <w:tc>
          <w:tcPr>
            <w:tcW w:type="dxa" w:w="2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Draft reply generation</w:t>
            </w:r>
          </w:p>
        </w:tc>
        <w:tc>
          <w:tcPr>
            <w:tcW w:type="dxa" w:w="3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Tone-matched, memory-informed reply drafts with provenance shown.</w:t>
            </w:r>
          </w:p>
        </w:tc>
        <w:tc>
          <w:tcPr>
            <w:tcW w:type="dxa" w:w="1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Built (Groq tested)</w:t>
            </w:r>
          </w:p>
        </w:tc>
        <w:tc>
          <w:tcPr>
            <w:tcW w:type="dxa" w:w="15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MVP</w:t>
            </w:r>
          </w:p>
        </w:tc>
      </w:tr>
      <w:tr>
        <w:tc>
          <w:tcPr>
            <w:tcW w:type="dxa" w:w="2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Approval email with tap buttons</w:t>
            </w:r>
          </w:p>
        </w:tc>
        <w:tc>
          <w:tcPr>
            <w:tcW w:type="dxa" w:w="3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WHO/WHAT/WHY/WHEN + Approve/Edit/Reject. Works on Gmail, Apple Mail, Outlook mobile.</w:t>
            </w:r>
          </w:p>
        </w:tc>
        <w:tc>
          <w:tcPr>
            <w:tcW w:type="dxa" w:w="1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c>
          <w:tcPr>
            <w:tcW w:type="dxa" w:w="15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MVP</w:t>
            </w:r>
          </w:p>
        </w:tc>
      </w:tr>
      <w:tr>
        <w:tc>
          <w:tcPr>
            <w:tcW w:type="dxa" w:w="2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Follow-up sequencing (4 types)</w:t>
            </w:r>
          </w:p>
        </w:tc>
        <w:tc>
          <w:tcPr>
            <w:tcW w:type="dxa" w:w="3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New lead, quote, post-job, meeting booked. Halt on any reply.</w:t>
            </w:r>
          </w:p>
        </w:tc>
        <w:tc>
          <w:tcPr>
            <w:tcW w:type="dxa" w:w="1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c>
          <w:tcPr>
            <w:tcW w:type="dxa" w:w="15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MVP</w:t>
            </w:r>
          </w:p>
        </w:tc>
      </w:tr>
      <w:tr>
        <w:tc>
          <w:tcPr>
            <w:tcW w:type="dxa" w:w="2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Thread context retrieval</w:t>
            </w:r>
          </w:p>
        </w:tc>
        <w:tc>
          <w:tcPr>
            <w:tcW w:type="dxa" w:w="3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Full thread fetched before generating any reply. Never just the latest message.</w:t>
            </w:r>
          </w:p>
        </w:tc>
        <w:tc>
          <w:tcPr>
            <w:tcW w:type="dxa" w:w="1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c>
          <w:tcPr>
            <w:tcW w:type="dxa" w:w="15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MVP</w:t>
            </w:r>
          </w:p>
        </w:tc>
      </w:tr>
      <w:tr>
        <w:tc>
          <w:tcPr>
            <w:tcW w:type="dxa" w:w="2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Email approval webhooks</w:t>
            </w:r>
          </w:p>
        </w:tc>
        <w:tc>
          <w:tcPr>
            <w:tcW w:type="dxa" w:w="3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Approve/reject links in approval email fire secure FastAPI webhook.</w:t>
            </w:r>
          </w:p>
        </w:tc>
        <w:tc>
          <w:tcPr>
            <w:tcW w:type="dxa" w:w="1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c>
          <w:tcPr>
            <w:tcW w:type="dxa" w:w="15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MVP</w:t>
            </w:r>
          </w:p>
        </w:tc>
      </w:tr>
      <w:tr>
        <w:tc>
          <w:tcPr>
            <w:tcW w:type="dxa" w:w="2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Supplier email classification</w:t>
            </w:r>
          </w:p>
        </w:tc>
        <w:tc>
          <w:tcPr>
            <w:tcW w:type="dxa" w:w="3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Separate classification category for supplier emails. Routes to supplier coordination workflow.</w:t>
            </w:r>
          </w:p>
        </w:tc>
        <w:tc>
          <w:tcPr>
            <w:tcW w:type="dxa" w:w="1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c>
          <w:tcPr>
            <w:tcW w:type="dxa" w:w="15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Phase 2</w:t>
            </w:r>
          </w:p>
        </w:tc>
      </w:tr>
      <w:tr>
        <w:tc>
          <w:tcPr>
            <w:tcW w:type="dxa" w:w="2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Attachment summarisation</w:t>
            </w:r>
          </w:p>
        </w:tc>
        <w:tc>
          <w:tcPr>
            <w:tcW w:type="dxa" w:w="3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PDF/image attachments summarised and stored in memory. Receipt photos routed to expense capture.</w:t>
            </w:r>
          </w:p>
        </w:tc>
        <w:tc>
          <w:tcPr>
            <w:tcW w:type="dxa" w:w="1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c>
          <w:tcPr>
            <w:tcW w:type="dxa" w:w="15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Phase 2</w:t>
            </w:r>
          </w:p>
        </w:tc>
      </w:tr>
      <w:tr>
        <w:tc>
          <w:tcPr>
            <w:tcW w:type="dxa" w:w="2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Spam/FYI auto-filing</w:t>
            </w:r>
          </w:p>
        </w:tc>
        <w:tc>
          <w:tcPr>
            <w:tcW w:type="dxa" w:w="3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Auto-file low-priority emails. Count shown in activity log.</w:t>
            </w:r>
          </w:p>
        </w:tc>
        <w:tc>
          <w:tcPr>
            <w:tcW w:type="dxa" w:w="1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c>
          <w:tcPr>
            <w:tcW w:type="dxa" w:w="15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Phase 2</w:t>
            </w:r>
          </w:p>
        </w:tc>
      </w:tr>
      <w:tr>
        <w:tc>
          <w:tcPr>
            <w:tcW w:type="dxa" w:w="2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Multi-provider support (Outlook)</w:t>
            </w:r>
          </w:p>
        </w:tc>
        <w:tc>
          <w:tcPr>
            <w:tcW w:type="dxa" w:w="3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Microsoft Graph API implementation of EmailProvider interface.</w:t>
            </w:r>
          </w:p>
        </w:tc>
        <w:tc>
          <w:tcPr>
            <w:tcW w:type="dxa" w:w="1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c>
          <w:tcPr>
            <w:tcW w:type="dxa" w:w="15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Phase 2</w:t>
            </w:r>
          </w:p>
        </w:tc>
      </w:tr>
      <w:tr>
        <w:tc>
          <w:tcPr>
            <w:tcW w:type="dxa" w:w="2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IMAP fallback (EmailEngine)</w:t>
            </w:r>
          </w:p>
        </w:tc>
        <w:tc>
          <w:tcPr>
            <w:tcW w:type="dxa" w:w="3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Self-hosted EmailEngine for Yahoo, Fastmail, custom mail servers.</w:t>
            </w:r>
          </w:p>
        </w:tc>
        <w:tc>
          <w:tcPr>
            <w:tcW w:type="dxa" w:w="1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c>
          <w:tcPr>
            <w:tcW w:type="dxa" w:w="15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Phase 2</w:t>
            </w:r>
          </w:p>
        </w:tc>
      </w:tr>
    </w:tbl>
    <w:p>
      <w:pPr>
        <w:pStyle w:val="Heading2"/>
        <w:spacing w:after="100" w:before="300"/>
      </w:pPr>
      <w:r>
        <w:rPr>
          <w:rFonts w:ascii="Arial" w:cs="Arial" w:eastAsia="Arial" w:hAnsi="Arial"/>
          <w:b/>
          <w:bCs/>
          <w:color w:val="2C3240"/>
          <w:sz w:val="26"/>
          <w:szCs w:val="26"/>
        </w:rPr>
        <w:t xml:space="preserve">11.2  Calendar Features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1600"/>
        <w:gridCol w:w="1560"/>
      </w:tblGrid>
      <w:tr>
        <w:tc>
          <w:tcPr>
            <w:tcW w:type="dxa" w:w="26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Feature</w:t>
            </w:r>
          </w:p>
        </w:tc>
        <w:tc>
          <w:tcPr>
            <w:tcW w:type="dxa" w:w="36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Description</w:t>
            </w:r>
          </w:p>
        </w:tc>
        <w:tc>
          <w:tcPr>
            <w:tcW w:type="dxa" w:w="16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Status</w:t>
            </w:r>
          </w:p>
        </w:tc>
        <w:tc>
          <w:tcPr>
            <w:tcW w:type="dxa" w:w="156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Phase</w:t>
            </w:r>
          </w:p>
        </w:tc>
      </w:tr>
      <w:tr>
        <w:tc>
          <w:tcPr>
            <w:tcW w:type="dxa" w:w="2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Availability checking + buffer rules</w:t>
            </w:r>
          </w:p>
        </w:tc>
        <w:tc>
          <w:tcPr>
            <w:tcW w:type="dxa" w:w="3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Check primary calendar + configurable buffer before proposing slots.</w:t>
            </w:r>
          </w:p>
        </w:tc>
        <w:tc>
          <w:tcPr>
            <w:tcW w:type="dxa" w:w="1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c>
          <w:tcPr>
            <w:tcW w:type="dxa" w:w="15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MVP</w:t>
            </w:r>
          </w:p>
        </w:tc>
      </w:tr>
      <w:tr>
        <w:tc>
          <w:tcPr>
            <w:tcW w:type="dxa" w:w="2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Slot proposal (2-3 options)</w:t>
            </w:r>
          </w:p>
        </w:tc>
        <w:tc>
          <w:tcPr>
            <w:tcW w:type="dxa" w:w="3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Draft reply with formatted slot options for easy client selection.</w:t>
            </w:r>
          </w:p>
        </w:tc>
        <w:tc>
          <w:tcPr>
            <w:tcW w:type="dxa" w:w="1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c>
          <w:tcPr>
            <w:tcW w:type="dxa" w:w="15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MVP</w:t>
            </w:r>
          </w:p>
        </w:tc>
      </w:tr>
      <w:tr>
        <w:tc>
          <w:tcPr>
            <w:tcW w:type="dxa" w:w="2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Event creation both sides</w:t>
            </w:r>
          </w:p>
        </w:tc>
        <w:tc>
          <w:tcPr>
            <w:tcW w:type="dxa" w:w="3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Create event on owner and client calendar on slot confirmation.</w:t>
            </w:r>
          </w:p>
        </w:tc>
        <w:tc>
          <w:tcPr>
            <w:tcW w:type="dxa" w:w="1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c>
          <w:tcPr>
            <w:tcW w:type="dxa" w:w="15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MVP</w:t>
            </w:r>
          </w:p>
        </w:tc>
      </w:tr>
      <w:tr>
        <w:tc>
          <w:tcPr>
            <w:tcW w:type="dxa" w:w="2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Reminder sequencing</w:t>
            </w:r>
          </w:p>
        </w:tc>
        <w:tc>
          <w:tcPr>
            <w:tcW w:type="dxa" w:w="3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Confirmation immediately, 24h reminder, 2h reminder.</w:t>
            </w:r>
          </w:p>
        </w:tc>
        <w:tc>
          <w:tcPr>
            <w:tcW w:type="dxa" w:w="1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c>
          <w:tcPr>
            <w:tcW w:type="dxa" w:w="15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MVP</w:t>
            </w:r>
          </w:p>
        </w:tc>
      </w:tr>
      <w:tr>
        <w:tc>
          <w:tcPr>
            <w:tcW w:type="dxa" w:w="2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No-show protocol</w:t>
            </w:r>
          </w:p>
        </w:tc>
        <w:tc>
          <w:tcPr>
            <w:tcW w:type="dxa" w:w="3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15-min check-in; 30-min escalation with three options.</w:t>
            </w:r>
          </w:p>
        </w:tc>
        <w:tc>
          <w:tcPr>
            <w:tcW w:type="dxa" w:w="1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c>
          <w:tcPr>
            <w:tcW w:type="dxa" w:w="15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Phase 2</w:t>
            </w:r>
          </w:p>
        </w:tc>
      </w:tr>
      <w:tr>
        <w:tc>
          <w:tcPr>
            <w:tcW w:type="dxa" w:w="2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Buffer rule configuration</w:t>
            </w:r>
          </w:p>
        </w:tc>
        <w:tc>
          <w:tcPr>
            <w:tcW w:type="dxa" w:w="3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Owner sets minimum gap between appointments. Per-event-type override.</w:t>
            </w:r>
          </w:p>
        </w:tc>
        <w:tc>
          <w:tcPr>
            <w:tcW w:type="dxa" w:w="1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c>
          <w:tcPr>
            <w:tcW w:type="dxa" w:w="15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MVP</w:t>
            </w:r>
          </w:p>
        </w:tc>
      </w:tr>
      <w:tr>
        <w:tc>
          <w:tcPr>
            <w:tcW w:type="dxa" w:w="2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Blocked period management</w:t>
            </w:r>
          </w:p>
        </w:tc>
        <w:tc>
          <w:tcPr>
            <w:tcW w:type="dxa" w:w="3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Owner marks unavailable date ranges.</w:t>
            </w:r>
          </w:p>
        </w:tc>
        <w:tc>
          <w:tcPr>
            <w:tcW w:type="dxa" w:w="1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c>
          <w:tcPr>
            <w:tcW w:type="dxa" w:w="15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MVP</w:t>
            </w:r>
          </w:p>
        </w:tc>
      </w:tr>
      <w:tr>
        <w:tc>
          <w:tcPr>
            <w:tcW w:type="dxa" w:w="2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Multi-provider support (Outlook Calendar)</w:t>
            </w:r>
          </w:p>
        </w:tc>
        <w:tc>
          <w:tcPr>
            <w:tcW w:type="dxa" w:w="3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Microsoft Graph API CalendarProvider implementation.</w:t>
            </w:r>
          </w:p>
        </w:tc>
        <w:tc>
          <w:tcPr>
            <w:tcW w:type="dxa" w:w="1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c>
          <w:tcPr>
            <w:tcW w:type="dxa" w:w="15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Phase 2</w:t>
            </w:r>
          </w:p>
        </w:tc>
      </w:tr>
      <w:tr>
        <w:tc>
          <w:tcPr>
            <w:tcW w:type="dxa" w:w="2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Staff calendar visibility</w:t>
            </w:r>
          </w:p>
        </w:tc>
        <w:tc>
          <w:tcPr>
            <w:tcW w:type="dxa" w:w="3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View staff calendars for rostering availability (read-only, with consent).</w:t>
            </w:r>
          </w:p>
        </w:tc>
        <w:tc>
          <w:tcPr>
            <w:tcW w:type="dxa" w:w="1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c>
          <w:tcPr>
            <w:tcW w:type="dxa" w:w="15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Phase 2</w:t>
            </w:r>
          </w:p>
        </w:tc>
      </w:tr>
      <w:tr>
        <w:tc>
          <w:tcPr>
            <w:tcW w:type="dxa" w:w="2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Deposit link injection</w:t>
            </w:r>
          </w:p>
        </w:tc>
        <w:tc>
          <w:tcPr>
            <w:tcW w:type="dxa" w:w="3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Payment link injected into confirmation if deposit configured.</w:t>
            </w:r>
          </w:p>
        </w:tc>
        <w:tc>
          <w:tcPr>
            <w:tcW w:type="dxa" w:w="1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c>
          <w:tcPr>
            <w:tcW w:type="dxa" w:w="15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Phase 2</w:t>
            </w:r>
          </w:p>
        </w:tc>
      </w:tr>
    </w:tbl>
    <w:p>
      <w:pPr>
        <w:pStyle w:val="Heading2"/>
        <w:spacing w:after="100" w:before="300"/>
      </w:pPr>
      <w:r>
        <w:rPr>
          <w:rFonts w:ascii="Arial" w:cs="Arial" w:eastAsia="Arial" w:hAnsi="Arial"/>
          <w:b/>
          <w:bCs/>
          <w:color w:val="2C3240"/>
          <w:sz w:val="26"/>
          <w:szCs w:val="26"/>
        </w:rPr>
        <w:t xml:space="preserve">11.3  Finance Features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1600"/>
        <w:gridCol w:w="1560"/>
      </w:tblGrid>
      <w:tr>
        <w:tc>
          <w:tcPr>
            <w:tcW w:type="dxa" w:w="26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Feature</w:t>
            </w:r>
          </w:p>
        </w:tc>
        <w:tc>
          <w:tcPr>
            <w:tcW w:type="dxa" w:w="36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Description</w:t>
            </w:r>
          </w:p>
        </w:tc>
        <w:tc>
          <w:tcPr>
            <w:tcW w:type="dxa" w:w="16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Status</w:t>
            </w:r>
          </w:p>
        </w:tc>
        <w:tc>
          <w:tcPr>
            <w:tcW w:type="dxa" w:w="156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Phase</w:t>
            </w:r>
          </w:p>
        </w:tc>
      </w:tr>
      <w:tr>
        <w:tc>
          <w:tcPr>
            <w:tcW w:type="dxa" w:w="2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Invoice creation from text</w:t>
            </w:r>
          </w:p>
        </w:tc>
        <w:tc>
          <w:tcPr>
            <w:tcW w:type="dxa" w:w="3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Natural language → Xero invoice with line items, GST, terms.</w:t>
            </w:r>
          </w:p>
        </w:tc>
        <w:tc>
          <w:tcPr>
            <w:tcW w:type="dxa" w:w="1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c>
          <w:tcPr>
            <w:tcW w:type="dxa" w:w="15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MVP</w:t>
            </w:r>
          </w:p>
        </w:tc>
      </w:tr>
      <w:tr>
        <w:tc>
          <w:tcPr>
            <w:tcW w:type="dxa" w:w="2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GST calculation NZ/AU</w:t>
            </w:r>
          </w:p>
        </w:tc>
        <w:tc>
          <w:tcPr>
            <w:tcW w:type="dxa" w:w="3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NZ 15%, AU 10%. Configurable at account level.</w:t>
            </w:r>
          </w:p>
        </w:tc>
        <w:tc>
          <w:tcPr>
            <w:tcW w:type="dxa" w:w="1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c>
          <w:tcPr>
            <w:tcW w:type="dxa" w:w="15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MVP</w:t>
            </w:r>
          </w:p>
        </w:tc>
      </w:tr>
      <w:tr>
        <w:tc>
          <w:tcPr>
            <w:tcW w:type="dxa" w:w="2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Live Xero status verification</w:t>
            </w:r>
          </w:p>
        </w:tc>
        <w:tc>
          <w:tcPr>
            <w:tcW w:type="dxa" w:w="3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Query live before every chaser. No caching. No exceptions.</w:t>
            </w:r>
          </w:p>
        </w:tc>
        <w:tc>
          <w:tcPr>
            <w:tcW w:type="dxa" w:w="1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c>
          <w:tcPr>
            <w:tcW w:type="dxa" w:w="15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MVP</w:t>
            </w:r>
          </w:p>
        </w:tc>
      </w:tr>
      <w:tr>
        <w:tc>
          <w:tcPr>
            <w:tcW w:type="dxa" w:w="2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Day 7/14/21 chaser logic</w:t>
            </w:r>
          </w:p>
        </w:tc>
        <w:tc>
          <w:tcPr>
            <w:tcW w:type="dxa" w:w="3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Escalating tone sequences with halt on payment.</w:t>
            </w:r>
          </w:p>
        </w:tc>
        <w:tc>
          <w:tcPr>
            <w:tcW w:type="dxa" w:w="1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c>
          <w:tcPr>
            <w:tcW w:type="dxa" w:w="15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MVP</w:t>
            </w:r>
          </w:p>
        </w:tc>
      </w:tr>
      <w:tr>
        <w:tc>
          <w:tcPr>
            <w:tcW w:type="dxa" w:w="2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Quote generation from text</w:t>
            </w:r>
          </w:p>
        </w:tc>
        <w:tc>
          <w:tcPr>
            <w:tcW w:type="dxa" w:w="3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Natural language → structured PDF quote with line items, GST, validity, acceptance link.</w:t>
            </w:r>
          </w:p>
        </w:tc>
        <w:tc>
          <w:tcPr>
            <w:tcW w:type="dxa" w:w="1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c>
          <w:tcPr>
            <w:tcW w:type="dxa" w:w="15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MVP addition</w:t>
            </w:r>
          </w:p>
        </w:tc>
      </w:tr>
      <w:tr>
        <w:tc>
          <w:tcPr>
            <w:tcW w:type="dxa" w:w="2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Partial payment handling</w:t>
            </w:r>
          </w:p>
        </w:tc>
        <w:tc>
          <w:tcPr>
            <w:tcW w:type="dxa" w:w="3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Detect partial. Create updated invoice. Queue thank-you + balance-due.</w:t>
            </w:r>
          </w:p>
        </w:tc>
        <w:tc>
          <w:tcPr>
            <w:tcW w:type="dxa" w:w="1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c>
          <w:tcPr>
            <w:tcW w:type="dxa" w:w="15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Phase 2</w:t>
            </w:r>
          </w:p>
        </w:tc>
      </w:tr>
      <w:tr>
        <w:tc>
          <w:tcPr>
            <w:tcW w:type="dxa" w:w="2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Expense capture from photo</w:t>
            </w:r>
          </w:p>
        </w:tc>
        <w:tc>
          <w:tcPr>
            <w:tcW w:type="dxa" w:w="3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Receipt photo → Xero expense entry via approval queue.</w:t>
            </w:r>
          </w:p>
        </w:tc>
        <w:tc>
          <w:tcPr>
            <w:tcW w:type="dxa" w:w="1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c>
          <w:tcPr>
            <w:tcW w:type="dxa" w:w="15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Phase 2</w:t>
            </w:r>
          </w:p>
        </w:tc>
      </w:tr>
      <w:tr>
        <w:tc>
          <w:tcPr>
            <w:tcW w:type="dxa" w:w="2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Cash flow summary</w:t>
            </w:r>
          </w:p>
        </w:tc>
        <w:tc>
          <w:tcPr>
            <w:tcW w:type="dxa" w:w="3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Live Xero balance + outstanding + expected payments + overdue breakdown.</w:t>
            </w:r>
          </w:p>
        </w:tc>
        <w:tc>
          <w:tcPr>
            <w:tcW w:type="dxa" w:w="1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c>
          <w:tcPr>
            <w:tcW w:type="dxa" w:w="15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Phase 2</w:t>
            </w:r>
          </w:p>
        </w:tc>
      </w:tr>
      <w:tr>
        <w:tc>
          <w:tcPr>
            <w:tcW w:type="dxa" w:w="2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Payroll date awareness</w:t>
            </w:r>
          </w:p>
        </w:tc>
        <w:tc>
          <w:tcPr>
            <w:tcW w:type="dxa" w:w="3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Owner-entered payroll date triggers proactive chaser suggestions before payroll run.</w:t>
            </w:r>
          </w:p>
        </w:tc>
        <w:tc>
          <w:tcPr>
            <w:tcW w:type="dxa" w:w="1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c>
          <w:tcPr>
            <w:tcW w:type="dxa" w:w="15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Phase 2</w:t>
            </w:r>
          </w:p>
        </w:tc>
      </w:tr>
      <w:tr>
        <w:tc>
          <w:tcPr>
            <w:tcW w:type="dxa" w:w="2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Stripe payment links</w:t>
            </w:r>
          </w:p>
        </w:tc>
        <w:tc>
          <w:tcPr>
            <w:tcW w:type="dxa" w:w="3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Generate Stripe payment link for invoices and quotes.</w:t>
            </w:r>
          </w:p>
        </w:tc>
        <w:tc>
          <w:tcPr>
            <w:tcW w:type="dxa" w:w="1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c>
          <w:tcPr>
            <w:tcW w:type="dxa" w:w="15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Phase 2</w:t>
            </w:r>
          </w:p>
        </w:tc>
      </w:tr>
      <w:tr>
        <w:tc>
          <w:tcPr>
            <w:tcW w:type="dxa" w:w="2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MYOB integration</w:t>
            </w:r>
          </w:p>
        </w:tc>
        <w:tc>
          <w:tcPr>
            <w:tcW w:type="dxa" w:w="3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Second most common NZ accounting platform.</w:t>
            </w:r>
          </w:p>
        </w:tc>
        <w:tc>
          <w:tcPr>
            <w:tcW w:type="dxa" w:w="1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c>
          <w:tcPr>
            <w:tcW w:type="dxa" w:w="15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Phase 2</w:t>
            </w:r>
          </w:p>
        </w:tc>
      </w:tr>
    </w:tbl>
    <w:p>
      <w:pPr>
        <w:pStyle w:val="Heading2"/>
        <w:spacing w:after="100" w:before="300"/>
      </w:pPr>
      <w:r>
        <w:rPr>
          <w:rFonts w:ascii="Arial" w:cs="Arial" w:eastAsia="Arial" w:hAnsi="Arial"/>
          <w:b/>
          <w:bCs/>
          <w:color w:val="2C3240"/>
          <w:sz w:val="26"/>
          <w:szCs w:val="26"/>
        </w:rPr>
        <w:t xml:space="preserve">11.4  Memory &amp; Intelligence Features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1600"/>
        <w:gridCol w:w="1760"/>
      </w:tblGrid>
      <w:tr>
        <w:tc>
          <w:tcPr>
            <w:tcW w:type="dxa" w:w="26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Feature</w:t>
            </w:r>
          </w:p>
        </w:tc>
        <w:tc>
          <w:tcPr>
            <w:tcW w:type="dxa" w:w="34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Description</w:t>
            </w:r>
          </w:p>
        </w:tc>
        <w:tc>
          <w:tcPr>
            <w:tcW w:type="dxa" w:w="16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Status</w:t>
            </w:r>
          </w:p>
        </w:tc>
        <w:tc>
          <w:tcPr>
            <w:tcW w:type="dxa" w:w="176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Phase</w:t>
            </w:r>
          </w:p>
        </w:tc>
      </w:tr>
      <w:tr>
        <w:tc>
          <w:tcPr>
            <w:tcW w:type="dxa" w:w="2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Business profile editor</w:t>
            </w:r>
          </w:p>
        </w:tc>
        <w:tc>
          <w:tcPr>
            <w:tcW w:type="dxa" w:w="3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Services, pricing, policies, payment terms, bank details.</w:t>
            </w:r>
          </w:p>
        </w:tc>
        <w:tc>
          <w:tcPr>
            <w:tcW w:type="dxa" w:w="1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c>
          <w:tcPr>
            <w:tcW w:type="dxa" w:w="17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MVP</w:t>
            </w:r>
          </w:p>
        </w:tc>
      </w:tr>
      <w:tr>
        <w:tc>
          <w:tcPr>
            <w:tcW w:type="dxa" w:w="2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Client records</w:t>
            </w:r>
          </w:p>
        </w:tc>
        <w:tc>
          <w:tcPr>
            <w:tcW w:type="dxa" w:w="3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Auto-created from first contact. Enriched from Xero + Gmail. Owner notes.</w:t>
            </w:r>
          </w:p>
        </w:tc>
        <w:tc>
          <w:tcPr>
            <w:tcW w:type="dxa" w:w="1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c>
          <w:tcPr>
            <w:tcW w:type="dxa" w:w="17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MVP</w:t>
            </w:r>
          </w:p>
        </w:tc>
      </w:tr>
      <w:tr>
        <w:tc>
          <w:tcPr>
            <w:tcW w:type="dxa" w:w="2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Staff records</w:t>
            </w:r>
          </w:p>
        </w:tc>
        <w:tc>
          <w:tcPr>
            <w:tcW w:type="dxa" w:w="3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Role, availability, skills, contact preference. Owner-managed.</w:t>
            </w:r>
          </w:p>
        </w:tc>
        <w:tc>
          <w:tcPr>
            <w:tcW w:type="dxa" w:w="1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c>
          <w:tcPr>
            <w:tcW w:type="dxa" w:w="17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Phase 2</w:t>
            </w:r>
          </w:p>
        </w:tc>
      </w:tr>
      <w:tr>
        <w:tc>
          <w:tcPr>
            <w:tcW w:type="dxa" w:w="2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Supplier records</w:t>
            </w:r>
          </w:p>
        </w:tc>
        <w:tc>
          <w:tcPr>
            <w:tcW w:type="dxa" w:w="3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Auto-created from outbound emails. Lead time, preferred contact.</w:t>
            </w:r>
          </w:p>
        </w:tc>
        <w:tc>
          <w:tcPr>
            <w:tcW w:type="dxa" w:w="1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c>
          <w:tcPr>
            <w:tcW w:type="dxa" w:w="17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Phase 2</w:t>
            </w:r>
          </w:p>
        </w:tc>
      </w:tr>
      <w:tr>
        <w:tc>
          <w:tcPr>
            <w:tcW w:type="dxa" w:w="2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Tone model</w:t>
            </w:r>
          </w:p>
        </w:tc>
        <w:tc>
          <w:tcPr>
            <w:tcW w:type="dxa" w:w="3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Extract style from approved drafts. Apply per client category.</w:t>
            </w:r>
          </w:p>
        </w:tc>
        <w:tc>
          <w:tcPr>
            <w:tcW w:type="dxa" w:w="1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c>
          <w:tcPr>
            <w:tcW w:type="dxa" w:w="17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Phase 2</w:t>
            </w:r>
          </w:p>
        </w:tc>
      </w:tr>
      <w:tr>
        <w:tc>
          <w:tcPr>
            <w:tcW w:type="dxa" w:w="2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Learned preferences</w:t>
            </w:r>
          </w:p>
        </w:tc>
        <w:tc>
          <w:tcPr>
            <w:tcW w:type="dxa" w:w="3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Rule suggestions from edit pattern analysis. Owner confirms.</w:t>
            </w:r>
          </w:p>
        </w:tc>
        <w:tc>
          <w:tcPr>
            <w:tcW w:type="dxa" w:w="1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c>
          <w:tcPr>
            <w:tcW w:type="dxa" w:w="17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Phase 2</w:t>
            </w:r>
          </w:p>
        </w:tc>
      </w:tr>
      <w:tr>
        <w:tc>
          <w:tcPr>
            <w:tcW w:type="dxa" w:w="2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pgvector RAG retrieval</w:t>
            </w:r>
          </w:p>
        </w:tc>
        <w:tc>
          <w:tcPr>
            <w:tcW w:type="dxa" w:w="3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768-dim embeddings. Top-3 chunks per query. Deferred from MVP.</w:t>
            </w:r>
          </w:p>
        </w:tc>
        <w:tc>
          <w:tcPr>
            <w:tcW w:type="dxa" w:w="1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Deferred</w:t>
            </w:r>
          </w:p>
        </w:tc>
        <w:tc>
          <w:tcPr>
            <w:tcW w:type="dxa" w:w="17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Phase 2</w:t>
            </w:r>
          </w:p>
        </w:tc>
      </w:tr>
      <w:tr>
        <w:tc>
          <w:tcPr>
            <w:tcW w:type="dxa" w:w="2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Memory provenance display</w:t>
            </w:r>
          </w:p>
        </w:tc>
        <w:tc>
          <w:tcPr>
            <w:tcW w:type="dxa" w:w="3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Which memory chunks used in any draft. Visible in approval card.</w:t>
            </w:r>
          </w:p>
        </w:tc>
        <w:tc>
          <w:tcPr>
            <w:tcW w:type="dxa" w:w="1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c>
          <w:tcPr>
            <w:tcW w:type="dxa" w:w="17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MVP</w:t>
            </w:r>
          </w:p>
        </w:tc>
      </w:tr>
      <w:tr>
        <w:tc>
          <w:tcPr>
            <w:tcW w:type="dxa" w:w="2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Research cache</w:t>
            </w:r>
          </w:p>
        </w:tc>
        <w:tc>
          <w:tcPr>
            <w:tcW w:type="dxa" w:w="3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Web research results with 30-day expiry, source URLs, confidence notes.</w:t>
            </w:r>
          </w:p>
        </w:tc>
        <w:tc>
          <w:tcPr>
            <w:tcW w:type="dxa" w:w="1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c>
          <w:tcPr>
            <w:tcW w:type="dxa" w:w="17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Phase 2</w:t>
            </w:r>
          </w:p>
        </w:tc>
      </w:tr>
      <w:tr>
        <w:tc>
          <w:tcPr>
            <w:tcW w:type="dxa" w:w="2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Document retrieval</w:t>
            </w:r>
          </w:p>
        </w:tc>
        <w:tc>
          <w:tcPr>
            <w:tcW w:type="dxa" w:w="3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Semantic search over generated documents stored in Google Drive.</w:t>
            </w:r>
          </w:p>
        </w:tc>
        <w:tc>
          <w:tcPr>
            <w:tcW w:type="dxa" w:w="1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c>
          <w:tcPr>
            <w:tcW w:type="dxa" w:w="17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Phase 2</w:t>
            </w:r>
          </w:p>
        </w:tc>
      </w:tr>
      <w:tr>
        <w:tc>
          <w:tcPr>
            <w:tcW w:type="dxa" w:w="2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Relationship gap alerts</w:t>
            </w:r>
          </w:p>
        </w:tc>
        <w:tc>
          <w:tcPr>
            <w:tcW w:type="dxa" w:w="3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"Haven't been in touch with [High Value Client] in 6 weeks."</w:t>
            </w:r>
          </w:p>
        </w:tc>
        <w:tc>
          <w:tcPr>
            <w:tcW w:type="dxa" w:w="1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c>
          <w:tcPr>
            <w:tcW w:type="dxa" w:w="17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Phase 2</w:t>
            </w:r>
          </w:p>
        </w:tc>
      </w:tr>
    </w:tbl>
    <w:p>
      <w:pPr>
        <w:pStyle w:val="Heading2"/>
        <w:spacing w:after="100" w:before="300"/>
      </w:pPr>
      <w:r>
        <w:rPr>
          <w:rFonts w:ascii="Arial" w:cs="Arial" w:eastAsia="Arial" w:hAnsi="Arial"/>
          <w:b/>
          <w:bCs/>
          <w:color w:val="2C3240"/>
          <w:sz w:val="26"/>
          <w:szCs w:val="26"/>
        </w:rPr>
        <w:t xml:space="preserve">11.5  Research &amp; Intelligence Features (New in v6)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1600"/>
        <w:gridCol w:w="1960"/>
      </w:tblGrid>
      <w:tr>
        <w:tc>
          <w:tcPr>
            <w:tcW w:type="dxa" w:w="26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Feature</w:t>
            </w:r>
          </w:p>
        </w:tc>
        <w:tc>
          <w:tcPr>
            <w:tcW w:type="dxa" w:w="32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Description</w:t>
            </w:r>
          </w:p>
        </w:tc>
        <w:tc>
          <w:tcPr>
            <w:tcW w:type="dxa" w:w="16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Status</w:t>
            </w:r>
          </w:p>
        </w:tc>
        <w:tc>
          <w:tcPr>
            <w:tcW w:type="dxa" w:w="196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Phase</w:t>
            </w:r>
          </w:p>
        </w:tc>
      </w:tr>
      <w:tr>
        <w:tc>
          <w:tcPr>
            <w:tcW w:type="dxa" w:w="2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Lead research</w:t>
            </w:r>
          </w:p>
        </w:tc>
        <w:tc>
          <w:tcPr>
            <w:tcW w:type="dxa" w:w="32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Owner instruction → structured web search → curated lead list for approval</w:t>
            </w:r>
          </w:p>
        </w:tc>
        <w:tc>
          <w:tcPr>
            <w:tcW w:type="dxa" w:w="1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c>
          <w:tcPr>
            <w:tcW w:type="dxa" w:w="1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Phase 2</w:t>
            </w:r>
          </w:p>
        </w:tc>
      </w:tr>
      <w:tr>
        <w:tc>
          <w:tcPr>
            <w:tcW w:type="dxa" w:w="2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Competitor monitoring</w:t>
            </w:r>
          </w:p>
        </w:tc>
        <w:tc>
          <w:tcPr>
            <w:tcW w:type="dxa" w:w="32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Weekly automated searches on competitor names. Flags changes.</w:t>
            </w:r>
          </w:p>
        </w:tc>
        <w:tc>
          <w:tcPr>
            <w:tcW w:type="dxa" w:w="1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c>
          <w:tcPr>
            <w:tcW w:type="dxa" w:w="19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Phase 2</w:t>
            </w:r>
          </w:p>
        </w:tc>
      </w:tr>
      <w:tr>
        <w:tc>
          <w:tcPr>
            <w:tcW w:type="dxa" w:w="2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Local event detection</w:t>
            </w:r>
          </w:p>
        </w:tc>
        <w:tc>
          <w:tcPr>
            <w:tcW w:type="dxa" w:w="32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Monthly search for upcoming local events that drive enquiries.</w:t>
            </w:r>
          </w:p>
        </w:tc>
        <w:tc>
          <w:tcPr>
            <w:tcW w:type="dxa" w:w="1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c>
          <w:tcPr>
            <w:tcW w:type="dxa" w:w="1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Phase 2</w:t>
            </w:r>
          </w:p>
        </w:tc>
      </w:tr>
      <w:tr>
        <w:tc>
          <w:tcPr>
            <w:tcW w:type="dxa" w:w="2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Industry news monitoring</w:t>
            </w:r>
          </w:p>
        </w:tc>
        <w:tc>
          <w:tcPr>
            <w:tcW w:type="dxa" w:w="32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Weekly search for relevant industry news. Informational digest.</w:t>
            </w:r>
          </w:p>
        </w:tc>
        <w:tc>
          <w:tcPr>
            <w:tcW w:type="dxa" w:w="1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c>
          <w:tcPr>
            <w:tcW w:type="dxa" w:w="19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Phase 2</w:t>
            </w:r>
          </w:p>
        </w:tc>
      </w:tr>
      <w:tr>
        <w:tc>
          <w:tcPr>
            <w:tcW w:type="dxa" w:w="2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Marketing channel research</w:t>
            </w:r>
          </w:p>
        </w:tc>
        <w:tc>
          <w:tcPr>
            <w:tcW w:type="dxa" w:w="32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On-demand owner questions about marketing strategy and channels.</w:t>
            </w:r>
          </w:p>
        </w:tc>
        <w:tc>
          <w:tcPr>
            <w:tcW w:type="dxa" w:w="1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c>
          <w:tcPr>
            <w:tcW w:type="dxa" w:w="1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Phase 2</w:t>
            </w:r>
          </w:p>
        </w:tc>
      </w:tr>
      <w:tr>
        <w:tc>
          <w:tcPr>
            <w:tcW w:type="dxa" w:w="2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Seasonal trend detection</w:t>
            </w:r>
          </w:p>
        </w:tc>
        <w:tc>
          <w:tcPr>
            <w:tcW w:type="dxa" w:w="32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Analysis of owner's own booking data to detect and predict seasonality.</w:t>
            </w:r>
          </w:p>
        </w:tc>
        <w:tc>
          <w:tcPr>
            <w:tcW w:type="dxa" w:w="1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c>
          <w:tcPr>
            <w:tcW w:type="dxa" w:w="19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Phase 2</w:t>
            </w:r>
          </w:p>
        </w:tc>
      </w:tr>
      <w:tr>
        <w:tc>
          <w:tcPr>
            <w:tcW w:type="dxa" w:w="2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Grant and scheme research</w:t>
            </w:r>
          </w:p>
        </w:tc>
        <w:tc>
          <w:tcPr>
            <w:tcW w:type="dxa" w:w="32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On-demand search of business.govt.nz, MBIE, Callaghan Innovation, councils.</w:t>
            </w:r>
          </w:p>
        </w:tc>
        <w:tc>
          <w:tcPr>
            <w:tcW w:type="dxa" w:w="1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c>
          <w:tcPr>
            <w:tcW w:type="dxa" w:w="1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Phase 2</w:t>
            </w:r>
          </w:p>
        </w:tc>
      </w:tr>
      <w:tr>
        <w:tc>
          <w:tcPr>
            <w:tcW w:type="dxa" w:w="2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Personalised outreach drafting</w:t>
            </w:r>
          </w:p>
        </w:tc>
        <w:tc>
          <w:tcPr>
            <w:tcW w:type="dxa" w:w="32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Per-lead personalised first-contact email drafts for owner approval.</w:t>
            </w:r>
          </w:p>
        </w:tc>
        <w:tc>
          <w:tcPr>
            <w:tcW w:type="dxa" w:w="1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c>
          <w:tcPr>
            <w:tcW w:type="dxa" w:w="19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Phase 2</w:t>
            </w:r>
          </w:p>
        </w:tc>
      </w:tr>
      <w:tr>
        <w:tc>
          <w:tcPr>
            <w:tcW w:type="dxa" w:w="2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Outreach sequence management</w:t>
            </w:r>
          </w:p>
        </w:tc>
        <w:tc>
          <w:tcPr>
            <w:tcW w:type="dxa" w:w="32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Track contacted leads, follow-up timing, response classification.</w:t>
            </w:r>
          </w:p>
        </w:tc>
        <w:tc>
          <w:tcPr>
            <w:tcW w:type="dxa" w:w="1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c>
          <w:tcPr>
            <w:tcW w:type="dxa" w:w="1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Phase 2</w:t>
            </w:r>
          </w:p>
        </w:tc>
      </w:tr>
      <w:tr>
        <w:tc>
          <w:tcPr>
            <w:tcW w:type="dxa" w:w="2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LinkedIn research</w:t>
            </w:r>
          </w:p>
        </w:tc>
        <w:tc>
          <w:tcPr>
            <w:tcW w:type="dxa" w:w="32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Research leads on LinkedIn before first contact. Requires Unipile API. Phase 3.</w:t>
            </w:r>
          </w:p>
        </w:tc>
        <w:tc>
          <w:tcPr>
            <w:tcW w:type="dxa" w:w="1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c>
          <w:tcPr>
            <w:tcW w:type="dxa" w:w="19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Phase 3</w:t>
            </w:r>
          </w:p>
        </w:tc>
      </w:tr>
      <w:tr>
        <w:tc>
          <w:tcPr>
            <w:tcW w:type="dxa" w:w="2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Brave Search API integration</w:t>
            </w:r>
          </w:p>
        </w:tc>
        <w:tc>
          <w:tcPr>
            <w:tcW w:type="dxa" w:w="32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Structured web search. Free tier 2,000 queries/month. $3/1,000 paid.</w:t>
            </w:r>
          </w:p>
        </w:tc>
        <w:tc>
          <w:tcPr>
            <w:tcW w:type="dxa" w:w="1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c>
          <w:tcPr>
            <w:tcW w:type="dxa" w:w="1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Phase 2</w:t>
            </w:r>
          </w:p>
        </w:tc>
      </w:tr>
    </w:tbl>
    <w:p>
      <w:pPr>
        <w:pStyle w:val="Heading2"/>
        <w:spacing w:after="100" w:before="300"/>
      </w:pPr>
      <w:r>
        <w:rPr>
          <w:rFonts w:ascii="Arial" w:cs="Arial" w:eastAsia="Arial" w:hAnsi="Arial"/>
          <w:b/>
          <w:bCs/>
          <w:color w:val="2C3240"/>
          <w:sz w:val="26"/>
          <w:szCs w:val="26"/>
        </w:rPr>
        <w:t xml:space="preserve">11.6  Autonomy &amp; Approval Features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1600"/>
        <w:gridCol w:w="1560"/>
      </w:tblGrid>
      <w:tr>
        <w:tc>
          <w:tcPr>
            <w:tcW w:type="dxa" w:w="26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Feature</w:t>
            </w:r>
          </w:p>
        </w:tc>
        <w:tc>
          <w:tcPr>
            <w:tcW w:type="dxa" w:w="36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Description</w:t>
            </w:r>
          </w:p>
        </w:tc>
        <w:tc>
          <w:tcPr>
            <w:tcW w:type="dxa" w:w="16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Status</w:t>
            </w:r>
          </w:p>
        </w:tc>
        <w:tc>
          <w:tcPr>
            <w:tcW w:type="dxa" w:w="156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Phase</w:t>
            </w:r>
          </w:p>
        </w:tc>
      </w:tr>
      <w:tr>
        <w:tc>
          <w:tcPr>
            <w:tcW w:type="dxa" w:w="2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Swipeable approval cards (WHO/WHAT/WHY/WHEN)</w:t>
            </w:r>
          </w:p>
        </w:tc>
        <w:tc>
          <w:tcPr>
            <w:tcW w:type="dxa" w:w="3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Mobile-first swipe interface.</w:t>
            </w:r>
          </w:p>
        </w:tc>
        <w:tc>
          <w:tcPr>
            <w:tcW w:type="dxa" w:w="1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c>
          <w:tcPr>
            <w:tcW w:type="dxa" w:w="15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MVP</w:t>
            </w:r>
          </w:p>
        </w:tc>
      </w:tr>
      <w:tr>
        <w:tc>
          <w:tcPr>
            <w:tcW w:type="dxa" w:w="2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Execution plan display</w:t>
            </w:r>
          </w:p>
        </w:tc>
        <w:tc>
          <w:tcPr>
            <w:tcW w:type="dxa" w:w="3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Multi-step actions show numbered plan with confidence before anything runs.</w:t>
            </w:r>
          </w:p>
        </w:tc>
        <w:tc>
          <w:tcPr>
            <w:tcW w:type="dxa" w:w="1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c>
          <w:tcPr>
            <w:tcW w:type="dxa" w:w="15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MVP</w:t>
            </w:r>
          </w:p>
        </w:tc>
      </w:tr>
      <w:tr>
        <w:tc>
          <w:tcPr>
            <w:tcW w:type="dxa" w:w="2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Partial failure handling</w:t>
            </w:r>
          </w:p>
        </w:tc>
        <w:tc>
          <w:tcPr>
            <w:tcW w:type="dxa" w:w="3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Communicates which steps completed, which did not. Never ambiguous.</w:t>
            </w:r>
          </w:p>
        </w:tc>
        <w:tc>
          <w:tcPr>
            <w:tcW w:type="dxa" w:w="1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c>
          <w:tcPr>
            <w:tcW w:type="dxa" w:w="15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MVP</w:t>
            </w:r>
          </w:p>
        </w:tc>
      </w:tr>
      <w:tr>
        <w:tc>
          <w:tcPr>
            <w:tcW w:type="dxa" w:w="2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Urgency sort</w:t>
            </w:r>
          </w:p>
        </w:tc>
        <w:tc>
          <w:tcPr>
            <w:tcW w:type="dxa" w:w="3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Sort by business impact and deadline proximity.</w:t>
            </w:r>
          </w:p>
        </w:tc>
        <w:tc>
          <w:tcPr>
            <w:tcW w:type="dxa" w:w="1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c>
          <w:tcPr>
            <w:tcW w:type="dxa" w:w="15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MVP</w:t>
            </w:r>
          </w:p>
        </w:tc>
      </w:tr>
      <w:tr>
        <w:tc>
          <w:tcPr>
            <w:tcW w:type="dxa" w:w="2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Tier 2 countdown</w:t>
            </w:r>
          </w:p>
        </w:tc>
        <w:tc>
          <w:tcPr>
            <w:tcW w:type="dxa" w:w="3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Visible 2-hour countdown on approve-to-send items.</w:t>
            </w:r>
          </w:p>
        </w:tc>
        <w:tc>
          <w:tcPr>
            <w:tcW w:type="dxa" w:w="1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c>
          <w:tcPr>
            <w:tcW w:type="dxa" w:w="15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MVP</w:t>
            </w:r>
          </w:p>
        </w:tc>
      </w:tr>
      <w:tr>
        <w:tc>
          <w:tcPr>
            <w:tcW w:type="dxa" w:w="2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Edit in modal</w:t>
            </w:r>
          </w:p>
        </w:tc>
        <w:tc>
          <w:tcPr>
            <w:tcW w:type="dxa" w:w="3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Owner edits draft inline in approval card before approving. Edit delta logged.</w:t>
            </w:r>
          </w:p>
        </w:tc>
        <w:tc>
          <w:tcPr>
            <w:tcW w:type="dxa" w:w="1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c>
          <w:tcPr>
            <w:tcW w:type="dxa" w:w="15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MVP</w:t>
            </w:r>
          </w:p>
        </w:tc>
      </w:tr>
      <w:tr>
        <w:tc>
          <w:tcPr>
            <w:tcW w:type="dxa" w:w="2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Batch approve</w:t>
            </w:r>
          </w:p>
        </w:tc>
        <w:tc>
          <w:tcPr>
            <w:tcW w:type="dxa" w:w="3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Select multiple low-risk pending actions and approve in one tap.</w:t>
            </w:r>
          </w:p>
        </w:tc>
        <w:tc>
          <w:tcPr>
            <w:tcW w:type="dxa" w:w="1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c>
          <w:tcPr>
            <w:tcW w:type="dxa" w:w="15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Phase 2</w:t>
            </w:r>
          </w:p>
        </w:tc>
      </w:tr>
      <w:tr>
        <w:tc>
          <w:tcPr>
            <w:tcW w:type="dxa" w:w="2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Tier promotion suggestions</w:t>
            </w:r>
          </w:p>
        </w:tc>
        <w:tc>
          <w:tcPr>
            <w:tcW w:type="dxa" w:w="3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Agent suggests promotion after 10 consecutive unedited approvals.</w:t>
            </w:r>
          </w:p>
        </w:tc>
        <w:tc>
          <w:tcPr>
            <w:tcW w:type="dxa" w:w="1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c>
          <w:tcPr>
            <w:tcW w:type="dxa" w:w="15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Phase 2</w:t>
            </w:r>
          </w:p>
        </w:tc>
      </w:tr>
      <w:tr>
        <w:tc>
          <w:tcPr>
            <w:tcW w:type="dxa" w:w="2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One-tap demotion</w:t>
            </w:r>
          </w:p>
        </w:tc>
        <w:tc>
          <w:tcPr>
            <w:tcW w:type="dxa" w:w="3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Any action type demoted to Tier 3 in one tap from Settings &gt; Autonomy.</w:t>
            </w:r>
          </w:p>
        </w:tc>
        <w:tc>
          <w:tcPr>
            <w:tcW w:type="dxa" w:w="1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c>
          <w:tcPr>
            <w:tcW w:type="dxa" w:w="15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MVP</w:t>
            </w:r>
          </w:p>
        </w:tc>
      </w:tr>
    </w:tbl>
    <w:p>
      <w:pPr>
        <w:pStyle w:val="Heading2"/>
        <w:spacing w:after="100" w:before="300"/>
      </w:pPr>
      <w:r>
        <w:rPr>
          <w:rFonts w:ascii="Arial" w:cs="Arial" w:eastAsia="Arial" w:hAnsi="Arial"/>
          <w:b/>
          <w:bCs/>
          <w:color w:val="2C3240"/>
          <w:sz w:val="26"/>
          <w:szCs w:val="26"/>
        </w:rPr>
        <w:t xml:space="preserve">11.7  Notifications &amp; Channels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2700"/>
        <w:gridCol w:w="2460"/>
      </w:tblGrid>
      <w:tr>
        <w:tc>
          <w:tcPr>
            <w:tcW w:type="dxa" w:w="16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Channel</w:t>
            </w:r>
          </w:p>
        </w:tc>
        <w:tc>
          <w:tcPr>
            <w:tcW w:type="dxa" w:w="26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MVP</w:t>
            </w:r>
          </w:p>
        </w:tc>
        <w:tc>
          <w:tcPr>
            <w:tcW w:type="dxa" w:w="27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Phase 2</w:t>
            </w:r>
          </w:p>
        </w:tc>
        <w:tc>
          <w:tcPr>
            <w:tcW w:type="dxa" w:w="246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Phase 3</w:t>
            </w:r>
          </w:p>
        </w:tc>
      </w:tr>
      <w:tr>
        <w:tc>
          <w:tcPr>
            <w:tcW w:type="dxa" w:w="1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Web PWA</w:t>
            </w:r>
          </w:p>
        </w:tc>
        <w:tc>
          <w:tcPr>
            <w:tcW w:type="dxa" w:w="2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Primary. Installable on phone. Offline approval queue. System of record.</w:t>
            </w:r>
          </w:p>
        </w:tc>
        <w:tc>
          <w:tcPr>
            <w:tcW w:type="dxa" w:w="27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Enhanced offline, push notifications, richer mobile UX</w:t>
            </w:r>
          </w:p>
        </w:tc>
        <w:tc>
          <w:tcPr>
            <w:tcW w:type="dxa" w:w="24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Unchanged — primary forever</w:t>
            </w:r>
          </w:p>
        </w:tc>
      </w:tr>
      <w:tr>
        <w:tc>
          <w:tcPr>
            <w:tcW w:type="dxa" w:w="1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Email notifications</w:t>
            </w:r>
          </w:p>
        </w:tc>
        <w:tc>
          <w:tcPr>
            <w:tcW w:type="dxa" w:w="2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Approval items emailed with one-click approve/edit/reject links.</w:t>
            </w:r>
          </w:p>
        </w:tc>
        <w:tc>
          <w:tcPr>
            <w:tcW w:type="dxa" w:w="27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Digest emails, weekly intelligence digest</w:t>
            </w:r>
          </w:p>
        </w:tc>
        <w:tc>
          <w:tcPr>
            <w:tcW w:type="dxa" w:w="24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Unchanged</w:t>
            </w:r>
          </w:p>
        </w:tc>
      </w:tr>
      <w:tr>
        <w:tc>
          <w:tcPr>
            <w:tcW w:type="dxa" w:w="1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SMS (Twilio/Burst)</w:t>
            </w:r>
          </w:p>
        </w:tc>
        <w:tc>
          <w:tcPr>
            <w:tcW w:type="dxa" w:w="2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Not in MVP.</w:t>
            </w:r>
          </w:p>
        </w:tc>
        <w:tc>
          <w:tcPr>
            <w:tcW w:type="dxa" w:w="27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Two-way SMS channel. Booking confirmations, reminders, staff broadcasts, missed call recovery.</w:t>
            </w:r>
          </w:p>
        </w:tc>
        <w:tc>
          <w:tcPr>
            <w:tcW w:type="dxa" w:w="24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Unchanged</w:t>
            </w:r>
          </w:p>
        </w:tc>
      </w:tr>
      <w:tr>
        <w:tc>
          <w:tcPr>
            <w:tcW w:type="dxa" w:w="1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Telegram bot</w:t>
            </w:r>
          </w:p>
        </w:tc>
        <w:tc>
          <w:tcPr>
            <w:tcW w:type="dxa" w:w="2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Not in MVP.</w:t>
            </w:r>
          </w:p>
        </w:tc>
        <w:tc>
          <w:tcPr>
            <w:tcW w:type="dxa" w:w="27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Notification channel + voice note support for owner instructions.</w:t>
            </w:r>
          </w:p>
        </w:tc>
        <w:tc>
          <w:tcPr>
            <w:tcW w:type="dxa" w:w="24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Active comm channel once trust established</w:t>
            </w:r>
          </w:p>
        </w:tc>
      </w:tr>
      <w:tr>
        <w:tc>
          <w:tcPr>
            <w:tcW w:type="dxa" w:w="1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WhatsApp Business</w:t>
            </w:r>
          </w:p>
        </w:tc>
        <w:tc>
          <w:tcPr>
            <w:tcW w:type="dxa" w:w="2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Not in MVP.</w:t>
            </w:r>
          </w:p>
        </w:tc>
        <w:tc>
          <w:tcPr>
            <w:tcW w:type="dxa" w:w="27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Not in Phase 2.</w:t>
            </w:r>
          </w:p>
        </w:tc>
        <w:tc>
          <w:tcPr>
            <w:tcW w:type="dxa" w:w="24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Phase 3 — after revenue validates Meta approval process</w:t>
            </w:r>
          </w:p>
        </w:tc>
      </w:tr>
    </w:tbl>
    <w:p>
      <w:r>
        <w:br w:type="page"/>
      </w:r>
    </w:p>
    <w:p>
      <w:pPr>
        <w:pStyle w:val="Heading1"/>
        <w:pBdr>
          <w:bottom w:val="single" w:color="5A4FD0" w:sz="8" w:space="4"/>
        </w:pBdr>
        <w:spacing w:after="160" w:before="440"/>
      </w:pPr>
      <w:r>
        <w:rPr>
          <w:rFonts w:ascii="Arial" w:cs="Arial" w:eastAsia="Arial" w:hAnsi="Arial"/>
          <w:b/>
          <w:bCs/>
          <w:color w:val="2C3240"/>
          <w:sz w:val="36"/>
          <w:szCs w:val="36"/>
        </w:rPr>
        <w:t xml:space="preserve">12. Pricing Strategy</w:t>
      </w:r>
    </w:p>
    <w:p>
      <w:pPr>
        <w:pStyle w:val="Heading2"/>
        <w:spacing w:after="100" w:before="300"/>
      </w:pPr>
      <w:r>
        <w:rPr>
          <w:rFonts w:ascii="Arial" w:cs="Arial" w:eastAsia="Arial" w:hAnsi="Arial"/>
          <w:b/>
          <w:bCs/>
          <w:color w:val="2C3240"/>
          <w:sz w:val="26"/>
          <w:szCs w:val="26"/>
        </w:rPr>
        <w:t xml:space="preserve">12.1  Beta Pricing (First 20 Customers)</w:t>
      </w:r>
    </w:p>
    <w:p>
      <w:pPr>
        <w:spacing w:after="80" w:before="60"/>
      </w:pPr>
      <w:r>
        <w:rPr>
          <w:rFonts w:ascii="Arial" w:cs="Arial" w:eastAsia="Arial" w:hAnsi="Arial"/>
          <w:color w:val="5C6475"/>
          <w:sz w:val="20"/>
          <w:szCs w:val="20"/>
        </w:rPr>
        <w:t xml:space="preserve">NZD $49/month, no credit card required, 21-day free trial. Beta pricing locked for 12 months. After 20 paying customers, pricing moves to the full tier structure.</w:t>
      </w:r>
    </w:p>
    <w:p>
      <w:pPr>
        <w:pStyle w:val="Heading2"/>
        <w:spacing w:after="100" w:before="300"/>
      </w:pPr>
      <w:r>
        <w:rPr>
          <w:rFonts w:ascii="Arial" w:cs="Arial" w:eastAsia="Arial" w:hAnsi="Arial"/>
          <w:b/>
          <w:bCs/>
          <w:color w:val="2C3240"/>
          <w:sz w:val="26"/>
          <w:szCs w:val="26"/>
        </w:rPr>
        <w:t xml:space="preserve">12.2  Full Tier Structure (Post-Beta)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387"/>
        <w:gridCol w:w="2387"/>
        <w:gridCol w:w="2386"/>
      </w:tblGrid>
      <w:tr>
        <w:tc>
          <w:tcPr>
            <w:tcW w:type="dxa" w:w="22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
            </w:r>
          </w:p>
        </w:tc>
        <w:tc>
          <w:tcPr>
            <w:tcW w:type="dxa" w:w="2387"/>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Essentials</w:t>
            </w:r>
          </w:p>
        </w:tc>
        <w:tc>
          <w:tcPr>
            <w:tcW w:type="dxa" w:w="2387"/>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Growth</w:t>
            </w:r>
          </w:p>
        </w:tc>
        <w:tc>
          <w:tcPr>
            <w:tcW w:type="dxa" w:w="2386"/>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Unrestricted</w:t>
            </w:r>
          </w:p>
        </w:tc>
      </w:tr>
      <w:tr>
        <w:tc>
          <w:tcPr>
            <w:tcW w:type="dxa" w:w="22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Price</w:t>
            </w:r>
          </w:p>
        </w:tc>
        <w:tc>
          <w:tcPr>
            <w:tcW w:type="dxa" w:w="2387"/>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$35/mo NZD</w:t>
            </w:r>
          </w:p>
        </w:tc>
        <w:tc>
          <w:tcPr>
            <w:tcW w:type="dxa" w:w="2387"/>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$89/mo NZD</w:t>
            </w:r>
          </w:p>
        </w:tc>
        <w:tc>
          <w:tcPr>
            <w:tcW w:type="dxa" w:w="2386"/>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Custom ($400-800/mo)</w:t>
            </w:r>
          </w:p>
        </w:tc>
      </w:tr>
      <w:tr>
        <w:tc>
          <w:tcPr>
            <w:tcW w:type="dxa" w:w="22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Annual (20% off)</w:t>
            </w:r>
          </w:p>
        </w:tc>
        <w:tc>
          <w:tcPr>
            <w:tcW w:type="dxa" w:w="2387"/>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$28/mo</w:t>
            </w:r>
          </w:p>
        </w:tc>
        <w:tc>
          <w:tcPr>
            <w:tcW w:type="dxa" w:w="2387"/>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$71.20/mo</w:t>
            </w:r>
          </w:p>
        </w:tc>
        <w:tc>
          <w:tcPr>
            <w:tcW w:type="dxa" w:w="2386"/>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Annual standard</w:t>
            </w:r>
          </w:p>
        </w:tc>
      </w:tr>
      <w:tr>
        <w:tc>
          <w:tcPr>
            <w:tcW w:type="dxa" w:w="22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Target</w:t>
            </w:r>
          </w:p>
        </w:tc>
        <w:tc>
          <w:tcPr>
            <w:tcW w:type="dxa" w:w="2387"/>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Solo, 1-5 staff</w:t>
            </w:r>
          </w:p>
        </w:tc>
        <w:tc>
          <w:tcPr>
            <w:tcW w:type="dxa" w:w="2387"/>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5-25 staff — core ICP</w:t>
            </w:r>
          </w:p>
        </w:tc>
        <w:tc>
          <w:tcPr>
            <w:tcW w:type="dxa" w:w="2386"/>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Multi-site, enterprise</w:t>
            </w:r>
          </w:p>
        </w:tc>
      </w:tr>
      <w:tr>
        <w:tc>
          <w:tcPr>
            <w:tcW w:type="dxa" w:w="22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AI model tier</w:t>
            </w:r>
          </w:p>
        </w:tc>
        <w:tc>
          <w:tcPr>
            <w:tcW w:type="dxa" w:w="2387"/>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Budget routing</w:t>
            </w:r>
          </w:p>
        </w:tc>
        <w:tc>
          <w:tcPr>
            <w:tcW w:type="dxa" w:w="2387"/>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Full intelligent routing</w:t>
            </w:r>
          </w:p>
        </w:tc>
        <w:tc>
          <w:tcPr>
            <w:tcW w:type="dxa" w:w="2386"/>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Full + local model option</w:t>
            </w:r>
          </w:p>
        </w:tc>
      </w:tr>
      <w:tr>
        <w:tc>
          <w:tcPr>
            <w:tcW w:type="dxa" w:w="22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Research queries/day</w:t>
            </w:r>
          </w:p>
        </w:tc>
        <w:tc>
          <w:tcPr>
            <w:tcW w:type="dxa" w:w="2387"/>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3/day</w:t>
            </w:r>
          </w:p>
        </w:tc>
        <w:tc>
          <w:tcPr>
            <w:tcW w:type="dxa" w:w="2387"/>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10/day</w:t>
            </w:r>
          </w:p>
        </w:tc>
        <w:tc>
          <w:tcPr>
            <w:tcW w:type="dxa" w:w="2386"/>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Unlimited</w:t>
            </w:r>
          </w:p>
        </w:tc>
      </w:tr>
      <w:tr>
        <w:tc>
          <w:tcPr>
            <w:tcW w:type="dxa" w:w="22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Staff records</w:t>
            </w:r>
          </w:p>
        </w:tc>
        <w:tc>
          <w:tcPr>
            <w:tcW w:type="dxa" w:w="2387"/>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Up to 5</w:t>
            </w:r>
          </w:p>
        </w:tc>
        <w:tc>
          <w:tcPr>
            <w:tcW w:type="dxa" w:w="2387"/>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Up to 25</w:t>
            </w:r>
          </w:p>
        </w:tc>
        <w:tc>
          <w:tcPr>
            <w:tcW w:type="dxa" w:w="2386"/>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Unlimited</w:t>
            </w:r>
          </w:p>
        </w:tc>
      </w:tr>
      <w:tr>
        <w:tc>
          <w:tcPr>
            <w:tcW w:type="dxa" w:w="22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Document storage</w:t>
            </w:r>
          </w:p>
        </w:tc>
        <w:tc>
          <w:tcPr>
            <w:tcW w:type="dxa" w:w="2387"/>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Not included</w:t>
            </w:r>
          </w:p>
        </w:tc>
        <w:tc>
          <w:tcPr>
            <w:tcW w:type="dxa" w:w="2387"/>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Google Drive (own account)</w:t>
            </w:r>
          </w:p>
        </w:tc>
        <w:tc>
          <w:tcPr>
            <w:tcW w:type="dxa" w:w="2386"/>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Google Drive + backup</w:t>
            </w:r>
          </w:p>
        </w:tc>
      </w:tr>
      <w:tr>
        <w:tc>
          <w:tcPr>
            <w:tcW w:type="dxa" w:w="22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SMS channel</w:t>
            </w:r>
          </w:p>
        </w:tc>
        <w:tc>
          <w:tcPr>
            <w:tcW w:type="dxa" w:w="2387"/>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Not included</w:t>
            </w:r>
          </w:p>
        </w:tc>
        <w:tc>
          <w:tcPr>
            <w:tcW w:type="dxa" w:w="2387"/>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Included (usage-based, ~$0.10/SMS)</w:t>
            </w:r>
          </w:p>
        </w:tc>
        <w:tc>
          <w:tcPr>
            <w:tcW w:type="dxa" w:w="2386"/>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Included + dedicated number</w:t>
            </w:r>
          </w:p>
        </w:tc>
      </w:tr>
      <w:tr>
        <w:tc>
          <w:tcPr>
            <w:tcW w:type="dxa" w:w="22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Memory</w:t>
            </w:r>
          </w:p>
        </w:tc>
        <w:tc>
          <w:tcPr>
            <w:tcW w:type="dxa" w:w="2387"/>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Basic client records</w:t>
            </w:r>
          </w:p>
        </w:tc>
        <w:tc>
          <w:tcPr>
            <w:tcW w:type="dxa" w:w="2387"/>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Full governed memory</w:t>
            </w:r>
          </w:p>
        </w:tc>
        <w:tc>
          <w:tcPr>
            <w:tcW w:type="dxa" w:w="2386"/>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Full + multi-user contexts</w:t>
            </w:r>
          </w:p>
        </w:tc>
      </w:tr>
      <w:tr>
        <w:tc>
          <w:tcPr>
            <w:tcW w:type="dxa" w:w="22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Seats</w:t>
            </w:r>
          </w:p>
        </w:tc>
        <w:tc>
          <w:tcPr>
            <w:tcW w:type="dxa" w:w="2387"/>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1 user</w:t>
            </w:r>
          </w:p>
        </w:tc>
        <w:tc>
          <w:tcPr>
            <w:tcW w:type="dxa" w:w="2387"/>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Up to 3 seats</w:t>
            </w:r>
          </w:p>
        </w:tc>
        <w:tc>
          <w:tcPr>
            <w:tcW w:type="dxa" w:w="2386"/>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Unlimited + roles</w:t>
            </w:r>
          </w:p>
        </w:tc>
      </w:tr>
      <w:tr>
        <w:tc>
          <w:tcPr>
            <w:tcW w:type="dxa" w:w="22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Support</w:t>
            </w:r>
          </w:p>
        </w:tc>
        <w:tc>
          <w:tcPr>
            <w:tcW w:type="dxa" w:w="2387"/>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Email, 48hr</w:t>
            </w:r>
          </w:p>
        </w:tc>
        <w:tc>
          <w:tcPr>
            <w:tcW w:type="dxa" w:w="2387"/>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Priority + 1hr onboarding call</w:t>
            </w:r>
          </w:p>
        </w:tc>
        <w:tc>
          <w:tcPr>
            <w:tcW w:type="dxa" w:w="2386"/>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Dedicated account manager</w:t>
            </w:r>
          </w:p>
        </w:tc>
      </w:tr>
    </w:tbl>
    <w:p>
      <w:pPr>
        <w:pStyle w:val="Heading2"/>
        <w:spacing w:after="100" w:before="300"/>
      </w:pPr>
      <w:r>
        <w:rPr>
          <w:rFonts w:ascii="Arial" w:cs="Arial" w:eastAsia="Arial" w:hAnsi="Arial"/>
          <w:b/>
          <w:bCs/>
          <w:color w:val="2C3240"/>
          <w:sz w:val="26"/>
          <w:szCs w:val="26"/>
        </w:rPr>
        <w:t xml:space="preserve">12.3  Usage Thresholds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200"/>
        <w:gridCol w:w="4660"/>
      </w:tblGrid>
      <w:tr>
        <w:tc>
          <w:tcPr>
            <w:tcW w:type="dxa" w:w="15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Threshold</w:t>
            </w:r>
          </w:p>
        </w:tc>
        <w:tc>
          <w:tcPr>
            <w:tcW w:type="dxa" w:w="32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What fires</w:t>
            </w:r>
          </w:p>
        </w:tc>
        <w:tc>
          <w:tcPr>
            <w:tcW w:type="dxa" w:w="466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Owner experience</w:t>
            </w:r>
          </w:p>
        </w:tc>
      </w:tr>
      <w:tr>
        <w:tc>
          <w:tcPr>
            <w:tcW w:type="dxa" w:w="15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70%</w:t>
            </w:r>
          </w:p>
        </w:tc>
        <w:tc>
          <w:tcPr>
            <w:tcW w:type="dxa" w:w="32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Subtle dashboard banner</w:t>
            </w:r>
          </w:p>
        </w:tc>
        <w:tc>
          <w:tcPr>
            <w:tcW w:type="dxa" w:w="46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"Great month — 70% of your plan used."</w:t>
            </w:r>
          </w:p>
        </w:tc>
      </w:tr>
      <w:tr>
        <w:tc>
          <w:tcPr>
            <w:tcW w:type="dxa" w:w="15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85%</w:t>
            </w:r>
          </w:p>
        </w:tc>
        <w:tc>
          <w:tcPr>
            <w:tcW w:type="dxa" w:w="32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Prominent upgrade prompt in app and email</w:t>
            </w:r>
          </w:p>
        </w:tc>
        <w:tc>
          <w:tcPr>
            <w:tcW w:type="dxa" w:w="46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"You're nearly at your monthly limit — upgrade to Growth to keep going."</w:t>
            </w:r>
          </w:p>
        </w:tc>
      </w:tr>
      <w:tr>
        <w:tc>
          <w:tcPr>
            <w:tcW w:type="dxa" w:w="15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100%</w:t>
            </w:r>
          </w:p>
        </w:tc>
        <w:tc>
          <w:tcPr>
            <w:tcW w:type="dxa" w:w="32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Soft pause + 24-hour grace window</w:t>
            </w:r>
          </w:p>
        </w:tc>
        <w:tc>
          <w:tcPr>
            <w:tcW w:type="dxa" w:w="46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One-tap upgrade. Auto-execution pauses. Review-required queue still works.</w:t>
            </w:r>
          </w:p>
        </w:tc>
      </w:tr>
      <w:tr>
        <w:tc>
          <w:tcPr>
            <w:tcW w:type="dxa" w:w="15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Abnormal spike</w:t>
            </w:r>
          </w:p>
        </w:tc>
        <w:tc>
          <w:tcPr>
            <w:tcW w:type="dxa" w:w="32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Silent hourly rate limit (max 50 triggers/hr)</w:t>
            </w:r>
          </w:p>
        </w:tc>
        <w:tc>
          <w:tcPr>
            <w:tcW w:type="dxa" w:w="46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Owner never sees this. Runaway loop safeguard only.</w:t>
            </w:r>
          </w:p>
        </w:tc>
      </w:tr>
    </w:tbl>
    <w:p>
      <w:r>
        <w:br w:type="page"/>
      </w:r>
    </w:p>
    <w:p>
      <w:pPr>
        <w:pStyle w:val="Heading1"/>
        <w:pBdr>
          <w:bottom w:val="single" w:color="5A4FD0" w:sz="8" w:space="4"/>
        </w:pBdr>
        <w:spacing w:after="160" w:before="440"/>
      </w:pPr>
      <w:r>
        <w:rPr>
          <w:rFonts w:ascii="Arial" w:cs="Arial" w:eastAsia="Arial" w:hAnsi="Arial"/>
          <w:b/>
          <w:bCs/>
          <w:color w:val="2C3240"/>
          <w:sz w:val="36"/>
          <w:szCs w:val="36"/>
        </w:rPr>
        <w:t xml:space="preserve">13. Go-to-Market Strategy</w:t>
      </w:r>
    </w:p>
    <w:p>
      <w:pPr>
        <w:pStyle w:val="Heading2"/>
        <w:spacing w:after="100" w:before="300"/>
      </w:pPr>
      <w:r>
        <w:rPr>
          <w:rFonts w:ascii="Arial" w:cs="Arial" w:eastAsia="Arial" w:hAnsi="Arial"/>
          <w:b/>
          <w:bCs/>
          <w:color w:val="2C3240"/>
          <w:sz w:val="26"/>
          <w:szCs w:val="26"/>
        </w:rPr>
        <w:t xml:space="preserve">13.1  The Beachhead Principle</w:t>
      </w:r>
    </w:p>
    <w:p>
      <w:pPr>
        <w:spacing w:after="80" w:before="60"/>
      </w:pPr>
      <w:r>
        <w:rPr>
          <w:rFonts w:ascii="Arial" w:cs="Arial" w:eastAsia="Arial" w:hAnsi="Arial"/>
          <w:color w:val="5C6475"/>
          <w:sz w:val="20"/>
          <w:szCs w:val="20"/>
        </w:rPr>
        <w:t xml:space="preserve">Year 1 is about owning Queenstown-Lakes, not New Zealand. The goal is 20 paying customers in the district who are genuinely happy, talking about Olivander to other business owners, and generating the word-of-mouth that makes cold outreach unnecessary.</w:t>
      </w:r>
    </w:p>
    <w:p>
      <w:pPr>
        <w:spacing w:after="80" w:before="60"/>
      </w:pPr>
      <w:r>
        <w:rPr>
          <w:rFonts w:ascii="Arial" w:cs="Arial" w:eastAsia="Arial" w:hAnsi="Arial"/>
          <w:color w:val="5C6475"/>
          <w:sz w:val="20"/>
          <w:szCs w:val="20"/>
        </w:rPr>
        <w:t xml:space="preserve">Validation to date: attended the Wanaka A&amp;P Show, walked into local businesses, participated in the YES Spark Tank event. This is the right validation approach — not surveys, not online research, but direct conversations with target customers.</w:t>
      </w:r>
    </w:p>
    <w:p>
      <w:pPr>
        <w:pStyle w:val="Heading2"/>
        <w:spacing w:after="100" w:before="300"/>
      </w:pPr>
      <w:r>
        <w:rPr>
          <w:rFonts w:ascii="Arial" w:cs="Arial" w:eastAsia="Arial" w:hAnsi="Arial"/>
          <w:b/>
          <w:bCs/>
          <w:color w:val="2C3240"/>
          <w:sz w:val="26"/>
          <w:szCs w:val="26"/>
        </w:rPr>
        <w:t xml:space="preserve">13.2  Channel Priority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2600"/>
        <w:gridCol w:w="1760"/>
      </w:tblGrid>
      <w:tr>
        <w:tc>
          <w:tcPr>
            <w:tcW w:type="dxa" w:w="24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Channel</w:t>
            </w:r>
          </w:p>
        </w:tc>
        <w:tc>
          <w:tcPr>
            <w:tcW w:type="dxa" w:w="26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Why it works</w:t>
            </w:r>
          </w:p>
        </w:tc>
        <w:tc>
          <w:tcPr>
            <w:tcW w:type="dxa" w:w="26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First action</w:t>
            </w:r>
          </w:p>
        </w:tc>
        <w:tc>
          <w:tcPr>
            <w:tcW w:type="dxa" w:w="176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Cost</w:t>
            </w:r>
          </w:p>
        </w:tc>
      </w:tr>
      <w:tr>
        <w:tc>
          <w:tcPr>
            <w:tcW w:type="dxa" w:w="2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Local business networks (Chamber, BNI)</w:t>
            </w:r>
          </w:p>
        </w:tc>
        <w:tc>
          <w:tcPr>
            <w:tcW w:type="dxa" w:w="2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Referrals from respected members. One introduction = multiple warm leads.</w:t>
            </w:r>
          </w:p>
        </w:tc>
        <w:tc>
          <w:tcPr>
            <w:tcW w:type="dxa" w:w="2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Join Queenstown Chamber ($400/yr). Attend first event in Month 1.</w:t>
            </w:r>
          </w:p>
        </w:tc>
        <w:tc>
          <w:tcPr>
            <w:tcW w:type="dxa" w:w="17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~$400/yr</w:t>
            </w:r>
          </w:p>
        </w:tc>
      </w:tr>
      <w:tr>
        <w:tc>
          <w:tcPr>
            <w:tcW w:type="dxa" w:w="2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Accountant partnerships</w:t>
            </w:r>
          </w:p>
        </w:tc>
        <w:tc>
          <w:tcPr>
            <w:tcW w:type="dxa" w:w="2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They see the pain firsthand. A trusted recommendation bypasses all objections.</w:t>
            </w:r>
          </w:p>
        </w:tc>
        <w:tc>
          <w:tcPr>
            <w:tcW w:type="dxa" w:w="2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Identify top 5 regional accounting firms. Book 30-min intro meetings in Month 1.</w:t>
            </w:r>
          </w:p>
        </w:tc>
        <w:tc>
          <w:tcPr>
            <w:tcW w:type="dxa" w:w="17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Time only</w:t>
            </w:r>
          </w:p>
        </w:tc>
      </w:tr>
      <w:tr>
        <w:tc>
          <w:tcPr>
            <w:tcW w:type="dxa" w:w="2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Direct demo with real data</w:t>
            </w:r>
          </w:p>
        </w:tc>
        <w:tc>
          <w:tcPr>
            <w:tcW w:type="dxa" w:w="2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Activation around real events. Prospect sees their own inbox in the product.</w:t>
            </w:r>
          </w:p>
        </w:tc>
        <w:tc>
          <w:tcPr>
            <w:tcW w:type="dxa" w:w="2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Build one reference customer (Archetype 1 or 2) in Week 10. Use as basis for all demos.</w:t>
            </w:r>
          </w:p>
        </w:tc>
        <w:tc>
          <w:tcPr>
            <w:tcW w:type="dxa" w:w="17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Time only</w:t>
            </w:r>
          </w:p>
        </w:tc>
      </w:tr>
      <w:tr>
        <w:tc>
          <w:tcPr>
            <w:tcW w:type="dxa" w:w="2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Seasonal campaign windows</w:t>
            </w:r>
          </w:p>
        </w:tc>
        <w:tc>
          <w:tcPr>
            <w:tcW w:type="dxa" w:w="2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Post-peak reckoning is the highest-intent buying period.</w:t>
            </w:r>
          </w:p>
        </w:tc>
        <w:tc>
          <w:tcPr>
            <w:tcW w:type="dxa" w:w="2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 outreach for August 2026 (post-ski) and March 2027 (post-summer).</w:t>
            </w:r>
          </w:p>
        </w:tc>
        <w:tc>
          <w:tcPr>
            <w:tcW w:type="dxa" w:w="17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Time only</w:t>
            </w:r>
          </w:p>
        </w:tc>
      </w:tr>
      <w:tr>
        <w:tc>
          <w:tcPr>
            <w:tcW w:type="dxa" w:w="2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Industry associations (TIA, MITO)</w:t>
            </w:r>
          </w:p>
        </w:tc>
        <w:tc>
          <w:tcPr>
            <w:tcW w:type="dxa" w:w="2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Consistent presence builds recognition over 6-12 months.</w:t>
            </w:r>
          </w:p>
        </w:tc>
        <w:tc>
          <w:tcPr>
            <w:tcW w:type="dxa" w:w="2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Identify 3 industry events in Queenstown calendar for Q2-Q3 2026.</w:t>
            </w:r>
          </w:p>
        </w:tc>
        <w:tc>
          <w:tcPr>
            <w:tcW w:type="dxa" w:w="17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$200-500/event</w:t>
            </w:r>
          </w:p>
        </w:tc>
      </w:tr>
    </w:tbl>
    <w:p>
      <w:pPr>
        <w:pStyle w:val="Heading2"/>
        <w:spacing w:after="100" w:before="300"/>
      </w:pPr>
      <w:r>
        <w:rPr>
          <w:rFonts w:ascii="Arial" w:cs="Arial" w:eastAsia="Arial" w:hAnsi="Arial"/>
          <w:b/>
          <w:bCs/>
          <w:color w:val="2C3240"/>
          <w:sz w:val="26"/>
          <w:szCs w:val="26"/>
        </w:rPr>
        <w:t xml:space="preserve">13.3  Referral Mechanic</w:t>
      </w:r>
    </w:p>
    <w:p>
      <w:pPr>
        <w:spacing w:after="80" w:before="60"/>
      </w:pPr>
      <w:r>
        <w:rPr>
          <w:rFonts w:ascii="Arial" w:cs="Arial" w:eastAsia="Arial" w:hAnsi="Arial"/>
          <w:color w:val="5C6475"/>
          <w:sz w:val="20"/>
          <w:szCs w:val="20"/>
        </w:rPr>
        <w:t xml:space="preserve">Any paying customer who refers a new customer gets one full month free (NZD $89 credit on next invoice). Referred business gets 30-day trial instead of 21. Implemented as a unique referral link from Settings, shareable to WhatsApp or email in one tap.</w:t>
      </w:r>
    </w:p>
    <w:p>
      <w:pPr>
        <w:pStyle w:val="Heading2"/>
        <w:spacing w:after="100" w:before="300"/>
      </w:pPr>
      <w:r>
        <w:rPr>
          <w:rFonts w:ascii="Arial" w:cs="Arial" w:eastAsia="Arial" w:hAnsi="Arial"/>
          <w:b/>
          <w:bCs/>
          <w:color w:val="2C3240"/>
          <w:sz w:val="26"/>
          <w:szCs w:val="26"/>
        </w:rPr>
        <w:t xml:space="preserve">13.4  Year 1 Milestones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600"/>
        <w:gridCol w:w="2760"/>
      </w:tblGrid>
      <w:tr>
        <w:tc>
          <w:tcPr>
            <w:tcW w:type="dxa" w:w="30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Milestone</w:t>
            </w:r>
          </w:p>
        </w:tc>
        <w:tc>
          <w:tcPr>
            <w:tcW w:type="dxa" w:w="36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Target</w:t>
            </w:r>
          </w:p>
        </w:tc>
        <w:tc>
          <w:tcPr>
            <w:tcW w:type="dxa" w:w="276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Timeframe</w:t>
            </w:r>
          </w:p>
        </w:tc>
      </w:tr>
      <w:tr>
        <w:tc>
          <w:tcPr>
            <w:tcW w:type="dxa" w:w="30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First paying customer</w:t>
            </w:r>
          </w:p>
        </w:tc>
        <w:tc>
          <w:tcPr>
            <w:tcW w:type="dxa" w:w="3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1 customer, beta plan, real agent actions in week 1</w:t>
            </w:r>
          </w:p>
        </w:tc>
        <w:tc>
          <w:tcPr>
            <w:tcW w:type="dxa" w:w="27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End of Week 10</w:t>
            </w:r>
          </w:p>
        </w:tc>
      </w:tr>
      <w:tr>
        <w:tc>
          <w:tcPr>
            <w:tcW w:type="dxa" w:w="30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Initial traction</w:t>
            </w:r>
          </w:p>
        </w:tc>
        <w:tc>
          <w:tcPr>
            <w:tcW w:type="dxa" w:w="3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5 paying customers, all with real weekly agent activity</w:t>
            </w:r>
          </w:p>
        </w:tc>
        <w:tc>
          <w:tcPr>
            <w:tcW w:type="dxa" w:w="27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Month 3</w:t>
            </w:r>
          </w:p>
        </w:tc>
      </w:tr>
      <w:tr>
        <w:tc>
          <w:tcPr>
            <w:tcW w:type="dxa" w:w="30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Product-market fit signal</w:t>
            </w:r>
          </w:p>
        </w:tc>
        <w:tc>
          <w:tcPr>
            <w:tcW w:type="dxa" w:w="3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15 customers, NPS &gt;50, at least 2 organic referrals</w:t>
            </w:r>
          </w:p>
        </w:tc>
        <w:tc>
          <w:tcPr>
            <w:tcW w:type="dxa" w:w="27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Month 6</w:t>
            </w:r>
          </w:p>
        </w:tc>
      </w:tr>
      <w:tr>
        <w:tc>
          <w:tcPr>
            <w:tcW w:type="dxa" w:w="30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Beachhead ownership</w:t>
            </w:r>
          </w:p>
        </w:tc>
        <w:tc>
          <w:tcPr>
            <w:tcW w:type="dxa" w:w="3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25 customers in Queenstown-Lakes District</w:t>
            </w:r>
          </w:p>
        </w:tc>
        <w:tc>
          <w:tcPr>
            <w:tcW w:type="dxa" w:w="27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Month 9</w:t>
            </w:r>
          </w:p>
        </w:tc>
      </w:tr>
      <w:tr>
        <w:tc>
          <w:tcPr>
            <w:tcW w:type="dxa" w:w="30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South Island expansion</w:t>
            </w:r>
          </w:p>
        </w:tc>
        <w:tc>
          <w:tcPr>
            <w:tcW w:type="dxa" w:w="3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30+ customers, first Central Otago / Southland accounts</w:t>
            </w:r>
          </w:p>
        </w:tc>
        <w:tc>
          <w:tcPr>
            <w:tcW w:type="dxa" w:w="27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Month 12</w:t>
            </w:r>
          </w:p>
        </w:tc>
      </w:tr>
      <w:tr>
        <w:tc>
          <w:tcPr>
            <w:tcW w:type="dxa" w:w="30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First Unrestricted contract</w:t>
            </w:r>
          </w:p>
        </w:tc>
        <w:tc>
          <w:tcPr>
            <w:tcW w:type="dxa" w:w="3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1 enterprise contract at &gt;$400/mo NZD</w:t>
            </w:r>
          </w:p>
        </w:tc>
        <w:tc>
          <w:tcPr>
            <w:tcW w:type="dxa" w:w="27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Month 12</w:t>
            </w:r>
          </w:p>
        </w:tc>
      </w:tr>
    </w:tbl>
    <w:p>
      <w:r>
        <w:br w:type="page"/>
      </w:r>
    </w:p>
    <w:p>
      <w:pPr>
        <w:pStyle w:val="Heading1"/>
        <w:pBdr>
          <w:bottom w:val="single" w:color="5A4FD0" w:sz="8" w:space="4"/>
        </w:pBdr>
        <w:spacing w:after="160" w:before="440"/>
      </w:pPr>
      <w:r>
        <w:rPr>
          <w:rFonts w:ascii="Arial" w:cs="Arial" w:eastAsia="Arial" w:hAnsi="Arial"/>
          <w:b/>
          <w:bCs/>
          <w:color w:val="2C3240"/>
          <w:sz w:val="36"/>
          <w:szCs w:val="36"/>
        </w:rPr>
        <w:t xml:space="preserve">14. Success Metrics</w:t>
      </w:r>
    </w:p>
    <w:p>
      <w:pPr>
        <w:pStyle w:val="Heading2"/>
        <w:spacing w:after="100" w:before="300"/>
      </w:pPr>
      <w:r>
        <w:rPr>
          <w:rFonts w:ascii="Arial" w:cs="Arial" w:eastAsia="Arial" w:hAnsi="Arial"/>
          <w:b/>
          <w:bCs/>
          <w:color w:val="2C3240"/>
          <w:sz w:val="26"/>
          <w:szCs w:val="26"/>
        </w:rPr>
        <w:t xml:space="preserve">14.1  North Star</w:t>
      </w:r>
    </w:p>
    <w:p>
      <w:pPr>
        <w:spacing w:after="80" w:before="60"/>
      </w:pPr>
      <w:r>
        <w:rPr>
          <w:rFonts w:ascii="Arial" w:cs="Arial" w:eastAsia="Arial" w:hAnsi="Arial"/>
          <w:color w:val="5C6475"/>
          <w:sz w:val="20"/>
          <w:szCs w:val="20"/>
        </w:rPr>
        <w:t xml:space="preserve">Hours returned to the owner per week. Target: &gt;5 hours/week average at Day 90. Measure via in-app survey at 30, 60, and 90 days.</w:t>
      </w:r>
    </w:p>
    <w:p>
      <w:pPr>
        <w:pStyle w:val="Heading2"/>
        <w:spacing w:after="100" w:before="300"/>
      </w:pPr>
      <w:r>
        <w:rPr>
          <w:rFonts w:ascii="Arial" w:cs="Arial" w:eastAsia="Arial" w:hAnsi="Arial"/>
          <w:b/>
          <w:bCs/>
          <w:color w:val="2C3240"/>
          <w:sz w:val="26"/>
          <w:szCs w:val="26"/>
        </w:rPr>
        <w:t xml:space="preserve">14.2  Metrics by Timeframe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1400"/>
        <w:gridCol w:w="3560"/>
      </w:tblGrid>
      <w:tr>
        <w:tc>
          <w:tcPr>
            <w:tcW w:type="dxa" w:w="26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Metric</w:t>
            </w:r>
          </w:p>
        </w:tc>
        <w:tc>
          <w:tcPr>
            <w:tcW w:type="dxa" w:w="18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Target</w:t>
            </w:r>
          </w:p>
        </w:tc>
        <w:tc>
          <w:tcPr>
            <w:tcW w:type="dxa" w:w="14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Timeframe</w:t>
            </w:r>
          </w:p>
        </w:tc>
        <w:tc>
          <w:tcPr>
            <w:tcW w:type="dxa" w:w="356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If missed</w:t>
            </w:r>
          </w:p>
        </w:tc>
      </w:tr>
      <w:tr>
        <w:tc>
          <w:tcPr>
            <w:tcW w:type="dxa" w:w="2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Onboarding completion</w:t>
            </w:r>
          </w:p>
        </w:tc>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&gt;80%</w:t>
            </w:r>
          </w:p>
        </w:tc>
        <w:tc>
          <w:tcPr>
            <w:tcW w:type="dxa" w:w="1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Day 14</w:t>
            </w:r>
          </w:p>
        </w:tc>
        <w:tc>
          <w:tcPr>
            <w:tcW w:type="dxa" w:w="35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Wizard broken or Xero OAuth too complex.</w:t>
            </w:r>
          </w:p>
        </w:tc>
      </w:tr>
      <w:tr>
        <w:tc>
          <w:tcPr>
            <w:tcW w:type="dxa" w:w="2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First real agent action</w:t>
            </w:r>
          </w:p>
        </w:tc>
        <w:tc>
          <w:tcPr>
            <w:tcW w:type="dxa" w:w="1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&gt;90% of completed setups</w:t>
            </w:r>
          </w:p>
        </w:tc>
        <w:tc>
          <w:tcPr>
            <w:tcW w:type="dxa" w:w="1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Day 7</w:t>
            </w:r>
          </w:p>
        </w:tc>
        <w:tc>
          <w:tcPr>
            <w:tcW w:type="dxa" w:w="35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Agent not detecting actionable events.</w:t>
            </w:r>
          </w:p>
        </w:tc>
      </w:tr>
      <w:tr>
        <w:tc>
          <w:tcPr>
            <w:tcW w:type="dxa" w:w="2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Trial-to-paid conversion</w:t>
            </w:r>
          </w:p>
        </w:tc>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&gt;40% of 21-day trials</w:t>
            </w:r>
          </w:p>
        </w:tc>
        <w:tc>
          <w:tcPr>
            <w:tcW w:type="dxa" w:w="1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Day 30</w:t>
            </w:r>
          </w:p>
        </w:tc>
        <w:tc>
          <w:tcPr>
            <w:tcW w:type="dxa" w:w="35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Not enough value in trial period.</w:t>
            </w:r>
          </w:p>
        </w:tc>
      </w:tr>
      <w:tr>
        <w:tc>
          <w:tcPr>
            <w:tcW w:type="dxa" w:w="2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Approval queue opens/week</w:t>
            </w:r>
          </w:p>
        </w:tc>
        <w:tc>
          <w:tcPr>
            <w:tcW w:type="dxa" w:w="1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&gt;3x per customer</w:t>
            </w:r>
          </w:p>
        </w:tc>
        <w:tc>
          <w:tcPr>
            <w:tcW w:type="dxa" w:w="1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Day 60</w:t>
            </w:r>
          </w:p>
        </w:tc>
        <w:tc>
          <w:tcPr>
            <w:tcW w:type="dxa" w:w="35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Owner not in daily flow. Silent churn risk.</w:t>
            </w:r>
          </w:p>
        </w:tc>
      </w:tr>
      <w:tr>
        <w:tc>
          <w:tcPr>
            <w:tcW w:type="dxa" w:w="2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Calibration score</w:t>
            </w:r>
          </w:p>
        </w:tc>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&gt;70% across base</w:t>
            </w:r>
          </w:p>
        </w:tc>
        <w:tc>
          <w:tcPr>
            <w:tcW w:type="dxa" w:w="1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Day 60</w:t>
            </w:r>
          </w:p>
        </w:tc>
        <w:tc>
          <w:tcPr>
            <w:tcW w:type="dxa" w:w="35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Memory or model routing underperforming.</w:t>
            </w:r>
          </w:p>
        </w:tc>
      </w:tr>
      <w:tr>
        <w:tc>
          <w:tcPr>
            <w:tcW w:type="dxa" w:w="2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Net Promoter Score</w:t>
            </w:r>
          </w:p>
        </w:tc>
        <w:tc>
          <w:tcPr>
            <w:tcW w:type="dxa" w:w="1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&gt;45</w:t>
            </w:r>
          </w:p>
        </w:tc>
        <w:tc>
          <w:tcPr>
            <w:tcW w:type="dxa" w:w="1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Day 60</w:t>
            </w:r>
          </w:p>
        </w:tc>
        <w:tc>
          <w:tcPr>
            <w:tcW w:type="dxa" w:w="35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Referral engine will not work below 45.</w:t>
            </w:r>
          </w:p>
        </w:tc>
      </w:tr>
      <w:tr>
        <w:tc>
          <w:tcPr>
            <w:tcW w:type="dxa" w:w="2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Monthly churn</w:t>
            </w:r>
          </w:p>
        </w:tc>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&lt;4%</w:t>
            </w:r>
          </w:p>
        </w:tc>
        <w:tc>
          <w:tcPr>
            <w:tcW w:type="dxa" w:w="1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Ongoing</w:t>
            </w:r>
          </w:p>
        </w:tc>
        <w:tc>
          <w:tcPr>
            <w:tcW w:type="dxa" w:w="35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At &gt;5% churn, LTV does not support growth model.</w:t>
            </w:r>
          </w:p>
        </w:tc>
      </w:tr>
      <w:tr>
        <w:tc>
          <w:tcPr>
            <w:tcW w:type="dxa" w:w="2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Calibration score</w:t>
            </w:r>
          </w:p>
        </w:tc>
        <w:tc>
          <w:tcPr>
            <w:tcW w:type="dxa" w:w="1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&gt;85% across base</w:t>
            </w:r>
          </w:p>
        </w:tc>
        <w:tc>
          <w:tcPr>
            <w:tcW w:type="dxa" w:w="1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Day 90</w:t>
            </w:r>
          </w:p>
        </w:tc>
        <w:tc>
          <w:tcPr>
            <w:tcW w:type="dxa" w:w="35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Learning loop not surfacing useful suggestions.</w:t>
            </w:r>
          </w:p>
        </w:tc>
      </w:tr>
      <w:tr>
        <w:tc>
          <w:tcPr>
            <w:tcW w:type="dxa" w:w="2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Hours saved (reported)</w:t>
            </w:r>
          </w:p>
        </w:tc>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&gt;5 hrs/week avg</w:t>
            </w:r>
          </w:p>
        </w:tc>
        <w:tc>
          <w:tcPr>
            <w:tcW w:type="dxa" w:w="1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Day 90</w:t>
            </w:r>
          </w:p>
        </w:tc>
        <w:tc>
          <w:tcPr>
            <w:tcW w:type="dxa" w:w="35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Workflows not covering the right tasks.</w:t>
            </w:r>
          </w:p>
        </w:tc>
      </w:tr>
      <w:tr>
        <w:tc>
          <w:tcPr>
            <w:tcW w:type="dxa" w:w="2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Organic referrals</w:t>
            </w:r>
          </w:p>
        </w:tc>
        <w:tc>
          <w:tcPr>
            <w:tcW w:type="dxa" w:w="1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&gt;2 from existing customers</w:t>
            </w:r>
          </w:p>
        </w:tc>
        <w:tc>
          <w:tcPr>
            <w:tcW w:type="dxa" w:w="1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Month 6</w:t>
            </w:r>
          </w:p>
        </w:tc>
        <w:tc>
          <w:tcPr>
            <w:tcW w:type="dxa" w:w="35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GTM strategy depends entirely on this.</w:t>
            </w:r>
          </w:p>
        </w:tc>
      </w:tr>
      <w:tr>
        <w:tc>
          <w:tcPr>
            <w:tcW w:type="dxa" w:w="2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Research-derived leads converted</w:t>
            </w:r>
          </w:p>
        </w:tc>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&gt;1 paying customer from research leads</w:t>
            </w:r>
          </w:p>
        </w:tc>
        <w:tc>
          <w:tcPr>
            <w:tcW w:type="dxa" w:w="14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Month 6</w:t>
            </w:r>
          </w:p>
        </w:tc>
        <w:tc>
          <w:tcPr>
            <w:tcW w:type="dxa" w:w="35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Research engine not producing actionable leads.</w:t>
            </w:r>
          </w:p>
        </w:tc>
      </w:tr>
    </w:tbl>
    <w:p>
      <w:pPr>
        <w:pStyle w:val="Heading1"/>
        <w:pBdr>
          <w:bottom w:val="single" w:color="5A4FD0" w:sz="8" w:space="4"/>
        </w:pBdr>
        <w:spacing w:after="160" w:before="440"/>
      </w:pPr>
      <w:r>
        <w:rPr>
          <w:rFonts w:ascii="Arial" w:cs="Arial" w:eastAsia="Arial" w:hAnsi="Arial"/>
          <w:b/>
          <w:bCs/>
          <w:color w:val="2C3240"/>
          <w:sz w:val="36"/>
          <w:szCs w:val="36"/>
        </w:rPr>
        <w:t xml:space="preserve">15. Failure Modes &amp; Prevention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360"/>
      </w:tblGrid>
      <w:tr>
        <w:tc>
          <w:tcPr>
            <w:tcW w:type="dxa" w:w="22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Failure mode</w:t>
            </w:r>
          </w:p>
        </w:tc>
        <w:tc>
          <w:tcPr>
            <w:tcW w:type="dxa" w:w="28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How it happens</w:t>
            </w:r>
          </w:p>
        </w:tc>
        <w:tc>
          <w:tcPr>
            <w:tcW w:type="dxa" w:w="436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Prevention</w:t>
            </w:r>
          </w:p>
        </w:tc>
      </w:tr>
      <w:tr>
        <w:tc>
          <w:tcPr>
            <w:tcW w:type="dxa" w:w="22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Agent sends incorrect info</w:t>
            </w:r>
          </w:p>
        </w:tc>
        <w:tc>
          <w:tcPr>
            <w:tcW w:type="dxa" w:w="2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LLM hallucinates price, wrong client name, non-existent policy</w:t>
            </w:r>
          </w:p>
        </w:tc>
        <w:tc>
          <w:tcPr>
            <w:tcW w:type="dxa" w:w="43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Missing memory context → question to owner, never a guess. Provenance in approval card.</w:t>
            </w:r>
          </w:p>
        </w:tc>
      </w:tr>
      <w:tr>
        <w:tc>
          <w:tcPr>
            <w:tcW w:type="dxa" w:w="22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Chaser on paid invoice</w:t>
            </w:r>
          </w:p>
        </w:tc>
        <w:tc>
          <w:tcPr>
            <w:tcW w:type="dxa" w:w="2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Stale Xero status</w:t>
            </w:r>
          </w:p>
        </w:tc>
        <w:tc>
          <w:tcPr>
            <w:tcW w:type="dxa" w:w="43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Finance Worker queries Xero live immediately before every chaser. No caching. No exceptions.</w:t>
            </w:r>
          </w:p>
        </w:tc>
      </w:tr>
      <w:tr>
        <w:tc>
          <w:tcPr>
            <w:tcW w:type="dxa" w:w="22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Runaway trigger loop</w:t>
            </w:r>
          </w:p>
        </w:tc>
        <w:tc>
          <w:tcPr>
            <w:tcW w:type="dxa" w:w="2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Email sent → auto-reply → infinite loop</w:t>
            </w:r>
          </w:p>
        </w:tc>
        <w:tc>
          <w:tcPr>
            <w:tcW w:type="dxa" w:w="43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Max 3 automated messages per client per 24hr. Duplicate trigger event ID detection.</w:t>
            </w:r>
          </w:p>
        </w:tc>
      </w:tr>
      <w:tr>
        <w:tc>
          <w:tcPr>
            <w:tcW w:type="dxa" w:w="22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Research output acted on without review</w:t>
            </w:r>
          </w:p>
        </w:tc>
        <w:tc>
          <w:tcPr>
            <w:tcW w:type="dxa" w:w="2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Agent sends outreach from research leads without approval</w:t>
            </w:r>
          </w:p>
        </w:tc>
        <w:tc>
          <w:tcPr>
            <w:tcW w:type="dxa" w:w="43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All research outputs Tier 3. No outreach from research without explicit per-email approval.</w:t>
            </w:r>
          </w:p>
        </w:tc>
      </w:tr>
      <w:tr>
        <w:tc>
          <w:tcPr>
            <w:tcW w:type="dxa" w:w="22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Incorrect competitor claim</w:t>
            </w:r>
          </w:p>
        </w:tc>
        <w:tc>
          <w:tcPr>
            <w:tcW w:type="dxa" w:w="2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Agent states something definitive about a competitor based on stale web data</w:t>
            </w:r>
          </w:p>
        </w:tc>
        <w:tc>
          <w:tcPr>
            <w:tcW w:type="dxa" w:w="43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Hedged language always. Source URLs shown. 30-day expiry on all research cache.</w:t>
            </w:r>
          </w:p>
        </w:tc>
      </w:tr>
      <w:tr>
        <w:tc>
          <w:tcPr>
            <w:tcW w:type="dxa" w:w="22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Trust collapse from bad auto-send</w:t>
            </w:r>
          </w:p>
        </w:tc>
        <w:tc>
          <w:tcPr>
            <w:tcW w:type="dxa" w:w="2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Agent auto-sends something incorrect in week 1</w:t>
            </w:r>
          </w:p>
        </w:tc>
        <w:tc>
          <w:tcPr>
            <w:tcW w:type="dxa" w:w="43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Nothing auto-sends in week 1. All Tier 3 for first 7 days. No exceptions.</w:t>
            </w:r>
          </w:p>
        </w:tc>
      </w:tr>
      <w:tr>
        <w:tc>
          <w:tcPr>
            <w:tcW w:type="dxa" w:w="22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Adoption failure</w:t>
            </w:r>
          </w:p>
        </w:tc>
        <w:tc>
          <w:tcPr>
            <w:tcW w:type="dxa" w:w="2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Setup completed but no real use in week 1</w:t>
            </w:r>
          </w:p>
        </w:tc>
        <w:tc>
          <w:tcPr>
            <w:tcW w:type="dxa" w:w="43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Personal check-in from Olivander team at Day 3 and Day 7 for first 20 customers.</w:t>
            </w:r>
          </w:p>
        </w:tc>
      </w:tr>
      <w:tr>
        <w:tc>
          <w:tcPr>
            <w:tcW w:type="dxa" w:w="22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OAuth token expiry</w:t>
            </w:r>
          </w:p>
        </w:tc>
        <w:tc>
          <w:tcPr>
            <w:tcW w:type="dxa" w:w="2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Access token expires during execution</w:t>
            </w:r>
          </w:p>
        </w:tc>
        <w:tc>
          <w:tcPr>
            <w:tcW w:type="dxa" w:w="43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Automated token refresh before every API call. If fails: pause workflows, notify owner.</w:t>
            </w:r>
          </w:p>
        </w:tc>
      </w:tr>
      <w:tr>
        <w:tc>
          <w:tcPr>
            <w:tcW w:type="dxa" w:w="22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AI cost overrun</w:t>
            </w:r>
          </w:p>
        </w:tc>
        <w:tc>
          <w:tcPr>
            <w:tcW w:type="dxa" w:w="2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Heavy user approaching unprofitability</w:t>
            </w:r>
          </w:p>
        </w:tc>
        <w:tc>
          <w:tcPr>
            <w:tcW w:type="dxa" w:w="43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Per-customer AI cost tracked from Week 3. Internal alert if monthly cost exceeds NZD $10.</w:t>
            </w:r>
          </w:p>
        </w:tc>
      </w:tr>
      <w:tr>
        <w:tc>
          <w:tcPr>
            <w:tcW w:type="dxa" w:w="22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Research API cost overrun</w:t>
            </w:r>
          </w:p>
        </w:tc>
        <w:tc>
          <w:tcPr>
            <w:tcW w:type="dxa" w:w="2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Brave Search queries exceeding budget</w:t>
            </w:r>
          </w:p>
        </w:tc>
        <w:tc>
          <w:tcPr>
            <w:tcW w:type="dxa" w:w="43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Daily query limit (default 10/day). Silent pause if exceeded. Alert in Settings.</w:t>
            </w:r>
          </w:p>
        </w:tc>
      </w:tr>
      <w:tr>
        <w:tc>
          <w:tcPr>
            <w:tcW w:type="dxa" w:w="22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Seasonal churn (tourism)</w:t>
            </w:r>
          </w:p>
        </w:tc>
        <w:tc>
          <w:tcPr>
            <w:tcW w:type="dxa" w:w="2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Business quiet in shoulder season, owner cancels</w:t>
            </w:r>
          </w:p>
        </w:tc>
        <w:tc>
          <w:tcPr>
            <w:tcW w:type="dxa" w:w="43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Seasonal Pause (Phase 2): pause agent and billing up to 3 months, retain all memory.</w:t>
            </w:r>
          </w:p>
        </w:tc>
      </w:tr>
    </w:tbl>
    <w:p>
      <w:r>
        <w:br w:type="page"/>
      </w:r>
    </w:p>
    <w:p>
      <w:pPr>
        <w:pStyle w:val="Heading1"/>
        <w:pBdr>
          <w:bottom w:val="single" w:color="5A4FD0" w:sz="8" w:space="4"/>
        </w:pBdr>
        <w:spacing w:after="160" w:before="440"/>
      </w:pPr>
      <w:r>
        <w:rPr>
          <w:rFonts w:ascii="Arial" w:cs="Arial" w:eastAsia="Arial" w:hAnsi="Arial"/>
          <w:b/>
          <w:bCs/>
          <w:color w:val="2C3240"/>
          <w:sz w:val="36"/>
          <w:szCs w:val="36"/>
        </w:rPr>
        <w:t xml:space="preserve">16. Kill Criteria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2B2B" w:sz="4"/>
              <w:left w:val="single" w:color="C42B2B" w:sz="4"/>
              <w:bottom w:val="single" w:color="C42B2B" w:sz="4"/>
              <w:right w:val="single" w:color="C42B2B" w:sz="4"/>
            </w:tcBorders>
            <w:shd w:fill="FEE8E8" w:val="clear"/>
            <w:tcMar>
              <w:top w:type="dxa" w:w="120"/>
              <w:left w:type="dxa" w:w="160"/>
              <w:bottom w:type="dxa" w:w="120"/>
              <w:right w:type="dxa" w:w="160"/>
            </w:tcMar>
          </w:tcPr>
          <w:p>
            <w:pPr>
              <w:spacing w:after="0" w:before="0"/>
            </w:pPr>
            <w:r>
              <w:rPr>
                <w:rFonts w:ascii="Arial" w:cs="Arial" w:eastAsia="Arial" w:hAnsi="Arial"/>
                <w:b/>
                <w:bCs/>
                <w:color w:val="C42B2B"/>
                <w:sz w:val="18"/>
                <w:szCs w:val="18"/>
              </w:rPr>
              <w:t xml:space="preserve">KILL  </w:t>
            </w:r>
            <w:r>
              <w:rPr>
                <w:rFonts w:ascii="Arial" w:cs="Arial" w:eastAsia="Arial" w:hAnsi="Arial"/>
                <w:color w:val="2C3240"/>
                <w:sz w:val="18"/>
                <w:szCs w:val="18"/>
              </w:rPr>
              <w:t xml:space="preserve">These trigger a pause and root-cause review before continuing to build or scale. Not failure — early warning signals. Ignore them and they become failures.</w:t>
            </w:r>
          </w:p>
        </w:tc>
      </w:tr>
    </w:tbl>
    <w:p>
      <w:pPr>
        <w:spacing w:after="0" w:before="80"/>
      </w:pPr>
      <w:r>
        <w:rPr>
          <w:rFonts w:ascii="Arial" w:cs="Arial" w:eastAsia="Arial" w:hAnsi="Arial"/>
          <w:color w:val="2C324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960"/>
      </w:tblGrid>
      <w:tr>
        <w:tc>
          <w:tcPr>
            <w:tcW w:type="dxa" w:w="28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Condition</w:t>
            </w:r>
          </w:p>
        </w:tc>
        <w:tc>
          <w:tcPr>
            <w:tcW w:type="dxa" w:w="26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What it signals</w:t>
            </w:r>
          </w:p>
        </w:tc>
        <w:tc>
          <w:tcPr>
            <w:tcW w:type="dxa" w:w="396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Required action</w:t>
            </w:r>
          </w:p>
        </w:tc>
      </w:tr>
      <w:tr>
        <w:tc>
          <w:tcPr>
            <w:tcW w:type="dxa" w:w="2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Customers require custom workflow design to get any value</w:t>
            </w:r>
          </w:p>
        </w:tc>
        <w:tc>
          <w:tcPr>
            <w:tcW w:type="dxa" w:w="2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Horizontal repeatability is not real — product becoming a consulting engagement</w:t>
            </w:r>
          </w:p>
        </w:tc>
        <w:tc>
          <w:tcPr>
            <w:tcW w:type="dxa" w:w="3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Pause acquisition. Audit why customisation was needed. Redesign memory seeding before resuming.</w:t>
            </w:r>
          </w:p>
        </w:tc>
      </w:tr>
      <w:tr>
        <w:tc>
          <w:tcPr>
            <w:tcW w:type="dxa" w:w="2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Approval-without-edit rate does not trend upward over 60 days</w:t>
            </w:r>
          </w:p>
        </w:tc>
        <w:tc>
          <w:tcPr>
            <w:tcW w:type="dxa" w:w="2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Memory system not learning — core value proposition broken</w:t>
            </w:r>
          </w:p>
        </w:tc>
        <w:tc>
          <w:tcPr>
            <w:tcW w:type="dxa" w:w="39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Deep edit pattern analysis. Fix memory governance or routing before scaling.</w:t>
            </w:r>
          </w:p>
        </w:tc>
      </w:tr>
      <w:tr>
        <w:tc>
          <w:tcPr>
            <w:tcW w:type="dxa" w:w="2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Research outputs consistently require major corrections</w:t>
            </w:r>
          </w:p>
        </w:tc>
        <w:tc>
          <w:tcPr>
            <w:tcW w:type="dxa" w:w="2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Research quality too low to be useful. Source reliability problem.</w:t>
            </w:r>
          </w:p>
        </w:tc>
        <w:tc>
          <w:tcPr>
            <w:tcW w:type="dxa" w:w="3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Audit Brave Search result quality. Consider adding secondary search source. Improve synthesis prompts.</w:t>
            </w:r>
          </w:p>
        </w:tc>
      </w:tr>
      <w:tr>
        <w:tc>
          <w:tcPr>
            <w:tcW w:type="dxa" w:w="2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Support + onboarding scales linearly with customers</w:t>
            </w:r>
          </w:p>
        </w:tc>
        <w:tc>
          <w:tcPr>
            <w:tcW w:type="dxa" w:w="2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Not self-service enough</w:t>
            </w:r>
          </w:p>
        </w:tc>
        <w:tc>
          <w:tcPr>
            <w:tcW w:type="dxa" w:w="39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Fix onboarding first. Each new customer must need &lt;2 hours Olivander team time.</w:t>
            </w:r>
          </w:p>
        </w:tc>
      </w:tr>
      <w:tr>
        <w:tc>
          <w:tcPr>
            <w:tcW w:type="dxa" w:w="2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Per-customer AI + search cost above NZD $10/month</w:t>
            </w:r>
          </w:p>
        </w:tc>
        <w:tc>
          <w:tcPr>
            <w:tcW w:type="dxa" w:w="2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Unit economics broken</w:t>
            </w:r>
          </w:p>
        </w:tc>
        <w:tc>
          <w:tcPr>
            <w:tcW w:type="dxa" w:w="3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Re-audit routing. Are expensive models used for cheap tasks? Adjust query budgets.</w:t>
            </w:r>
          </w:p>
        </w:tc>
      </w:tr>
      <w:tr>
        <w:tc>
          <w:tcPr>
            <w:tcW w:type="dxa" w:w="2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NPS below 40 at Month 3</w:t>
            </w:r>
          </w:p>
        </w:tc>
        <w:tc>
          <w:tcPr>
            <w:tcW w:type="dxa" w:w="2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Not generating required word-of-mouth</w:t>
            </w:r>
          </w:p>
        </w:tc>
        <w:tc>
          <w:tcPr>
            <w:tcW w:type="dxa" w:w="39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Stop GTM investment. Fix the product. Referral engine only works above NPS 45.</w:t>
            </w:r>
          </w:p>
        </w:tc>
      </w:tr>
    </w:tbl>
    <w:p>
      <w:pPr>
        <w:pStyle w:val="Heading1"/>
        <w:pBdr>
          <w:bottom w:val="single" w:color="5A4FD0" w:sz="8" w:space="4"/>
        </w:pBdr>
        <w:spacing w:after="160" w:before="440"/>
      </w:pPr>
      <w:r>
        <w:rPr>
          <w:rFonts w:ascii="Arial" w:cs="Arial" w:eastAsia="Arial" w:hAnsi="Arial"/>
          <w:b/>
          <w:bCs/>
          <w:color w:val="2C3240"/>
          <w:sz w:val="36"/>
          <w:szCs w:val="36"/>
        </w:rPr>
        <w:t xml:space="preserve">17. Product Roadmap</w:t>
      </w:r>
    </w:p>
    <w:p>
      <w:pPr>
        <w:pStyle w:val="Heading2"/>
        <w:spacing w:after="100" w:before="300"/>
      </w:pPr>
      <w:r>
        <w:rPr>
          <w:rFonts w:ascii="Arial" w:cs="Arial" w:eastAsia="Arial" w:hAnsi="Arial"/>
          <w:b/>
          <w:bCs/>
          <w:color w:val="2C3240"/>
          <w:sz w:val="26"/>
          <w:szCs w:val="26"/>
        </w:rPr>
        <w:t xml:space="preserve">Phase 1 — MVP (Current)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377E8" w:sz="4"/>
              <w:left w:val="single" w:color="8377E8" w:sz="4"/>
              <w:bottom w:val="single" w:color="8377E8" w:sz="4"/>
              <w:right w:val="single" w:color="8377E8" w:sz="4"/>
            </w:tcBorders>
            <w:shd w:fill="EDE9FF" w:val="clear"/>
            <w:tcMar>
              <w:top w:type="dxa" w:w="120"/>
              <w:left w:type="dxa" w:w="160"/>
              <w:bottom w:type="dxa" w:w="120"/>
              <w:right w:type="dxa" w:w="160"/>
            </w:tcMar>
          </w:tcPr>
          <w:p>
            <w:pPr>
              <w:spacing w:after="0" w:before="0"/>
            </w:pPr>
            <w:r>
              <w:rPr>
                <w:rFonts w:ascii="Arial" w:cs="Arial" w:eastAsia="Arial" w:hAnsi="Arial"/>
                <w:b/>
                <w:bCs/>
                <w:color w:val="5A4FD0"/>
                <w:sz w:val="18"/>
                <w:szCs w:val="18"/>
              </w:rPr>
              <w:t xml:space="preserve">NOTE  </w:t>
            </w:r>
            <w:r>
              <w:rPr>
                <w:rFonts w:ascii="Arial" w:cs="Arial" w:eastAsia="Arial" w:hAnsi="Arial"/>
                <w:color w:val="2C3240"/>
                <w:sz w:val="18"/>
                <w:szCs w:val="18"/>
              </w:rPr>
              <w:t xml:space="preserve">Phase 1 ships when: Google OAuth flow resolved, Gmail integration live, three core workflows (email triage, booking handling, invoice + quote creation) working end-to-end for one real paying customer. Lead pipeline view included.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0"/>
        <w:gridCol w:w="4560"/>
      </w:tblGrid>
      <w:tr>
        <w:tc>
          <w:tcPr>
            <w:tcW w:type="dxa" w:w="48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Item</w:t>
            </w:r>
          </w:p>
        </w:tc>
        <w:tc>
          <w:tcPr>
            <w:tcW w:type="dxa" w:w="456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Status</w:t>
            </w:r>
          </w:p>
        </w:tc>
      </w:tr>
      <w:tr>
        <w:tc>
          <w:tcPr>
            <w:tcW w:type="dxa" w:w="4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FastAPI backend (Railway)</w:t>
            </w:r>
          </w:p>
        </w:tc>
        <w:tc>
          <w:tcPr>
            <w:tcW w:type="dxa" w:w="45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Live</w:t>
            </w:r>
          </w:p>
        </w:tc>
      </w:tr>
      <w:tr>
        <w:tc>
          <w:tcPr>
            <w:tcW w:type="dxa" w:w="4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React/Vite frontend (Vercel)</w:t>
            </w:r>
          </w:p>
        </w:tc>
        <w:tc>
          <w:tcPr>
            <w:tcW w:type="dxa" w:w="45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Live</w:t>
            </w:r>
          </w:p>
        </w:tc>
      </w:tr>
      <w:tr>
        <w:tc>
          <w:tcPr>
            <w:tcW w:type="dxa" w:w="4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Supabase schema (all tables incl. staff, supplier, lead pipeline)</w:t>
            </w:r>
          </w:p>
        </w:tc>
        <w:tc>
          <w:tcPr>
            <w:tcW w:type="dxa" w:w="45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Active — extend schema</w:t>
            </w:r>
          </w:p>
        </w:tc>
      </w:tr>
      <w:tr>
        <w:tc>
          <w:tcPr>
            <w:tcW w:type="dxa" w:w="4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Groq AI pipeline (classification + draft)</w:t>
            </w:r>
          </w:p>
        </w:tc>
        <w:tc>
          <w:tcPr>
            <w:tcW w:type="dxa" w:w="45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Tested and passing</w:t>
            </w:r>
          </w:p>
        </w:tc>
      </w:tr>
      <w:tr>
        <w:tc>
          <w:tcPr>
            <w:tcW w:type="dxa" w:w="4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EmailProvider / CalendarProvider / AccountingProvider interfaces</w:t>
            </w:r>
          </w:p>
        </w:tc>
        <w:tc>
          <w:tcPr>
            <w:tcW w:type="dxa" w:w="45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Must build first — before any provider-specific code</w:t>
            </w:r>
          </w:p>
        </w:tc>
      </w:tr>
      <w:tr>
        <w:tc>
          <w:tcPr>
            <w:tcW w:type="dxa" w:w="4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Google OAuth flow fix</w:t>
            </w:r>
          </w:p>
        </w:tc>
        <w:tc>
          <w:tcPr>
            <w:tcW w:type="dxa" w:w="45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Debugging — invalid_request error — check Railway logs</w:t>
            </w:r>
          </w:p>
        </w:tc>
      </w:tr>
      <w:tr>
        <w:tc>
          <w:tcPr>
            <w:tcW w:type="dxa" w:w="4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Gmail push webhooks (Cloud Pub/Sub)</w:t>
            </w:r>
          </w:p>
        </w:tc>
        <w:tc>
          <w:tcPr>
            <w:tcW w:type="dxa" w:w="45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r>
      <w:tr>
        <w:tc>
          <w:tcPr>
            <w:tcW w:type="dxa" w:w="4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Google Calendar push webhooks</w:t>
            </w:r>
          </w:p>
        </w:tc>
        <w:tc>
          <w:tcPr>
            <w:tcW w:type="dxa" w:w="45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r>
      <w:tr>
        <w:tc>
          <w:tcPr>
            <w:tcW w:type="dxa" w:w="4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Xero OAuth + invoice creation</w:t>
            </w:r>
          </w:p>
        </w:tc>
        <w:tc>
          <w:tcPr>
            <w:tcW w:type="dxa" w:w="45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r>
      <w:tr>
        <w:tc>
          <w:tcPr>
            <w:tcW w:type="dxa" w:w="4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Quote generation from text</w:t>
            </w:r>
          </w:p>
        </w:tc>
        <w:tc>
          <w:tcPr>
            <w:tcW w:type="dxa" w:w="45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 — MVP addition</w:t>
            </w:r>
          </w:p>
        </w:tc>
      </w:tr>
      <w:tr>
        <w:tc>
          <w:tcPr>
            <w:tcW w:type="dxa" w:w="4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Lead pipeline view (derived from email classification)</w:t>
            </w:r>
          </w:p>
        </w:tc>
        <w:tc>
          <w:tcPr>
            <w:tcW w:type="dxa" w:w="45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 — MVP addition</w:t>
            </w:r>
          </w:p>
        </w:tc>
      </w:tr>
      <w:tr>
        <w:tc>
          <w:tcPr>
            <w:tcW w:type="dxa" w:w="4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BullMQ + Redis job queue</w:t>
            </w:r>
          </w:p>
        </w:tc>
        <w:tc>
          <w:tcPr>
            <w:tcW w:type="dxa" w:w="45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r>
      <w:tr>
        <w:tc>
          <w:tcPr>
            <w:tcW w:type="dxa" w:w="4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Approval queue UI (swipeable cards + execution plan)</w:t>
            </w:r>
          </w:p>
        </w:tc>
        <w:tc>
          <w:tcPr>
            <w:tcW w:type="dxa" w:w="45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r>
      <w:tr>
        <w:tc>
          <w:tcPr>
            <w:tcW w:type="dxa" w:w="4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Email approval notifications + webhooks</w:t>
            </w:r>
          </w:p>
        </w:tc>
        <w:tc>
          <w:tcPr>
            <w:tcW w:type="dxa" w:w="45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r>
      <w:tr>
        <w:tc>
          <w:tcPr>
            <w:tcW w:type="dxa" w:w="4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Onboarding wizard + dry run</w:t>
            </w:r>
          </w:p>
        </w:tc>
        <w:tc>
          <w:tcPr>
            <w:tcW w:type="dxa" w:w="45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r>
      <w:tr>
        <w:tc>
          <w:tcPr>
            <w:tcW w:type="dxa" w:w="4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Stripe integration</w:t>
            </w:r>
          </w:p>
        </w:tc>
        <w:tc>
          <w:tcPr>
            <w:tcW w:type="dxa" w:w="45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r>
    </w:tbl>
    <w:p>
      <w:pPr>
        <w:pStyle w:val="Heading2"/>
        <w:spacing w:after="100" w:before="300"/>
      </w:pPr>
      <w:r>
        <w:rPr>
          <w:rFonts w:ascii="Arial" w:cs="Arial" w:eastAsia="Arial" w:hAnsi="Arial"/>
          <w:b/>
          <w:bCs/>
          <w:color w:val="2C3240"/>
          <w:sz w:val="26"/>
          <w:szCs w:val="26"/>
        </w:rPr>
        <w:t xml:space="preserve">Phase 2 — Foundation (Months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8B12" w:sz="4"/>
              <w:left w:val="single" w:color="D08B12" w:sz="4"/>
              <w:bottom w:val="single" w:color="D08B12" w:sz="4"/>
              <w:right w:val="single" w:color="D08B12" w:sz="4"/>
            </w:tcBorders>
            <w:shd w:fill="FEF3E2" w:val="clear"/>
            <w:tcMar>
              <w:top w:type="dxa" w:w="120"/>
              <w:left w:type="dxa" w:w="160"/>
              <w:bottom w:type="dxa" w:w="120"/>
              <w:right w:type="dxa" w:w="160"/>
            </w:tcMar>
          </w:tcPr>
          <w:p>
            <w:pPr>
              <w:spacing w:after="0" w:before="0"/>
            </w:pPr>
            <w:r>
              <w:rPr>
                <w:rFonts w:ascii="Arial" w:cs="Arial" w:eastAsia="Arial" w:hAnsi="Arial"/>
                <w:b/>
                <w:bCs/>
                <w:color w:val="D08B12"/>
                <w:sz w:val="18"/>
                <w:szCs w:val="18"/>
              </w:rPr>
              <w:t xml:space="preserve">RISK  </w:t>
            </w:r>
            <w:r>
              <w:rPr>
                <w:rFonts w:ascii="Arial" w:cs="Arial" w:eastAsia="Arial" w:hAnsi="Arial"/>
                <w:color w:val="2C3240"/>
                <w:sz w:val="18"/>
                <w:szCs w:val="18"/>
              </w:rPr>
              <w:t xml:space="preserve">Phase 2 ships only when MVP has 10+ paying customers and calibration score consistently above 75%. Do not build Phase 2 features to fix Phase 1 retention problems.</w:t>
            </w:r>
          </w:p>
        </w:tc>
      </w:tr>
    </w:tbl>
    <w:p>
      <w:pPr>
        <w:pStyle w:val="ListParagraph"/>
        <w:numPr>
          <w:ilvl w:val="0"/>
          <w:numId w:val="2"/>
        </w:numPr>
        <w:spacing w:after="40" w:before="40"/>
      </w:pPr>
      <w:r>
        <w:rPr>
          <w:rFonts w:ascii="Arial" w:cs="Arial" w:eastAsia="Arial" w:hAnsi="Arial"/>
          <w:color w:val="5C6475"/>
          <w:sz w:val="20"/>
          <w:szCs w:val="20"/>
        </w:rPr>
        <w:t xml:space="preserve">Brave Search API integration + Research Worker (lead research, competitor monitoring, marketing intelligence)</w:t>
      </w:r>
    </w:p>
    <w:p>
      <w:pPr>
        <w:pStyle w:val="ListParagraph"/>
        <w:numPr>
          <w:ilvl w:val="0"/>
          <w:numId w:val="2"/>
        </w:numPr>
        <w:spacing w:after="40" w:before="40"/>
      </w:pPr>
      <w:r>
        <w:rPr>
          <w:rFonts w:ascii="Arial" w:cs="Arial" w:eastAsia="Arial" w:hAnsi="Arial"/>
          <w:color w:val="5C6475"/>
          <w:sz w:val="20"/>
          <w:szCs w:val="20"/>
        </w:rPr>
        <w:t>Microsoft Outlook/Microsoft 365 connection via Microsoft Graph implementation of EmailProvider + CalendarProvider interfaces. Required because many service SMEs use Outlook instead of Gmail.</w:t>
      </w:r>
    </w:p>
    <w:p>
      <w:pPr>
        <w:pStyle w:val="ListParagraph"/>
        <w:numPr>
          <w:ilvl w:val="0"/>
          <w:numId w:val="2"/>
        </w:numPr>
        <w:spacing w:after="40" w:before="40"/>
      </w:pPr>
      <w:r>
        <w:rPr>
          <w:rFonts w:ascii="Arial" w:cs="Arial" w:eastAsia="Arial" w:hAnsi="Arial"/>
          <w:color w:val="5C6475"/>
          <w:sz w:val="20"/>
          <w:szCs w:val="20"/>
        </w:rPr>
        <w:t xml:space="preserve">Staff rostering layer (staff records, availability, shift suggestion, staff broadcast via SMS/email)</w:t>
      </w:r>
    </w:p>
    <w:p>
      <w:pPr>
        <w:pStyle w:val="ListParagraph"/>
        <w:numPr>
          <w:ilvl w:val="0"/>
          <w:numId w:val="2"/>
        </w:numPr>
        <w:spacing w:after="40" w:before="40"/>
      </w:pPr>
      <w:r>
        <w:rPr>
          <w:rFonts w:ascii="Arial" w:cs="Arial" w:eastAsia="Arial" w:hAnsi="Arial"/>
          <w:color w:val="5C6475"/>
          <w:sz w:val="20"/>
          <w:szCs w:val="20"/>
        </w:rPr>
        <w:t xml:space="preserve">Expense capture from receipt photo (camera in app → Xero expense entry via approval queue)</w:t>
      </w:r>
    </w:p>
    <w:p>
      <w:pPr>
        <w:pStyle w:val="ListParagraph"/>
        <w:numPr>
          <w:ilvl w:val="0"/>
          <w:numId w:val="2"/>
        </w:numPr>
        <w:spacing w:after="40" w:before="40"/>
      </w:pPr>
      <w:r>
        <w:rPr>
          <w:rFonts w:ascii="Arial" w:cs="Arial" w:eastAsia="Arial" w:hAnsi="Arial"/>
          <w:color w:val="5C6475"/>
          <w:sz w:val="20"/>
          <w:szCs w:val="20"/>
        </w:rPr>
        <w:t xml:space="preserve">SMS channel via Twilio or Burst SMS (two-way SMS, booking confirmations, missed call recovery)</w:t>
      </w:r>
    </w:p>
    <w:p>
      <w:pPr>
        <w:pStyle w:val="ListParagraph"/>
        <w:numPr>
          <w:ilvl w:val="0"/>
          <w:numId w:val="2"/>
        </w:numPr>
        <w:spacing w:after="40" w:before="40"/>
      </w:pPr>
      <w:r>
        <w:rPr>
          <w:rFonts w:ascii="Arial" w:cs="Arial" w:eastAsia="Arial" w:hAnsi="Arial"/>
          <w:color w:val="5C6475"/>
          <w:sz w:val="20"/>
          <w:szCs w:val="20"/>
        </w:rPr>
        <w:t xml:space="preserve">Cash flow summary and payroll date awareness</w:t>
      </w:r>
    </w:p>
    <w:p>
      <w:pPr>
        <w:pStyle w:val="ListParagraph"/>
        <w:numPr>
          <w:ilvl w:val="0"/>
          <w:numId w:val="2"/>
        </w:numPr>
        <w:spacing w:after="40" w:before="40"/>
      </w:pPr>
      <w:r>
        <w:rPr>
          <w:rFonts w:ascii="Arial" w:cs="Arial" w:eastAsia="Arial" w:hAnsi="Arial"/>
          <w:color w:val="5C6475"/>
          <w:sz w:val="20"/>
          <w:szCs w:val="20"/>
        </w:rPr>
        <w:t xml:space="preserve">Google Drive document storage (quotes, invoices, contracts, job sheets with structured naming)</w:t>
      </w:r>
    </w:p>
    <w:p>
      <w:pPr>
        <w:pStyle w:val="ListParagraph"/>
        <w:numPr>
          <w:ilvl w:val="0"/>
          <w:numId w:val="2"/>
        </w:numPr>
        <w:spacing w:after="40" w:before="40"/>
      </w:pPr>
      <w:r>
        <w:rPr>
          <w:rFonts w:ascii="Arial" w:cs="Arial" w:eastAsia="Arial" w:hAnsi="Arial"/>
          <w:color w:val="5C6475"/>
          <w:sz w:val="20"/>
          <w:szCs w:val="20"/>
        </w:rPr>
        <w:t xml:space="preserve">Supplier and subcontractor coordination workflow</w:t>
      </w:r>
    </w:p>
    <w:p>
      <w:pPr>
        <w:pStyle w:val="ListParagraph"/>
        <w:numPr>
          <w:ilvl w:val="0"/>
          <w:numId w:val="2"/>
        </w:numPr>
        <w:spacing w:after="40" w:before="40"/>
      </w:pPr>
      <w:r>
        <w:rPr>
          <w:rFonts w:ascii="Arial" w:cs="Arial" w:eastAsia="Arial" w:hAnsi="Arial"/>
          <w:color w:val="5C6475"/>
          <w:sz w:val="20"/>
          <w:szCs w:val="20"/>
        </w:rPr>
        <w:t xml:space="preserve">Review management (Google My Business API — review request + response workflow)</w:t>
      </w:r>
    </w:p>
    <w:p>
      <w:pPr>
        <w:pStyle w:val="ListParagraph"/>
        <w:numPr>
          <w:ilvl w:val="0"/>
          <w:numId w:val="2"/>
        </w:numPr>
        <w:spacing w:after="40" w:before="40"/>
      </w:pPr>
      <w:r>
        <w:rPr>
          <w:rFonts w:ascii="Arial" w:cs="Arial" w:eastAsia="Arial" w:hAnsi="Arial"/>
          <w:color w:val="5C6475"/>
          <w:sz w:val="20"/>
          <w:szCs w:val="20"/>
        </w:rPr>
        <w:t xml:space="preserve">pgvector RAG system activated (768-dim embeddings, deferred from MVP)</w:t>
      </w:r>
    </w:p>
    <w:p>
      <w:pPr>
        <w:pStyle w:val="ListParagraph"/>
        <w:numPr>
          <w:ilvl w:val="0"/>
          <w:numId w:val="2"/>
        </w:numPr>
        <w:spacing w:after="40" w:before="40"/>
      </w:pPr>
      <w:r>
        <w:rPr>
          <w:rFonts w:ascii="Arial" w:cs="Arial" w:eastAsia="Arial" w:hAnsi="Arial"/>
          <w:color w:val="5C6475"/>
          <w:sz w:val="20"/>
          <w:szCs w:val="20"/>
        </w:rPr>
        <w:t xml:space="preserve">Telegram bot (notification channel + voice note support for owner instructions)</w:t>
      </w:r>
    </w:p>
    <w:p>
      <w:pPr>
        <w:pStyle w:val="ListParagraph"/>
        <w:numPr>
          <w:ilvl w:val="0"/>
          <w:numId w:val="2"/>
        </w:numPr>
        <w:spacing w:after="40" w:before="40"/>
      </w:pPr>
      <w:r>
        <w:rPr>
          <w:rFonts w:ascii="Arial" w:cs="Arial" w:eastAsia="Arial" w:hAnsi="Arial"/>
          <w:color w:val="5C6475"/>
          <w:sz w:val="20"/>
          <w:szCs w:val="20"/>
        </w:rPr>
        <w:t xml:space="preserve">Full three-tier pricing rollout (Essentials $35 / Growth $89 / Unrestricted custom)</w:t>
      </w:r>
    </w:p>
    <w:p>
      <w:pPr>
        <w:pStyle w:val="ListParagraph"/>
        <w:numPr>
          <w:ilvl w:val="0"/>
          <w:numId w:val="2"/>
        </w:numPr>
        <w:spacing w:after="40" w:before="40"/>
      </w:pPr>
      <w:r>
        <w:rPr>
          <w:rFonts w:ascii="Arial" w:cs="Arial" w:eastAsia="Arial" w:hAnsi="Arial"/>
          <w:color w:val="5C6475"/>
          <w:sz w:val="20"/>
          <w:szCs w:val="20"/>
        </w:rPr>
        <w:t xml:space="preserve">Seasonal Pause feature (pause agent + billing, retain memory)</w:t>
      </w:r>
    </w:p>
    <w:p>
      <w:pPr>
        <w:pStyle w:val="ListParagraph"/>
        <w:numPr>
          <w:ilvl w:val="0"/>
          <w:numId w:val="2"/>
        </w:numPr>
        <w:spacing w:after="40" w:before="40"/>
      </w:pPr>
      <w:r>
        <w:rPr>
          <w:rFonts w:ascii="Arial" w:cs="Arial" w:eastAsia="Arial" w:hAnsi="Arial"/>
          <w:color w:val="5C6475"/>
          <w:sz w:val="20"/>
          <w:szCs w:val="20"/>
        </w:rPr>
        <w:t xml:space="preserve">MYOB integration (second most common NZ accounting platform)</w:t>
      </w:r>
    </w:p>
    <w:p>
      <w:pPr>
        <w:pStyle w:val="ListParagraph"/>
        <w:numPr>
          <w:ilvl w:val="0"/>
          <w:numId w:val="2"/>
        </w:numPr>
        <w:spacing w:after="40" w:before="40"/>
      </w:pPr>
      <w:r>
        <w:rPr>
          <w:rFonts w:ascii="Arial" w:cs="Arial" w:eastAsia="Arial" w:hAnsi="Arial"/>
          <w:color w:val="5C6475"/>
          <w:sz w:val="20"/>
          <w:szCs w:val="20"/>
        </w:rPr>
        <w:t xml:space="preserve">Stripe payment links injected into invoices and quotes</w:t>
      </w:r>
    </w:p>
    <w:p>
      <w:pPr>
        <w:pStyle w:val="ListParagraph"/>
        <w:numPr>
          <w:ilvl w:val="0"/>
          <w:numId w:val="2"/>
        </w:numPr>
        <w:spacing w:after="40" w:before="40"/>
      </w:pPr>
      <w:r>
        <w:rPr>
          <w:rFonts w:ascii="Arial" w:cs="Arial" w:eastAsia="Arial" w:hAnsi="Arial"/>
          <w:color w:val="5C6475"/>
          <w:sz w:val="20"/>
          <w:szCs w:val="20"/>
        </w:rPr>
        <w:t xml:space="preserve">Attachment summarisation in email workflow</w:t>
      </w:r>
    </w:p>
    <w:p>
      <w:pPr>
        <w:pStyle w:val="ListParagraph"/>
        <w:numPr>
          <w:ilvl w:val="0"/>
          <w:numId w:val="2"/>
        </w:numPr>
        <w:spacing w:after="40" w:before="40"/>
      </w:pPr>
      <w:r>
        <w:rPr>
          <w:rFonts w:ascii="Arial" w:cs="Arial" w:eastAsia="Arial" w:hAnsi="Arial"/>
          <w:color w:val="5C6475"/>
          <w:sz w:val="20"/>
          <w:szCs w:val="20"/>
        </w:rPr>
        <w:t xml:space="preserve">Outreach sequence management (track contacted leads, follow-up timing)</w:t>
      </w:r>
    </w:p>
    <w:p>
      <w:pPr>
        <w:pStyle w:val="ListParagraph"/>
        <w:numPr>
          <w:ilvl w:val="0"/>
          <w:numId w:val="2"/>
        </w:numPr>
        <w:spacing w:after="40" w:before="40"/>
      </w:pPr>
      <w:r>
        <w:rPr>
          <w:rFonts w:ascii="Arial" w:cs="Arial" w:eastAsia="Arial" w:hAnsi="Arial"/>
          <w:color w:val="5C6475"/>
          <w:sz w:val="20"/>
          <w:szCs w:val="20"/>
        </w:rPr>
        <w:t xml:space="preserve">Assisted setup service as paid add-on (NZD $149-249)</w:t>
      </w:r>
    </w:p>
    <w:p>
      <w:pPr>
        <w:pStyle w:val="ListParagraph"/>
        <w:numPr>
          <w:ilvl w:val="0"/>
          <w:numId w:val="2"/>
        </w:numPr>
        <w:spacing w:after="40" w:before="40"/>
      </w:pPr>
      <w:r>
        <w:rPr>
          <w:rFonts w:ascii="Arial" w:cs="Arial" w:eastAsia="Arial" w:hAnsi="Arial"/>
          <w:color w:val="5C6475"/>
          <w:sz w:val="20"/>
          <w:szCs w:val="20"/>
        </w:rPr>
        <w:t xml:space="preserve">Health Information Privacy Code 2020 compliance (required before allied health at scale)</w:t>
      </w:r>
    </w:p>
    <w:p>
      <w:pPr>
        <w:pStyle w:val="Heading2"/>
        <w:spacing w:after="100" w:before="300"/>
      </w:pPr>
      <w:r>
        <w:rPr>
          <w:rFonts w:ascii="Arial" w:cs="Arial" w:eastAsia="Arial" w:hAnsi="Arial"/>
          <w:b/>
          <w:bCs/>
          <w:color w:val="2C3240"/>
          <w:sz w:val="26"/>
          <w:szCs w:val="26"/>
        </w:rPr>
        <w:t xml:space="preserve">Phase 3 — Industry Depth (Months 6-12)</w:t>
      </w:r>
    </w:p>
    <w:p>
      <w:pPr>
        <w:pStyle w:val="ListParagraph"/>
        <w:numPr>
          <w:ilvl w:val="0"/>
          <w:numId w:val="2"/>
        </w:numPr>
        <w:spacing w:after="40" w:before="40"/>
      </w:pPr>
      <w:r>
        <w:rPr>
          <w:rFonts w:ascii="Arial" w:cs="Arial" w:eastAsia="Arial" w:hAnsi="Arial"/>
          <w:color w:val="5C6475"/>
          <w:sz w:val="20"/>
          <w:szCs w:val="20"/>
        </w:rPr>
        <w:t xml:space="preserve">Rezdy integration (adventure tourism booking platform — Archetype 1)</w:t>
      </w:r>
    </w:p>
    <w:p>
      <w:pPr>
        <w:pStyle w:val="ListParagraph"/>
        <w:numPr>
          <w:ilvl w:val="0"/>
          <w:numId w:val="2"/>
        </w:numPr>
        <w:spacing w:after="40" w:before="40"/>
      </w:pPr>
      <w:r>
        <w:rPr>
          <w:rFonts w:ascii="Arial" w:cs="Arial" w:eastAsia="Arial" w:hAnsi="Arial"/>
          <w:color w:val="5C6475"/>
          <w:sz w:val="20"/>
          <w:szCs w:val="20"/>
        </w:rPr>
        <w:t xml:space="preserve">Fergus / Simpro integration (trades job management — Archetype 2)</w:t>
      </w:r>
    </w:p>
    <w:p>
      <w:pPr>
        <w:pStyle w:val="ListParagraph"/>
        <w:numPr>
          <w:ilvl w:val="0"/>
          <w:numId w:val="2"/>
        </w:numPr>
        <w:spacing w:after="40" w:before="40"/>
      </w:pPr>
      <w:r>
        <w:rPr>
          <w:rFonts w:ascii="Arial" w:cs="Arial" w:eastAsia="Arial" w:hAnsi="Arial"/>
          <w:color w:val="5C6475"/>
          <w:sz w:val="20"/>
          <w:szCs w:val="20"/>
        </w:rPr>
        <w:t xml:space="preserve">Cliniko integration (allied health appointment management — Archetype 3)</w:t>
      </w:r>
    </w:p>
    <w:p>
      <w:pPr>
        <w:pStyle w:val="ListParagraph"/>
        <w:numPr>
          <w:ilvl w:val="0"/>
          <w:numId w:val="2"/>
        </w:numPr>
        <w:spacing w:after="40" w:before="40"/>
      </w:pPr>
      <w:r>
        <w:rPr>
          <w:rFonts w:ascii="Arial" w:cs="Arial" w:eastAsia="Arial" w:hAnsi="Arial"/>
          <w:color w:val="5C6475"/>
          <w:sz w:val="20"/>
          <w:szCs w:val="20"/>
        </w:rPr>
        <w:t xml:space="preserve">EmailEngine self-hosted IMAP/SMTP (flat-rate unlimited mailboxes — replaces per-mailbox Nylas pricing risk)</w:t>
      </w:r>
    </w:p>
    <w:p>
      <w:pPr>
        <w:pStyle w:val="ListParagraph"/>
        <w:numPr>
          <w:ilvl w:val="0"/>
          <w:numId w:val="2"/>
        </w:numPr>
        <w:spacing w:after="40" w:before="40"/>
      </w:pPr>
      <w:r>
        <w:rPr>
          <w:rFonts w:ascii="Arial" w:cs="Arial" w:eastAsia="Arial" w:hAnsi="Arial"/>
          <w:color w:val="5C6475"/>
          <w:sz w:val="20"/>
          <w:szCs w:val="20"/>
        </w:rPr>
        <w:t xml:space="preserve">WhatsApp Business API (after revenue validates Meta approval process complexity)</w:t>
      </w:r>
    </w:p>
    <w:p>
      <w:pPr>
        <w:pStyle w:val="ListParagraph"/>
        <w:numPr>
          <w:ilvl w:val="0"/>
          <w:numId w:val="2"/>
        </w:numPr>
        <w:spacing w:after="40" w:before="40"/>
      </w:pPr>
      <w:r>
        <w:rPr>
          <w:rFonts w:ascii="Arial" w:cs="Arial" w:eastAsia="Arial" w:hAnsi="Arial"/>
          <w:color w:val="5C6475"/>
          <w:sz w:val="20"/>
          <w:szCs w:val="20"/>
        </w:rPr>
        <w:t xml:space="preserve">Deputy or similar rostering integration (read-only — for businesses already using dedicated rostering tools)</w:t>
      </w:r>
    </w:p>
    <w:p>
      <w:pPr>
        <w:pStyle w:val="ListParagraph"/>
        <w:numPr>
          <w:ilvl w:val="0"/>
          <w:numId w:val="2"/>
        </w:numPr>
        <w:spacing w:after="40" w:before="40"/>
      </w:pPr>
      <w:r>
        <w:rPr>
          <w:rFonts w:ascii="Arial" w:cs="Arial" w:eastAsia="Arial" w:hAnsi="Arial"/>
          <w:color w:val="5C6475"/>
          <w:sz w:val="20"/>
          <w:szCs w:val="20"/>
        </w:rPr>
        <w:t xml:space="preserve">LinkedIn research via Unipile API (professional services ICP — lead enrichment before first contact)</w:t>
      </w:r>
    </w:p>
    <w:p>
      <w:pPr>
        <w:pStyle w:val="ListParagraph"/>
        <w:numPr>
          <w:ilvl w:val="0"/>
          <w:numId w:val="2"/>
        </w:numPr>
        <w:spacing w:after="40" w:before="40"/>
      </w:pPr>
      <w:r>
        <w:rPr>
          <w:rFonts w:ascii="Arial" w:cs="Arial" w:eastAsia="Arial" w:hAnsi="Arial"/>
          <w:color w:val="5C6475"/>
          <w:sz w:val="20"/>
          <w:szCs w:val="20"/>
        </w:rPr>
        <w:t xml:space="preserve">Multi-seat dashboard for Growth tier (up to 3 users per account)</w:t>
      </w:r>
    </w:p>
    <w:p>
      <w:pPr>
        <w:pStyle w:val="ListParagraph"/>
        <w:numPr>
          <w:ilvl w:val="0"/>
          <w:numId w:val="2"/>
        </w:numPr>
        <w:spacing w:after="40" w:before="40"/>
      </w:pPr>
      <w:r>
        <w:rPr>
          <w:rFonts w:ascii="Arial" w:cs="Arial" w:eastAsia="Arial" w:hAnsi="Arial"/>
          <w:color w:val="5C6475"/>
          <w:sz w:val="20"/>
          <w:szCs w:val="20"/>
        </w:rPr>
        <w:t xml:space="preserve">Proactive intelligence upgrades: seasonal capacity predictions, client concentration risk alerts</w:t>
      </w:r>
    </w:p>
    <w:p>
      <w:pPr>
        <w:pStyle w:val="ListParagraph"/>
        <w:numPr>
          <w:ilvl w:val="0"/>
          <w:numId w:val="2"/>
        </w:numPr>
        <w:spacing w:after="40" w:before="40"/>
      </w:pPr>
      <w:r>
        <w:rPr>
          <w:rFonts w:ascii="Arial" w:cs="Arial" w:eastAsia="Arial" w:hAnsi="Arial"/>
          <w:color w:val="5C6475"/>
          <w:sz w:val="20"/>
          <w:szCs w:val="20"/>
        </w:rPr>
        <w:t xml:space="preserve">Monthly business summary PDF (revenue, outstanding, new clients, calibration score)</w:t>
      </w:r>
    </w:p>
    <w:p>
      <w:pPr>
        <w:pStyle w:val="ListParagraph"/>
        <w:numPr>
          <w:ilvl w:val="0"/>
          <w:numId w:val="2"/>
        </w:numPr>
        <w:spacing w:after="40" w:before="40"/>
      </w:pPr>
      <w:r>
        <w:rPr>
          <w:rFonts w:ascii="Arial" w:cs="Arial" w:eastAsia="Arial" w:hAnsi="Arial"/>
          <w:color w:val="5C6475"/>
          <w:sz w:val="20"/>
          <w:szCs w:val="20"/>
        </w:rPr>
        <w:t xml:space="preserve">SOC 2 Type I preparation begins (required for first enterprise contracts)</w:t>
      </w:r>
    </w:p>
    <w:p>
      <w:pPr>
        <w:pStyle w:val="ListParagraph"/>
        <w:numPr>
          <w:ilvl w:val="0"/>
          <w:numId w:val="2"/>
        </w:numPr>
        <w:spacing w:after="40" w:before="40"/>
      </w:pPr>
      <w:r>
        <w:rPr>
          <w:rFonts w:ascii="Arial" w:cs="Arial" w:eastAsia="Arial" w:hAnsi="Arial"/>
          <w:color w:val="5C6475"/>
          <w:sz w:val="20"/>
          <w:szCs w:val="20"/>
        </w:rPr>
        <w:t xml:space="preserve">Multi-resource scheduling (staff + equipment calendars simultaneously)</w:t>
      </w:r>
    </w:p>
    <w:p>
      <w:pPr>
        <w:pStyle w:val="Heading2"/>
        <w:spacing w:after="100" w:before="300"/>
      </w:pPr>
      <w:r>
        <w:rPr>
          <w:rFonts w:ascii="Arial" w:cs="Arial" w:eastAsia="Arial" w:hAnsi="Arial"/>
          <w:b/>
          <w:bCs/>
          <w:color w:val="2C3240"/>
          <w:sz w:val="26"/>
          <w:szCs w:val="26"/>
        </w:rPr>
        <w:t xml:space="preserve">Phase 4 — Scale (Year 2+)</w:t>
      </w:r>
    </w:p>
    <w:p>
      <w:pPr>
        <w:pStyle w:val="ListParagraph"/>
        <w:numPr>
          <w:ilvl w:val="0"/>
          <w:numId w:val="2"/>
        </w:numPr>
        <w:spacing w:after="40" w:before="40"/>
      </w:pPr>
      <w:r>
        <w:rPr>
          <w:rFonts w:ascii="Arial" w:cs="Arial" w:eastAsia="Arial" w:hAnsi="Arial"/>
          <w:color w:val="5C6475"/>
          <w:sz w:val="20"/>
          <w:szCs w:val="20"/>
        </w:rPr>
        <w:t xml:space="preserve">Australia expansion — Cairns, Hobart, Geelong, Orange, Bendigo (same ICP)</w:t>
      </w:r>
    </w:p>
    <w:p>
      <w:pPr>
        <w:pStyle w:val="ListParagraph"/>
        <w:numPr>
          <w:ilvl w:val="0"/>
          <w:numId w:val="2"/>
        </w:numPr>
        <w:spacing w:after="40" w:before="40"/>
      </w:pPr>
      <w:r>
        <w:rPr>
          <w:rFonts w:ascii="Arial" w:cs="Arial" w:eastAsia="Arial" w:hAnsi="Arial"/>
          <w:color w:val="5C6475"/>
          <w:sz w:val="20"/>
          <w:szCs w:val="20"/>
        </w:rPr>
        <w:t xml:space="preserve">Voice and phone calls on Unrestricted tier (outbound AI voice reminders)</w:t>
      </w:r>
    </w:p>
    <w:p>
      <w:pPr>
        <w:pStyle w:val="ListParagraph"/>
        <w:numPr>
          <w:ilvl w:val="0"/>
          <w:numId w:val="2"/>
        </w:numPr>
        <w:spacing w:after="40" w:before="40"/>
      </w:pPr>
      <w:r>
        <w:rPr>
          <w:rFonts w:ascii="Arial" w:cs="Arial" w:eastAsia="Arial" w:hAnsi="Arial"/>
          <w:color w:val="5C6475"/>
          <w:sz w:val="20"/>
          <w:szCs w:val="20"/>
        </w:rPr>
        <w:t xml:space="preserve">Olivander API — allow industry SaaS vendors to embed the operations layer</w:t>
      </w:r>
    </w:p>
    <w:p>
      <w:pPr>
        <w:pStyle w:val="ListParagraph"/>
        <w:numPr>
          <w:ilvl w:val="0"/>
          <w:numId w:val="2"/>
        </w:numPr>
        <w:spacing w:after="40" w:before="40"/>
      </w:pPr>
      <w:r>
        <w:rPr>
          <w:rFonts w:ascii="Arial" w:cs="Arial" w:eastAsia="Arial" w:hAnsi="Arial"/>
          <w:color w:val="5C6475"/>
          <w:sz w:val="20"/>
          <w:szCs w:val="20"/>
        </w:rPr>
        <w:t xml:space="preserve">SOC 2 Type II certification</w:t>
      </w:r>
    </w:p>
    <w:p>
      <w:pPr>
        <w:pStyle w:val="ListParagraph"/>
        <w:numPr>
          <w:ilvl w:val="0"/>
          <w:numId w:val="2"/>
        </w:numPr>
        <w:spacing w:after="40" w:before="40"/>
      </w:pPr>
      <w:r>
        <w:rPr>
          <w:rFonts w:ascii="Arial" w:cs="Arial" w:eastAsia="Arial" w:hAnsi="Arial"/>
          <w:color w:val="5C6475"/>
          <w:sz w:val="20"/>
          <w:szCs w:val="20"/>
        </w:rPr>
        <w:t xml:space="preserve">Advanced marketing automation (seasonal campaigns, client segmentation, multi-channel sequences)</w:t>
      </w:r>
    </w:p>
    <w:p>
      <w:pPr>
        <w:pStyle w:val="Heading2"/>
        <w:spacing w:after="100" w:before="300"/>
      </w:pPr>
      <w:r>
        <w:rPr>
          <w:rFonts w:ascii="Arial" w:cs="Arial" w:eastAsia="Arial" w:hAnsi="Arial"/>
          <w:b/>
          <w:bCs/>
          <w:color w:val="2C3240"/>
          <w:sz w:val="26"/>
          <w:szCs w:val="26"/>
        </w:rPr>
        <w:t xml:space="preserve">Explicitly Not on the Roadmap</w:t>
      </w:r>
    </w:p>
    <w:p>
      <w:pPr>
        <w:pStyle w:val="ListParagraph"/>
        <w:numPr>
          <w:ilvl w:val="0"/>
          <w:numId w:val="2"/>
        </w:numPr>
        <w:spacing w:after="40" w:before="40"/>
      </w:pPr>
      <w:r>
        <w:rPr>
          <w:rFonts w:ascii="Arial" w:cs="Arial" w:eastAsia="Arial" w:hAnsi="Arial"/>
          <w:color w:val="5C6475"/>
          <w:sz w:val="20"/>
          <w:szCs w:val="20"/>
        </w:rPr>
        <w:t xml:space="preserve">White-labelling / full reseller infrastructure — requires enterprise-grade support not yet available</w:t>
      </w:r>
    </w:p>
    <w:p>
      <w:pPr>
        <w:pStyle w:val="ListParagraph"/>
        <w:numPr>
          <w:ilvl w:val="0"/>
          <w:numId w:val="2"/>
        </w:numPr>
        <w:spacing w:after="40" w:before="40"/>
      </w:pPr>
      <w:r>
        <w:rPr>
          <w:rFonts w:ascii="Arial" w:cs="Arial" w:eastAsia="Arial" w:hAnsi="Arial"/>
          <w:color w:val="5C6475"/>
          <w:sz w:val="20"/>
          <w:szCs w:val="20"/>
        </w:rPr>
        <w:t xml:space="preserve">Visual workflow canvas for owners — defeats the plain-English simplicity that is the core differentiator</w:t>
      </w:r>
    </w:p>
    <w:p>
      <w:pPr>
        <w:pStyle w:val="ListParagraph"/>
        <w:numPr>
          <w:ilvl w:val="0"/>
          <w:numId w:val="2"/>
        </w:numPr>
        <w:spacing w:after="40" w:before="40"/>
      </w:pPr>
      <w:r>
        <w:rPr>
          <w:rFonts w:ascii="Arial" w:cs="Arial" w:eastAsia="Arial" w:hAnsi="Arial"/>
          <w:color w:val="5C6475"/>
          <w:sz w:val="20"/>
          <w:szCs w:val="20"/>
        </w:rPr>
        <w:t xml:space="preserve">Auckland or Wellington corporate market focus — wrong sales culture for this stage</w:t>
      </w:r>
    </w:p>
    <w:p>
      <w:pPr>
        <w:pStyle w:val="ListParagraph"/>
        <w:numPr>
          <w:ilvl w:val="0"/>
          <w:numId w:val="2"/>
        </w:numPr>
        <w:spacing w:after="40" w:before="40"/>
      </w:pPr>
      <w:r>
        <w:rPr>
          <w:rFonts w:ascii="Arial" w:cs="Arial" w:eastAsia="Arial" w:hAnsi="Arial"/>
          <w:color w:val="5C6475"/>
          <w:sz w:val="20"/>
          <w:szCs w:val="20"/>
        </w:rPr>
        <w:t xml:space="preserve">Building on top of a general-purpose automation platform — defeats the memory architecture</w:t>
      </w:r>
    </w:p>
    <w:p>
      <w:pPr>
        <w:pStyle w:val="ListParagraph"/>
        <w:numPr>
          <w:ilvl w:val="0"/>
          <w:numId w:val="2"/>
        </w:numPr>
        <w:spacing w:after="40" w:before="40"/>
      </w:pPr>
      <w:r>
        <w:rPr>
          <w:rFonts w:ascii="Arial" w:cs="Arial" w:eastAsia="Arial" w:hAnsi="Arial"/>
          <w:color w:val="5C6475"/>
          <w:sz w:val="20"/>
          <w:szCs w:val="20"/>
        </w:rPr>
        <w:t xml:space="preserve">Autonomous marketing execution — agent researches and suggests, owner always approves before anything sends</w:t>
      </w:r>
    </w:p>
    <w:p>
      <w:r>
        <w:br w:type="page"/>
      </w:r>
    </w:p>
    <w:p>
      <w:pPr>
        <w:pStyle w:val="Heading1"/>
        <w:pBdr>
          <w:bottom w:val="single" w:color="5A4FD0" w:sz="8" w:space="4"/>
        </w:pBdr>
        <w:spacing w:after="160" w:before="440"/>
      </w:pPr>
      <w:r>
        <w:rPr>
          <w:rFonts w:ascii="Arial" w:cs="Arial" w:eastAsia="Arial" w:hAnsi="Arial"/>
          <w:b/>
          <w:bCs/>
          <w:color w:val="2C3240"/>
          <w:sz w:val="36"/>
          <w:szCs w:val="36"/>
        </w:rPr>
        <w:t xml:space="preserve">18. Security, Compliance &amp; Credentials</w:t>
      </w:r>
    </w:p>
    <w:p>
      <w:pPr>
        <w:pStyle w:val="Heading2"/>
        <w:spacing w:after="100" w:before="300"/>
      </w:pPr>
      <w:r>
        <w:rPr>
          <w:rFonts w:ascii="Arial" w:cs="Arial" w:eastAsia="Arial" w:hAnsi="Arial"/>
          <w:b/>
          <w:bCs/>
          <w:color w:val="2C3240"/>
          <w:sz w:val="26"/>
          <w:szCs w:val="26"/>
        </w:rPr>
        <w:t xml:space="preserve">18.1  Minimum Baseline Before First Customer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1800"/>
        <w:gridCol w:w="2360"/>
      </w:tblGrid>
      <w:tr>
        <w:tc>
          <w:tcPr>
            <w:tcW w:type="dxa" w:w="52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Requirement</w:t>
            </w:r>
          </w:p>
        </w:tc>
        <w:tc>
          <w:tcPr>
            <w:tcW w:type="dxa" w:w="18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Cost</w:t>
            </w:r>
          </w:p>
        </w:tc>
        <w:tc>
          <w:tcPr>
            <w:tcW w:type="dxa" w:w="236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Status</w:t>
            </w:r>
          </w:p>
        </w:tc>
      </w:tr>
      <w:tr>
        <w:tc>
          <w:tcPr>
            <w:tcW w:type="dxa" w:w="52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Privacy Policy (NZ Privacy Act 2020) — must reflect actual Gmail + Xero + web research data flows</w:t>
            </w:r>
          </w:p>
        </w:tc>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NZD $200-500</w:t>
            </w:r>
          </w:p>
        </w:tc>
        <w:tc>
          <w:tcPr>
            <w:tcW w:type="dxa" w:w="23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r>
      <w:tr>
        <w:tc>
          <w:tcPr>
            <w:tcW w:type="dxa" w:w="52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Terms of Service — owner responsible for reviewing agent-drafted communications before they send</w:t>
            </w:r>
          </w:p>
        </w:tc>
        <w:tc>
          <w:tcPr>
            <w:tcW w:type="dxa" w:w="1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NZD $300-600</w:t>
            </w:r>
          </w:p>
        </w:tc>
        <w:tc>
          <w:tcPr>
            <w:tcW w:type="dxa" w:w="23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r>
      <w:tr>
        <w:tc>
          <w:tcPr>
            <w:tcW w:type="dxa" w:w="52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Data Processing Agreement — covers processing of owner's clients' data</w:t>
            </w:r>
          </w:p>
        </w:tc>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Included in ToS</w:t>
            </w:r>
          </w:p>
        </w:tc>
        <w:tc>
          <w:tcPr>
            <w:tcW w:type="dxa" w:w="23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r>
      <w:tr>
        <w:tc>
          <w:tcPr>
            <w:tcW w:type="dxa" w:w="52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Web research disclosure — Privacy Policy must explicitly disclose web research on behalf of owner</w:t>
            </w:r>
          </w:p>
        </w:tc>
        <w:tc>
          <w:tcPr>
            <w:tcW w:type="dxa" w:w="1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Included in Privacy Policy</w:t>
            </w:r>
          </w:p>
        </w:tc>
        <w:tc>
          <w:tcPr>
            <w:tcW w:type="dxa" w:w="23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r>
      <w:tr>
        <w:tc>
          <w:tcPr>
            <w:tcW w:type="dxa" w:w="52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AES-256 encryption for OAuth tokens. TLS 1.3 for all connections.</w:t>
            </w:r>
          </w:p>
        </w:tc>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Platform-native</w:t>
            </w:r>
          </w:p>
        </w:tc>
        <w:tc>
          <w:tcPr>
            <w:tcW w:type="dxa" w:w="23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Platform-native</w:t>
            </w:r>
          </w:p>
        </w:tc>
      </w:tr>
      <w:tr>
        <w:tc>
          <w:tcPr>
            <w:tcW w:type="dxa" w:w="52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Row-level security in Supabase — every query scoped to authenticated tenant</w:t>
            </w:r>
          </w:p>
        </w:tc>
        <w:tc>
          <w:tcPr>
            <w:tcW w:type="dxa" w:w="1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Platform-native</w:t>
            </w:r>
          </w:p>
        </w:tc>
        <w:tc>
          <w:tcPr>
            <w:tcW w:type="dxa" w:w="23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Platform-native</w:t>
            </w:r>
          </w:p>
        </w:tc>
      </w:tr>
      <w:tr>
        <w:tc>
          <w:tcPr>
            <w:tcW w:type="dxa" w:w="52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MFA on all Olivander team admin access to production systems</w:t>
            </w:r>
          </w:p>
        </w:tc>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No cost</w:t>
            </w:r>
          </w:p>
        </w:tc>
        <w:tc>
          <w:tcPr>
            <w:tcW w:type="dxa" w:w="23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Required now</w:t>
            </w:r>
          </w:p>
        </w:tc>
      </w:tr>
      <w:tr>
        <w:tc>
          <w:tcPr>
            <w:tcW w:type="dxa" w:w="52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Cancellation + data deletion procedure (30-day purge, confirmation email)</w:t>
            </w:r>
          </w:p>
        </w:tc>
        <w:tc>
          <w:tcPr>
            <w:tcW w:type="dxa" w:w="1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1 day engineering</w:t>
            </w:r>
          </w:p>
        </w:tc>
        <w:tc>
          <w:tcPr>
            <w:tcW w:type="dxa" w:w="23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r>
      <w:tr>
        <w:tc>
          <w:tcPr>
            <w:tcW w:type="dxa" w:w="52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Incident response plan — NZ Privacy Commissioner: notify within 72 hours of notifiable breach</w:t>
            </w:r>
          </w:p>
        </w:tc>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Half day to document</w:t>
            </w:r>
          </w:p>
        </w:tc>
        <w:tc>
          <w:tcPr>
            <w:tcW w:type="dxa" w:w="23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Planned</w:t>
            </w:r>
          </w:p>
        </w:tc>
      </w:tr>
    </w:tbl>
    <w:p>
      <w:pPr>
        <w:pStyle w:val="Heading2"/>
        <w:spacing w:after="100" w:before="300"/>
      </w:pPr>
      <w:r>
        <w:rPr>
          <w:rFonts w:ascii="Arial" w:cs="Arial" w:eastAsia="Arial" w:hAnsi="Arial"/>
          <w:b/>
          <w:bCs/>
          <w:color w:val="2C3240"/>
          <w:sz w:val="26"/>
          <w:szCs w:val="26"/>
        </w:rPr>
        <w:t xml:space="preserve">18.2  Credentials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8B12" w:sz="4"/>
              <w:left w:val="single" w:color="D08B12" w:sz="4"/>
              <w:bottom w:val="single" w:color="D08B12" w:sz="4"/>
              <w:right w:val="single" w:color="D08B12" w:sz="4"/>
            </w:tcBorders>
            <w:shd w:fill="FEF3E2" w:val="clear"/>
            <w:tcMar>
              <w:top w:type="dxa" w:w="120"/>
              <w:left w:type="dxa" w:w="160"/>
              <w:bottom w:type="dxa" w:w="120"/>
              <w:right w:type="dxa" w:w="160"/>
            </w:tcMar>
          </w:tcPr>
          <w:p>
            <w:pPr>
              <w:spacing w:after="0" w:before="0"/>
            </w:pPr>
            <w:r>
              <w:rPr>
                <w:rFonts w:ascii="Arial" w:cs="Arial" w:eastAsia="Arial" w:hAnsi="Arial"/>
                <w:b/>
                <w:bCs/>
                <w:color w:val="D08B12"/>
                <w:sz w:val="18"/>
                <w:szCs w:val="18"/>
              </w:rPr>
              <w:t xml:space="preserve">RISK  </w:t>
            </w:r>
            <w:r>
              <w:rPr>
                <w:rFonts w:ascii="Arial" w:cs="Arial" w:eastAsia="Arial" w:hAnsi="Arial"/>
                <w:color w:val="2C3240"/>
                <w:sz w:val="18"/>
                <w:szCs w:val="18"/>
              </w:rPr>
              <w:t xml:space="preserve">Credentials must never be pasted into conversations, documents, or shared files. All secrets live in environment variables only (.env, Railway environment, Supabase dashboard). This has happened once — credentials were rotated. It must not happen again. The Brave Search API key and any SMS provider keys are subject to the same rule.</w:t>
            </w:r>
          </w:p>
        </w:tc>
      </w:tr>
    </w:tbl>
    <w:p>
      <w:pPr>
        <w:pStyle w:val="Heading2"/>
        <w:spacing w:after="100" w:before="300"/>
      </w:pPr>
      <w:r>
        <w:rPr>
          <w:rFonts w:ascii="Arial" w:cs="Arial" w:eastAsia="Arial" w:hAnsi="Arial"/>
          <w:b/>
          <w:bCs/>
          <w:color w:val="2C3240"/>
          <w:sz w:val="26"/>
          <w:szCs w:val="26"/>
        </w:rPr>
        <w:t xml:space="preserve">18.3  Compliance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000"/>
        <w:gridCol w:w="4000"/>
        <w:gridCol w:w="1760"/>
      </w:tblGrid>
      <w:tr>
        <w:tc>
          <w:tcPr>
            <w:tcW w:type="dxa" w:w="16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Phase</w:t>
            </w:r>
          </w:p>
        </w:tc>
        <w:tc>
          <w:tcPr>
            <w:tcW w:type="dxa" w:w="20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Trigger</w:t>
            </w:r>
          </w:p>
        </w:tc>
        <w:tc>
          <w:tcPr>
            <w:tcW w:type="dxa" w:w="40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Actions</w:t>
            </w:r>
          </w:p>
        </w:tc>
        <w:tc>
          <w:tcPr>
            <w:tcW w:type="dxa" w:w="176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Cost</w:t>
            </w:r>
          </w:p>
        </w:tc>
      </w:tr>
      <w:tr>
        <w:tc>
          <w:tcPr>
            <w:tcW w:type="dxa" w:w="1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Before first customer</w:t>
            </w:r>
          </w:p>
        </w:tc>
        <w:tc>
          <w:tcPr>
            <w:tcW w:type="dxa" w:w="20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MVP launch</w:t>
            </w:r>
          </w:p>
        </w:tc>
        <w:tc>
          <w:tcPr>
            <w:tcW w:type="dxa" w:w="40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Privacy Policy, ToS, DPA (updated for research), MFA, encryption, deletion procedure, incident response plan</w:t>
            </w:r>
          </w:p>
        </w:tc>
        <w:tc>
          <w:tcPr>
            <w:tcW w:type="dxa" w:w="17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NZD $1,000-2,000</w:t>
            </w:r>
          </w:p>
        </w:tc>
      </w:tr>
      <w:tr>
        <w:tc>
          <w:tcPr>
            <w:tcW w:type="dxa" w:w="1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Month 3</w:t>
            </w:r>
          </w:p>
        </w:tc>
        <w:tc>
          <w:tcPr>
            <w:tcW w:type="dxa" w:w="20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First allied health customer</w:t>
            </w:r>
          </w:p>
        </w:tc>
        <w:tc>
          <w:tcPr>
            <w:tcW w:type="dxa" w:w="40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Health Information Privacy Code 2020 review + DPA addendum</w:t>
            </w:r>
          </w:p>
        </w:tc>
        <w:tc>
          <w:tcPr>
            <w:tcW w:type="dxa" w:w="17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NZD $1,500-2,500</w:t>
            </w:r>
          </w:p>
        </w:tc>
      </w:tr>
      <w:tr>
        <w:tc>
          <w:tcPr>
            <w:tcW w:type="dxa" w:w="16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Month 6-9</w:t>
            </w:r>
          </w:p>
        </w:tc>
        <w:tc>
          <w:tcPr>
            <w:tcW w:type="dxa" w:w="20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First enterprise prospect</w:t>
            </w:r>
          </w:p>
        </w:tc>
        <w:tc>
          <w:tcPr>
            <w:tcW w:type="dxa" w:w="40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ISO 27001 ISMS documentation (basic), security questionnaire template, penetration test</w:t>
            </w:r>
          </w:p>
        </w:tc>
        <w:tc>
          <w:tcPr>
            <w:tcW w:type="dxa" w:w="17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NZD $5,000-10,000</w:t>
            </w:r>
          </w:p>
        </w:tc>
      </w:tr>
      <w:tr>
        <w:tc>
          <w:tcPr>
            <w:tcW w:type="dxa" w:w="16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Year 2</w:t>
            </w:r>
          </w:p>
        </w:tc>
        <w:tc>
          <w:tcPr>
            <w:tcW w:type="dxa" w:w="20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Enterprise pipeline &gt;$100K ARR</w:t>
            </w:r>
          </w:p>
        </w:tc>
        <w:tc>
          <w:tcPr>
            <w:tcW w:type="dxa" w:w="40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SOC 2 Type I preparation and audit</w:t>
            </w:r>
          </w:p>
        </w:tc>
        <w:tc>
          <w:tcPr>
            <w:tcW w:type="dxa" w:w="17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NZD $15,000-25,000</w:t>
            </w:r>
          </w:p>
        </w:tc>
      </w:tr>
    </w:tbl>
    <w:p>
      <w:r>
        <w:br w:type="page"/>
      </w:r>
    </w:p>
    <w:p>
      <w:pPr>
        <w:pStyle w:val="Heading1"/>
        <w:pBdr>
          <w:bottom w:val="single" w:color="5A4FD0" w:sz="8" w:space="4"/>
        </w:pBdr>
        <w:spacing w:after="160" w:before="440"/>
      </w:pPr>
      <w:r>
        <w:rPr>
          <w:rFonts w:ascii="Arial" w:cs="Arial" w:eastAsia="Arial" w:hAnsi="Arial"/>
          <w:b/>
          <w:bCs/>
          <w:color w:val="2C3240"/>
          <w:sz w:val="36"/>
          <w:szCs w:val="36"/>
        </w:rPr>
        <w:t xml:space="preserve">19. Implementation Notes for Claude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ED9D0" w:sz="4"/>
              <w:left w:val="single" w:color="DED9D0" w:sz="4"/>
              <w:bottom w:val="single" w:color="DED9D0" w:sz="4"/>
              <w:right w:val="single" w:color="DED9D0" w:sz="4"/>
            </w:tcBorders>
            <w:shd w:fill="EDE6D8" w:val="clear"/>
            <w:tcMar>
              <w:top w:type="dxa" w:w="120"/>
              <w:left w:type="dxa" w:w="160"/>
              <w:bottom w:type="dxa" w:w="120"/>
              <w:right w:type="dxa" w:w="160"/>
            </w:tcMar>
          </w:tcPr>
          <w:p>
            <w:pPr>
              <w:spacing w:after="0" w:before="0"/>
            </w:pPr>
            <w:r>
              <w:rPr>
                <w:rFonts w:ascii="Arial" w:cs="Arial" w:eastAsia="Arial" w:hAnsi="Arial"/>
                <w:b/>
                <w:bCs/>
                <w:color w:val="2C3240"/>
                <w:sz w:val="18"/>
                <w:szCs w:val="18"/>
              </w:rPr>
              <w:t xml:space="preserve">BUILD  </w:t>
            </w:r>
            <w:r>
              <w:rPr>
                <w:rFonts w:ascii="Arial" w:cs="Arial" w:eastAsia="Arial" w:hAnsi="Arial"/>
                <w:color w:val="2C3240"/>
                <w:sz w:val="18"/>
                <w:szCs w:val="18"/>
              </w:rPr>
              <w:t xml:space="preserve">This section is the primary reference for all Claude Code implementation tasks. Read this before writing any code. These are invariants, not suggestions.</w:t>
            </w:r>
          </w:p>
        </w:tc>
      </w:tr>
    </w:tbl>
    <w:p>
      <w:pPr>
        <w:pStyle w:val="Heading2"/>
        <w:spacing w:after="100" w:before="300"/>
      </w:pPr>
      <w:r>
        <w:rPr>
          <w:rFonts w:ascii="Arial" w:cs="Arial" w:eastAsia="Arial" w:hAnsi="Arial"/>
          <w:b/>
          <w:bCs/>
          <w:color w:val="2C3240"/>
          <w:sz w:val="26"/>
          <w:szCs w:val="26"/>
        </w:rPr>
        <w:t xml:space="preserve">19.1  Division of Labour</w:t>
      </w:r>
    </w:p>
    <w:p>
      <w:pPr>
        <w:pStyle w:val="ListParagraph"/>
        <w:numPr>
          <w:ilvl w:val="0"/>
          <w:numId w:val="2"/>
        </w:numPr>
        <w:spacing w:after="40" w:before="40"/>
      </w:pPr>
      <w:r>
        <w:rPr>
          <w:rFonts w:ascii="Arial" w:cs="Arial" w:eastAsia="Arial" w:hAnsi="Arial"/>
          <w:color w:val="5C6475"/>
          <w:sz w:val="20"/>
          <w:szCs w:val="20"/>
        </w:rPr>
        <w:t xml:space="preserve">Claude Code handles all actual code implementation.</w:t>
      </w:r>
    </w:p>
    <w:p>
      <w:pPr>
        <w:pStyle w:val="ListParagraph"/>
        <w:numPr>
          <w:ilvl w:val="0"/>
          <w:numId w:val="2"/>
        </w:numPr>
        <w:spacing w:after="40" w:before="40"/>
      </w:pPr>
      <w:r>
        <w:rPr>
          <w:rFonts w:ascii="Arial" w:cs="Arial" w:eastAsia="Arial" w:hAnsi="Arial"/>
          <w:color w:val="5C6475"/>
          <w:sz w:val="20"/>
          <w:szCs w:val="20"/>
        </w:rPr>
        <w:t xml:space="preserve">Claude (conversation) handles strategy, design, product decisions, and writes prompts for Claude Code.</w:t>
      </w:r>
    </w:p>
    <w:p>
      <w:pPr>
        <w:pStyle w:val="ListParagraph"/>
        <w:numPr>
          <w:ilvl w:val="0"/>
          <w:numId w:val="2"/>
        </w:numPr>
        <w:spacing w:after="40" w:before="40"/>
      </w:pPr>
      <w:r>
        <w:rPr>
          <w:rFonts w:ascii="Arial" w:cs="Arial" w:eastAsia="Arial" w:hAnsi="Arial"/>
          <w:color w:val="5C6475"/>
          <w:sz w:val="20"/>
          <w:szCs w:val="20"/>
        </w:rPr>
        <w:t xml:space="preserve">Ollie reviews all outputs and provides correction lists. All changes must propagate consistently.</w:t>
      </w:r>
    </w:p>
    <w:p>
      <w:pPr>
        <w:pStyle w:val="ListParagraph"/>
        <w:numPr>
          <w:ilvl w:val="0"/>
          <w:numId w:val="2"/>
        </w:numPr>
        <w:spacing w:after="40" w:before="40"/>
      </w:pPr>
      <w:r>
        <w:rPr>
          <w:rFonts w:ascii="Arial" w:cs="Arial" w:eastAsia="Arial" w:hAnsi="Arial"/>
          <w:color w:val="5C6475"/>
          <w:sz w:val="20"/>
          <w:szCs w:val="20"/>
        </w:rPr>
        <w:t xml:space="preserve">One thing working completely before touching the next. Never leave a feature half-built.</w:t>
      </w:r>
    </w:p>
    <w:p>
      <w:pPr>
        <w:pStyle w:val="Heading2"/>
        <w:spacing w:after="100" w:before="300"/>
      </w:pPr>
      <w:r>
        <w:rPr>
          <w:rFonts w:ascii="Arial" w:cs="Arial" w:eastAsia="Arial" w:hAnsi="Arial"/>
          <w:b/>
          <w:bCs/>
          <w:color w:val="2C3240"/>
          <w:sz w:val="26"/>
          <w:szCs w:val="26"/>
        </w:rPr>
        <w:t xml:space="preserve">19.2  Build Principles</w:t>
      </w:r>
    </w:p>
    <w:p>
      <w:pPr>
        <w:pStyle w:val="ListParagraph"/>
        <w:numPr>
          <w:ilvl w:val="0"/>
          <w:numId w:val="2"/>
        </w:numPr>
        <w:spacing w:after="40" w:before="40"/>
      </w:pPr>
      <w:r>
        <w:rPr>
          <w:rFonts w:ascii="Arial" w:cs="Arial" w:eastAsia="Arial" w:hAnsi="Arial"/>
          <w:color w:val="5C6475"/>
          <w:sz w:val="20"/>
          <w:szCs w:val="20"/>
        </w:rPr>
        <w:t xml:space="preserve">Approval-first is non-negotiable. For any multi-step action, display the full numbered execution plan with confidence levels (High / Medium / Review) before anything executes.</w:t>
      </w:r>
    </w:p>
    <w:p>
      <w:pPr>
        <w:pStyle w:val="ListParagraph"/>
        <w:numPr>
          <w:ilvl w:val="0"/>
          <w:numId w:val="2"/>
        </w:numPr>
        <w:spacing w:after="40" w:before="40"/>
      </w:pPr>
      <w:r>
        <w:rPr>
          <w:rFonts w:ascii="Arial" w:cs="Arial" w:eastAsia="Arial" w:hAnsi="Arial"/>
          <w:color w:val="5C6475"/>
          <w:sz w:val="20"/>
          <w:szCs w:val="20"/>
        </w:rPr>
        <w:t xml:space="preserve">Partial execution failure must be communicated explicitly — never leave ambiguous state.</w:t>
      </w:r>
    </w:p>
    <w:p>
      <w:pPr>
        <w:pStyle w:val="ListParagraph"/>
        <w:numPr>
          <w:ilvl w:val="0"/>
          <w:numId w:val="2"/>
        </w:numPr>
        <w:spacing w:after="40" w:before="40"/>
      </w:pPr>
      <w:r>
        <w:rPr>
          <w:rFonts w:ascii="Arial" w:cs="Arial" w:eastAsia="Arial" w:hAnsi="Arial"/>
          <w:color w:val="5C6475"/>
          <w:sz w:val="20"/>
          <w:szCs w:val="20"/>
        </w:rPr>
        <w:t>The EmailProvider / CalendarProvider / AccountingProvider interfaces MUST be built before any provider-specific code. Gmail and Microsoft Outlook must both sit behind those interfaces; workers must never contain Gmail-only assumptions.</w:t>
      </w:r>
    </w:p>
    <w:p>
      <w:pPr>
        <w:pStyle w:val="ListParagraph"/>
        <w:numPr>
          <w:ilvl w:val="0"/>
          <w:numId w:val="2"/>
        </w:numPr>
        <w:spacing w:after="40" w:before="40"/>
      </w:pPr>
      <w:r>
        <w:rPr>
          <w:rFonts w:ascii="Arial" w:cs="Arial" w:eastAsia="Arial" w:hAnsi="Arial"/>
          <w:color w:val="5C6475"/>
          <w:sz w:val="20"/>
          <w:szCs w:val="20"/>
        </w:rPr>
        <w:t xml:space="preserve">Credentials live in environment variables only. Never hardcoded. Never pasted anywhere. This includes Brave Search API key, Twilio/SMS keys, and all OAuth tokens.</w:t>
      </w:r>
    </w:p>
    <w:p>
      <w:pPr>
        <w:pStyle w:val="ListParagraph"/>
        <w:numPr>
          <w:ilvl w:val="0"/>
          <w:numId w:val="2"/>
        </w:numPr>
        <w:spacing w:after="40" w:before="40"/>
      </w:pPr>
      <w:r>
        <w:rPr>
          <w:rFonts w:ascii="Arial" w:cs="Arial" w:eastAsia="Arial" w:hAnsi="Arial"/>
          <w:color w:val="5C6475"/>
          <w:sz w:val="20"/>
          <w:szCs w:val="20"/>
        </w:rPr>
        <w:t xml:space="preserve">Per-customer AI + search cost must be tracked from Week 3 of the build.</w:t>
      </w:r>
    </w:p>
    <w:p>
      <w:pPr>
        <w:pStyle w:val="ListParagraph"/>
        <w:numPr>
          <w:ilvl w:val="0"/>
          <w:numId w:val="2"/>
        </w:numPr>
        <w:spacing w:after="40" w:before="40"/>
      </w:pPr>
      <w:r>
        <w:rPr>
          <w:rFonts w:ascii="Arial" w:cs="Arial" w:eastAsia="Arial" w:hAnsi="Arial"/>
          <w:color w:val="5C6475"/>
          <w:sz w:val="20"/>
          <w:szCs w:val="20"/>
        </w:rPr>
        <w:t xml:space="preserve">Research Worker is async-only via BullMQ. Never blocks the main request thread.</w:t>
      </w:r>
    </w:p>
    <w:p>
      <w:pPr>
        <w:pStyle w:val="ListParagraph"/>
        <w:numPr>
          <w:ilvl w:val="0"/>
          <w:numId w:val="2"/>
        </w:numPr>
        <w:spacing w:after="40" w:before="40"/>
      </w:pPr>
      <w:r>
        <w:rPr>
          <w:rFonts w:ascii="Arial" w:cs="Arial" w:eastAsia="Arial" w:hAnsi="Arial"/>
          <w:color w:val="5C6475"/>
          <w:sz w:val="20"/>
          <w:szCs w:val="20"/>
        </w:rPr>
        <w:t xml:space="preserve">All research outputs are Tier 3 minimum. The system must enforce this at the Worker level, not just at UI level.</w:t>
      </w:r>
    </w:p>
    <w:p>
      <w:pPr>
        <w:pStyle w:val="ListParagraph"/>
        <w:numPr>
          <w:ilvl w:val="0"/>
          <w:numId w:val="2"/>
        </w:numPr>
        <w:spacing w:after="40" w:before="40"/>
      </w:pPr>
      <w:r>
        <w:rPr>
          <w:rFonts w:ascii="Arial" w:cs="Arial" w:eastAsia="Arial" w:hAnsi="Arial"/>
          <w:color w:val="5C6475"/>
          <w:sz w:val="20"/>
          <w:szCs w:val="20"/>
        </w:rPr>
        <w:t xml:space="preserve">Google OAuth verification: start at Week 1, not Week 9.</w:t>
      </w:r>
    </w:p>
    <w:p>
      <w:pPr>
        <w:pStyle w:val="Heading2"/>
        <w:spacing w:after="100" w:before="300"/>
      </w:pPr>
      <w:r>
        <w:rPr>
          <w:rFonts w:ascii="Arial" w:cs="Arial" w:eastAsia="Arial" w:hAnsi="Arial"/>
          <w:b/>
          <w:bCs/>
          <w:color w:val="2C3240"/>
          <w:sz w:val="26"/>
          <w:szCs w:val="26"/>
        </w:rPr>
        <w:t xml:space="preserve">19.3  Brand in Code</w:t>
      </w:r>
    </w:p>
    <w:p>
      <w:pPr>
        <w:pStyle w:val="ListParagraph"/>
        <w:numPr>
          <w:ilvl w:val="0"/>
          <w:numId w:val="2"/>
        </w:numPr>
        <w:spacing w:after="40" w:before="40"/>
      </w:pPr>
      <w:r>
        <w:rPr>
          <w:rFonts w:ascii="Arial" w:cs="Arial" w:eastAsia="Arial" w:hAnsi="Arial"/>
          <w:color w:val="5C6475"/>
          <w:sz w:val="20"/>
          <w:szCs w:val="20"/>
        </w:rPr>
        <w:t xml:space="preserve">Colour token reference: olivander_colour_scheme_v2.html is authoritative. Do not use PRD swatches.</w:t>
      </w:r>
    </w:p>
    <w:p>
      <w:pPr>
        <w:pStyle w:val="ListParagraph"/>
        <w:numPr>
          <w:ilvl w:val="0"/>
          <w:numId w:val="2"/>
        </w:numPr>
        <w:spacing w:after="40" w:before="40"/>
      </w:pPr>
      <w:r>
        <w:rPr>
          <w:rFonts w:ascii="Arial" w:cs="Arial" w:eastAsia="Arial" w:hAnsi="Arial"/>
          <w:color w:val="5C6475"/>
          <w:sz w:val="20"/>
          <w:szCs w:val="20"/>
        </w:rPr>
        <w:t xml:space="preserve">Primary action colour is #5A4FD0 (Olivander Purple). Not Accent Blue from PRD v4.</w:t>
      </w:r>
    </w:p>
    <w:p>
      <w:pPr>
        <w:pStyle w:val="ListParagraph"/>
        <w:numPr>
          <w:ilvl w:val="0"/>
          <w:numId w:val="2"/>
        </w:numPr>
        <w:spacing w:after="40" w:before="40"/>
      </w:pPr>
      <w:r>
        <w:rPr>
          <w:rFonts w:ascii="Arial" w:cs="Arial" w:eastAsia="Arial" w:hAnsi="Arial"/>
          <w:color w:val="5C6475"/>
          <w:sz w:val="20"/>
          <w:szCs w:val="20"/>
        </w:rPr>
        <w:t xml:space="preserve">Fonts: Fraunces 700 for display/headings/wordmark. DM Sans 400/500/600 for all UI text.</w:t>
      </w:r>
    </w:p>
    <w:p>
      <w:pPr>
        <w:pStyle w:val="ListParagraph"/>
        <w:numPr>
          <w:ilvl w:val="0"/>
          <w:numId w:val="2"/>
        </w:numPr>
        <w:spacing w:after="40" w:before="40"/>
      </w:pPr>
      <w:r>
        <w:rPr>
          <w:rFonts w:ascii="Arial" w:cs="Arial" w:eastAsia="Arial" w:hAnsi="Arial"/>
          <w:color w:val="5C6475"/>
          <w:sz w:val="20"/>
          <w:szCs w:val="20"/>
        </w:rPr>
        <w:t xml:space="preserve">No drop shadows, no gradients, no white card backgrounds (use #FDFAF4).</w:t>
      </w:r>
    </w:p>
    <w:p>
      <w:pPr>
        <w:pStyle w:val="ListParagraph"/>
        <w:numPr>
          <w:ilvl w:val="0"/>
          <w:numId w:val="2"/>
        </w:numPr>
        <w:spacing w:after="40" w:before="40"/>
      </w:pPr>
      <w:r>
        <w:rPr>
          <w:rFonts w:ascii="Arial" w:cs="Arial" w:eastAsia="Arial" w:hAnsi="Arial"/>
          <w:color w:val="5C6475"/>
          <w:sz w:val="20"/>
          <w:szCs w:val="20"/>
        </w:rPr>
        <w:t xml:space="preserve">The "O" in Olivander is always #5A4FD0 in the wordmark.</w:t>
      </w:r>
    </w:p>
    <w:p>
      <w:pPr>
        <w:pStyle w:val="ListParagraph"/>
        <w:numPr>
          <w:ilvl w:val="0"/>
          <w:numId w:val="2"/>
        </w:numPr>
        <w:spacing w:after="40" w:before="40"/>
      </w:pPr>
      <w:r>
        <w:rPr>
          <w:rFonts w:ascii="Arial" w:cs="Arial" w:eastAsia="Arial" w:hAnsi="Arial"/>
          <w:color w:val="5C6475"/>
          <w:sz w:val="20"/>
          <w:szCs w:val="20"/>
        </w:rPr>
        <w:t xml:space="preserve">Wand logo tip communicates agent state via glow animations. Flick fires at task start; glow ignites at 440ms after wand settles.</w:t>
      </w:r>
    </w:p>
    <w:p>
      <w:pPr>
        <w:pStyle w:val="Heading2"/>
        <w:spacing w:after="100" w:before="300"/>
      </w:pPr>
      <w:r>
        <w:rPr>
          <w:rFonts w:ascii="Arial" w:cs="Arial" w:eastAsia="Arial" w:hAnsi="Arial"/>
          <w:b/>
          <w:bCs/>
          <w:color w:val="2C3240"/>
          <w:sz w:val="26"/>
          <w:szCs w:val="26"/>
        </w:rPr>
        <w:t xml:space="preserve">19.4  Worker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560"/>
      </w:tblGrid>
      <w:tr>
        <w:tc>
          <w:tcPr>
            <w:tcW w:type="dxa" w:w="18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Worker</w:t>
            </w:r>
          </w:p>
        </w:tc>
        <w:tc>
          <w:tcPr>
            <w:tcW w:type="dxa" w:w="30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Triggers</w:t>
            </w:r>
          </w:p>
        </w:tc>
        <w:tc>
          <w:tcPr>
            <w:tcW w:type="dxa" w:w="456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7"/>
                <w:szCs w:val="17"/>
              </w:rPr>
              <w:t xml:space="preserve">Key responsibilities</w:t>
            </w:r>
          </w:p>
        </w:tc>
      </w:tr>
      <w:tr>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Email Worker</w:t>
            </w:r>
          </w:p>
        </w:tc>
        <w:tc>
          <w:tcPr>
            <w:tcW w:type="dxa" w:w="30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Gmail/Outlook push webhook</w:t>
            </w:r>
          </w:p>
        </w:tc>
        <w:tc>
          <w:tcPr>
            <w:tcW w:type="dxa" w:w="45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Fetch thread, classify, memory lookup, draft reply, queue action</w:t>
            </w:r>
          </w:p>
        </w:tc>
      </w:tr>
      <w:tr>
        <w:tc>
          <w:tcPr>
            <w:tcW w:type="dxa" w:w="1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Calendar Worker</w:t>
            </w:r>
          </w:p>
        </w:tc>
        <w:tc>
          <w:tcPr>
            <w:tcW w:type="dxa" w:w="30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Calendar push webhook, email classification</w:t>
            </w:r>
          </w:p>
        </w:tc>
        <w:tc>
          <w:tcPr>
            <w:tcW w:type="dxa" w:w="45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Availability check, slot proposal, event creation, reminders</w:t>
            </w:r>
          </w:p>
        </w:tc>
      </w:tr>
      <w:tr>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Finance Worker</w:t>
            </w:r>
          </w:p>
        </w:tc>
        <w:tc>
          <w:tcPr>
            <w:tcW w:type="dxa" w:w="30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Owner instruction, calendar completion event</w:t>
            </w:r>
          </w:p>
        </w:tc>
        <w:tc>
          <w:tcPr>
            <w:tcW w:type="dxa" w:w="45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Invoice creation, quote generation, live Xero verification, chaser logic</w:t>
            </w:r>
          </w:p>
        </w:tc>
      </w:tr>
      <w:tr>
        <w:tc>
          <w:tcPr>
            <w:tcW w:type="dxa" w:w="1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Expense Worker</w:t>
            </w:r>
          </w:p>
        </w:tc>
        <w:tc>
          <w:tcPr>
            <w:tcW w:type="dxa" w:w="30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Photo upload via app or Telegram</w:t>
            </w:r>
          </w:p>
        </w:tc>
        <w:tc>
          <w:tcPr>
            <w:tcW w:type="dxa" w:w="45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OCR/vision extraction, category classification, Xero expense draft</w:t>
            </w:r>
          </w:p>
        </w:tc>
      </w:tr>
      <w:tr>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Rostering Worker</w:t>
            </w:r>
          </w:p>
        </w:tc>
        <w:tc>
          <w:tcPr>
            <w:tcW w:type="dxa" w:w="30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Daily schedule check, owner instruction</w:t>
            </w:r>
          </w:p>
        </w:tc>
        <w:tc>
          <w:tcPr>
            <w:tcW w:type="dxa" w:w="45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Availability check, gap detection, staff notification drafts</w:t>
            </w:r>
          </w:p>
        </w:tc>
      </w:tr>
      <w:tr>
        <w:tc>
          <w:tcPr>
            <w:tcW w:type="dxa" w:w="1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SMS Worker</w:t>
            </w:r>
          </w:p>
        </w:tc>
        <w:tc>
          <w:tcPr>
            <w:tcW w:type="dxa" w:w="30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Incoming SMS webhook (Twilio/Burst)</w:t>
            </w:r>
          </w:p>
        </w:tc>
        <w:tc>
          <w:tcPr>
            <w:tcW w:type="dxa" w:w="45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Classification, routing to email pipeline, missed call auto-reply</w:t>
            </w:r>
          </w:p>
        </w:tc>
      </w:tr>
      <w:tr>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Research Worker</w:t>
            </w:r>
          </w:p>
        </w:tc>
        <w:tc>
          <w:tcPr>
            <w:tcW w:type="dxa" w:w="30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Owner instruction, scheduled triggers (weekly/monthly)</w:t>
            </w:r>
          </w:p>
        </w:tc>
        <w:tc>
          <w:tcPr>
            <w:tcW w:type="dxa" w:w="45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Brave Search queries, synthesis, lead extraction, competitor monitoring</w:t>
            </w:r>
          </w:p>
        </w:tc>
      </w:tr>
      <w:tr>
        <w:tc>
          <w:tcPr>
            <w:tcW w:type="dxa" w:w="18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Review Worker</w:t>
            </w:r>
          </w:p>
        </w:tc>
        <w:tc>
          <w:tcPr>
            <w:tcW w:type="dxa" w:w="30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Xero PAID event, Google My Business webhook</w:t>
            </w:r>
          </w:p>
        </w:tc>
        <w:tc>
          <w:tcPr>
            <w:tcW w:type="dxa" w:w="456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Review request draft, review response draft, escalation for negative</w:t>
            </w:r>
          </w:p>
        </w:tc>
      </w:tr>
      <w:tr>
        <w:tc>
          <w:tcPr>
            <w:tcW w:type="dxa" w:w="18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Intelligence Worker</w:t>
            </w:r>
          </w:p>
        </w:tc>
        <w:tc>
          <w:tcPr>
            <w:tcW w:type="dxa" w:w="300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Nightly scheduled job</w:t>
            </w:r>
          </w:p>
        </w:tc>
        <w:tc>
          <w:tcPr>
            <w:tcW w:type="dxa" w:w="45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7"/>
                <w:szCs w:val="17"/>
              </w:rPr>
              <w:t xml:space="preserve">Pattern detection, alert generation, digest composition</w:t>
            </w:r>
          </w:p>
        </w:tc>
      </w:tr>
    </w:tbl>
    <w:p>
      <w:pPr>
        <w:pStyle w:val="Heading2"/>
        <w:spacing w:after="100" w:before="300"/>
      </w:pPr>
      <w:r>
        <w:rPr>
          <w:rFonts w:ascii="Arial" w:cs="Arial" w:eastAsia="Arial" w:hAnsi="Arial"/>
          <w:b/>
          <w:bCs/>
          <w:color w:val="2C3240"/>
          <w:sz w:val="26"/>
          <w:szCs w:val="26"/>
        </w:rPr>
        <w:t xml:space="preserve">19.5  Active Issues (April 2026)</w:t>
      </w:r>
    </w:p>
    <w:p>
      <w:pPr>
        <w:pStyle w:val="ListParagraph"/>
        <w:numPr>
          <w:ilvl w:val="0"/>
          <w:numId w:val="2"/>
        </w:numPr>
        <w:spacing w:after="40" w:before="40"/>
      </w:pPr>
      <w:r>
        <w:rPr>
          <w:rFonts w:ascii="Arial" w:cs="Arial" w:eastAsia="Arial" w:hAnsi="Arial"/>
          <w:color w:val="5C6475"/>
          <w:sz w:val="20"/>
          <w:szCs w:val="20"/>
        </w:rPr>
        <w:t xml:space="preserve">Google OAuth flow — invalid_request error. Next: check Railway logs. Inspect OAuth consent screen scope configuration. Validate redirect URI matches exactly.</w:t>
      </w:r>
    </w:p>
    <w:p>
      <w:pPr>
        <w:pStyle w:val="ListParagraph"/>
        <w:numPr>
          <w:ilvl w:val="0"/>
          <w:numId w:val="2"/>
        </w:numPr>
        <w:spacing w:after="40" w:before="40"/>
      </w:pPr>
      <w:r>
        <w:rPr>
          <w:rFonts w:ascii="Arial" w:cs="Arial" w:eastAsia="Arial" w:hAnsi="Arial"/>
          <w:color w:val="5C6475"/>
          <w:sz w:val="20"/>
          <w:szCs w:val="20"/>
        </w:rPr>
        <w:t xml:space="preserve">Gmail OAuth integration deliberately deferred — more product substance needed first.</w:t>
      </w:r>
    </w:p>
    <w:p>
      <w:pPr>
        <w:pStyle w:val="ListParagraph"/>
        <w:numPr>
          <w:ilvl w:val="0"/>
          <w:numId w:val="2"/>
        </w:numPr>
        <w:spacing w:after="40" w:before="40"/>
      </w:pPr>
      <w:r>
        <w:rPr>
          <w:rFonts w:ascii="Arial" w:cs="Arial" w:eastAsia="Arial" w:hAnsi="Arial"/>
          <w:color w:val="5C6475"/>
          <w:sz w:val="20"/>
          <w:szCs w:val="20"/>
        </w:rPr>
        <w:t xml:space="preserve">pgvector RAG system (768-dim) configured in Supabase but deferred post-MVP.</w:t>
      </w:r>
    </w:p>
    <w:p>
      <w:pPr>
        <w:pStyle w:val="ListParagraph"/>
        <w:numPr>
          <w:ilvl w:val="0"/>
          <w:numId w:val="2"/>
        </w:numPr>
        <w:spacing w:after="40" w:before="40"/>
      </w:pPr>
      <w:r>
        <w:rPr>
          <w:rFonts w:ascii="Arial" w:cs="Arial" w:eastAsia="Arial" w:hAnsi="Arial"/>
          <w:color w:val="5C6475"/>
          <w:sz w:val="20"/>
          <w:szCs w:val="20"/>
        </w:rPr>
        <w:t xml:space="preserve">Provider abstraction interfaces (EmailProvider, CalendarProvider, AccountingProvider) — build these BEFORE writing any Gmail-specific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ED9D0" w:sz="4"/>
              <w:left w:val="single" w:color="DED9D0" w:sz="4"/>
              <w:bottom w:val="single" w:color="DED9D0" w:sz="4"/>
              <w:right w:val="single" w:color="DED9D0" w:sz="4"/>
            </w:tcBorders>
            <w:shd w:fill="EDE6D8" w:val="clear"/>
            <w:tcMar>
              <w:top w:type="dxa" w:w="120"/>
              <w:left w:type="dxa" w:w="160"/>
              <w:bottom w:type="dxa" w:w="120"/>
              <w:right w:type="dxa" w:w="160"/>
            </w:tcMar>
          </w:tcPr>
          <w:p>
            <w:pPr>
              <w:spacing w:after="0" w:before="0"/>
            </w:pPr>
            <w:r>
              <w:rPr>
                <w:rFonts w:ascii="Arial" w:cs="Arial" w:eastAsia="Arial" w:hAnsi="Arial"/>
                <w:b/>
                <w:bCs/>
                <w:color w:val="2C3240"/>
                <w:sz w:val="18"/>
                <w:szCs w:val="18"/>
              </w:rPr>
              <w:t xml:space="preserve">BUILD  </w:t>
            </w:r>
            <w:r>
              <w:rPr>
                <w:rFonts w:ascii="Arial" w:cs="Arial" w:eastAsia="Arial" w:hAnsi="Arial"/>
                <w:color w:val="2C3240"/>
                <w:sz w:val="18"/>
                <w:szCs w:val="18"/>
              </w:rPr>
              <w:t xml:space="preserve">Once the OAuth issue is resolved: (1) Build provider abstraction interfaces. (2) Implement GmailProvider. (3) Extend Supabase schema for staff, supplier, and lead pipeline tables. (4) Complete Gmail push webhook pipeline. (5) Quote generation workflow. Only then start Calendar and Finance workflows.</w:t>
            </w:r>
          </w:p>
        </w:tc>
      </w:tr>
    </w:tbl>
    <w:p>
      <w:pPr>
        <w:spacing w:after="0" w:before="200"/>
      </w:pPr>
      <w:r>
        <w:rPr>
          <w:rFonts w:ascii="Arial" w:cs="Arial" w:eastAsia="Arial" w:hAnsi="Arial"/>
          <w:color w:val="2C324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A4FD0" w:sz="4"/>
              <w:left w:val="single" w:color="5A4FD0" w:sz="4"/>
              <w:bottom w:val="single" w:color="5A4FD0" w:sz="4"/>
              <w:right w:val="single" w:color="5A4FD0" w:sz="4"/>
            </w:tcBorders>
            <w:shd w:fill="EDE9FF" w:val="clear"/>
            <w:tcMar>
              <w:top w:type="dxa" w:w="200"/>
              <w:left w:type="dxa" w:w="240"/>
              <w:bottom w:type="dxa" w:w="200"/>
              <w:right w:type="dxa" w:w="240"/>
            </w:tcMar>
          </w:tcPr>
          <w:p>
            <w:pPr>
              <w:spacing w:after="80" w:before="0"/>
            </w:pPr>
            <w:r>
              <w:rPr>
                <w:rFonts w:ascii="Arial" w:cs="Arial" w:eastAsia="Arial" w:hAnsi="Arial"/>
                <w:b/>
                <w:bCs/>
                <w:color w:val="5A4FD0"/>
                <w:sz w:val="26"/>
                <w:szCs w:val="26"/>
              </w:rPr>
              <w:t xml:space="preserve">What This Product Is</w:t>
            </w:r>
          </w:p>
          <w:p>
            <w:pPr>
              <w:spacing w:after="0" w:before="0"/>
            </w:pPr>
            <w:r>
              <w:rPr>
                <w:rFonts w:ascii="Arial" w:cs="Arial" w:eastAsia="Arial" w:hAnsi="Arial"/>
                <w:color w:val="2C3240"/>
                <w:sz w:val="20"/>
                <w:szCs w:val="20"/>
              </w:rPr>
              <w:t xml:space="preserve">Olivander is not a workflow builder. It is not a chatbot. It is the AI operations layer that gets to know a business the way a great executive assistant does — by being present, watching what the owner does, learning what matters, and quietly taking over the work that does not require the owner's expertise. Now it also goes further: it looks outward, researches the market, finds the next clients, monitors the competition, and tells the owner what they would never have had time to notice. The path to millions is not a product launch. It is 20 customers in Queenstown who cannot imagine going back. Then 50 across the South Island. Then the compounding of memory, referrals, and switching costs does the work.</w:t>
            </w:r>
          </w:p>
        </w:tc>
      </w:tr>
    </w:tbl>
    <w:p>
      <w:pPr>
        <w:spacing w:after="0" w:before="80"/>
      </w:pPr>
      <w:r>
        <w:rPr>
          <w:rFonts w:ascii="Arial" w:cs="Arial" w:eastAsia="Arial" w:hAnsi="Arial"/>
          <w:color w:val="2C3240"/>
          <w:sz w:val="20"/>
          <w:szCs w:val="20"/>
        </w:rPr>
        <w:t xml:space="preserve"/>
      </w:r>
    </w:p>
    <w:p>
      <w:pPr>
        <w:spacing w:after="0" w:before="0"/>
      </w:pPr>
      <w:r>
        <w:rPr>
          <w:rFonts w:ascii="Arial" w:cs="Arial" w:eastAsia="Arial" w:hAnsi="Arial"/>
          <w:color w:val="8C93A4"/>
          <w:sz w:val="16"/>
          <w:szCs w:val="16"/>
        </w:rPr>
        <w:t xml:space="preserve">OLIVANDER  ·  PRD v6.0  ·  April 2026  ·  Queenstown, New Zealand  ·  Confidential</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ED9D0" w:sz="4" w:space="4"/>
      </w:pBdr>
      <w:spacing w:after="0" w:before="80"/>
    </w:pPr>
    <w:r>
      <w:rPr>
        <w:rFonts w:ascii="Arial" w:cs="Arial" w:eastAsia="Arial" w:hAnsi="Arial"/>
        <w:color w:val="8C93A4"/>
        <w:sz w:val="16"/>
        <w:szCs w:val="16"/>
      </w:rPr>
      <w:t xml:space="preserve">Olivander  ·  PRD v6.0  ·  April 2026  ·  Queenstown, New Zealand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ED9D0" w:sz="4" w:space="4"/>
      </w:pBdr>
      <w:spacing w:after="80" w:before="0"/>
    </w:pPr>
    <w:r>
      <w:rPr>
        <w:rFonts w:ascii="Arial" w:cs="Arial" w:eastAsia="Arial" w:hAnsi="Arial"/>
        <w:b/>
        <w:bCs/>
        <w:color w:val="5A4FD0"/>
        <w:sz w:val="18"/>
        <w:szCs w:val="18"/>
      </w:rPr>
      <w:t xml:space="preserve">O</w:t>
    </w:r>
    <w:r>
      <w:rPr>
        <w:rFonts w:ascii="Arial" w:cs="Arial" w:eastAsia="Arial" w:hAnsi="Arial"/>
        <w:b/>
        <w:bCs/>
        <w:color w:val="2C3240"/>
        <w:sz w:val="18"/>
        <w:szCs w:val="18"/>
      </w:rPr>
      <w:t xml:space="preserve">LIVANDER</w:t>
    </w:r>
    <w:r>
      <w:rPr>
        <w:rFonts w:ascii="Arial" w:cs="Arial" w:eastAsia="Arial" w:hAnsi="Arial"/>
        <w:color w:val="8C93A4"/>
        <w:sz w:val="18"/>
        <w:szCs w:val="18"/>
      </w:rPr>
      <w:t xml:space="preserve">  ·  Product Requirements Document v6.0  ·  April 2026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40"/>
      <w:outlineLvl w:val="0"/>
    </w:pPr>
    <w:rPr>
      <w:rFonts w:ascii="Arial" w:cs="Arial" w:eastAsia="Arial" w:hAnsi="Arial"/>
      <w:b/>
      <w:bCs/>
      <w:color w:val="2C3240"/>
      <w:sz w:val="36"/>
      <w:szCs w:val="36"/>
    </w:rPr>
  </w:style>
  <w:style w:type="paragraph" w:styleId="Heading2">
    <w:name w:val="Heading 2"/>
    <w:basedOn w:val="Normal"/>
    <w:next w:val="Normal"/>
    <w:qFormat/>
    <w:pPr>
      <w:spacing w:after="100" w:before="300"/>
      <w:outlineLvl w:val="1"/>
    </w:pPr>
    <w:rPr>
      <w:rFonts w:ascii="Arial" w:cs="Arial" w:eastAsia="Arial" w:hAnsi="Arial"/>
      <w:b/>
      <w:bCs/>
      <w:color w:val="2C3240"/>
      <w:sz w:val="26"/>
      <w:szCs w:val="26"/>
    </w:rPr>
  </w:style>
  <w:style w:type="paragraph" w:styleId="Heading3">
    <w:name w:val="Heading 3"/>
    <w:basedOn w:val="Normal"/>
    <w:next w:val="Normal"/>
    <w:qFormat/>
    <w:pPr>
      <w:spacing w:after="80" w:before="200"/>
      <w:outlineLvl w:val="2"/>
    </w:pPr>
    <w:rPr>
      <w:rFonts w:ascii="Arial" w:cs="Arial" w:eastAsia="Arial" w:hAnsi="Arial"/>
      <w:b/>
      <w:bCs/>
      <w:color w:val="5A4FD0"/>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2026-04-21T09:12:24.732Z</dcterms:created>
  <dcterms:modified xsi:type="dcterms:W3CDTF">2026-04-21T09:12:24.790Z</dcterms:modified>
</cp:coreProperties>
</file>

<file path=docProps/custom.xml><?xml version="1.0" encoding="utf-8"?>
<Properties xmlns="http://schemas.openxmlformats.org/officeDocument/2006/custom-properties" xmlns:vt="http://schemas.openxmlformats.org/officeDocument/2006/docPropsVTypes"/>
</file>