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Proposição de Funcionalidades Agregadas (Quick Wins) para a Extensão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base na análise detalhada das ferramentas de acessibilidade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Axe DevTools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Lighthouse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foram identificadas funcionalidades que, com um esforço de desenvolvimento relativamente baixo, podem agregar valor significativo à sua extensão, tornando-a mais intuitiva e eficaz para o desenvolvedor brasileiro.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Destaque Visual de Problemas (Visual Highlighting)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das funcionalidades mais impactantes do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WAVE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é a capacidade de injetar ícones e indicadores visuais diretamente na página web, apontando para os elementos que possuem problemas de acessibilidade. Isso permite que o desenvolvedor visualize instantaneamente a localização exata do erro no contexto do layout, sem precisar alternar entre diferentes painéis ou ferramentas.</w:t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agregar à extensão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Ao detectar um problema (ex: falta de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alt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em imagem, baixo contraste), a extensão pode adicionar um pequeno ícone ou uma borda colorida ao redor do elemento afetado. Um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tooltip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ao passar o mouse sobre o ícone poderia exibir a descrição do problema e a referência à NBR 17225.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Facilita a identificação e correção rápida dos problemas, melhorando a experiência do usuário da extensão.</w:t>
      </w:r>
    </w:p>
    <w:p w:rsidR="00000000" w:rsidDel="00000000" w:rsidP="00000000" w:rsidRDefault="00000000" w:rsidRPr="00000000" w14:paraId="0000000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Painel de Detalhes e Sugestões de Correção Contextualizadas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Axe DevTools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 destaca por fornecer não apenas a identificação do problema, mas também um painel detalhado com a descrição do erro, sua relevância para a acessibilidade e, crucialmente, 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sugestões de correção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(remediation advice). O Lighthouse, por sua vez, integra essas sugestões em seu relatório.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agregar à extensão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Ao clicar no ícone de destaque visual (proposto no item 1) ou em uma lista de problemas, a extensão poderia abrir um painel lateral ou um pop-up com: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item da NBR 17225 violado (ex: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5.2.1 - Texto alternativo para imagens de conteúdo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Uma breve explicação do porquê é um problema.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1440" w:right="0" w:hanging="360"/>
        <w:jc w:val="both"/>
        <w:rPr>
          <w:sz w:val="24"/>
          <w:szCs w:val="24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Exemplos de código ou orientações práticas para a correção, alinhadas com as melhores práticas de desenvolvimento web.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Transforma a extensão de um mero </w:t>
        <w:br w:type="textWrapping"/>
        <w:t xml:space="preserve">detector de erros para uma ferramenta educacional e de suporte ao desenvolvedor.</w:t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Simulação de Visão (Color Blindness/Blur Simulation)</w:t>
      </w:r>
    </w:p>
    <w:p w:rsidR="00000000" w:rsidDel="00000000" w:rsidP="00000000" w:rsidRDefault="00000000" w:rsidRPr="00000000" w14:paraId="0000001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Algumas ferramentas e extensões de acessibilidade (embora não diretamente o Lighthouse ou Axe em sua interface principal, mas plugins relacionados ou recursos do DevTools) oferecem simulações de deficiências visuais, como daltonismo (vários tipos) e baixa visão (blur). Isso permite que o desenvolvedor experimente a página como um usuário com essas condições.</w:t>
      </w:r>
    </w:p>
    <w:p w:rsidR="00000000" w:rsidDel="00000000" w:rsidP="00000000" w:rsidRDefault="00000000" w:rsidRPr="00000000" w14:paraId="0000001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agregar à extensão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Adicionar um menu simples na extensão que permita ao usuário aplicar filtros de CSS ou SVG para simular diferentes tipos de daltonismo (protanopia, deuteranopia, tritanopia) e/ou um filtro de desfoque (blur) para simular baixa visão. Isso pode ser feito injetando estilos na página.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Ajuda o desenvolvedor a ter empatia e a identificar problemas de design que afetam a percepção visual, como contraste insuficiente ou uso exclusivo de cores para transmitir informações, complementando as verificações automáticas.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Exportação Simplificada de Relatórios</w:t>
      </w:r>
    </w:p>
    <w:p w:rsidR="00000000" w:rsidDel="00000000" w:rsidP="00000000" w:rsidRDefault="00000000" w:rsidRPr="00000000" w14:paraId="0000001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Ferramentas como o Lighthouse geram relatórios completos em HTML, e o Axe-core pode exportar resultados em JSON. A capacidade de exportar os resultados de forma estruturada é fundamental para documentação, acompanhamento e integração em fluxos de trabalho de desenvolvimento.</w:t>
      </w:r>
    </w:p>
    <w:p w:rsidR="00000000" w:rsidDel="00000000" w:rsidP="00000000" w:rsidRDefault="00000000" w:rsidRPr="00000000" w14:paraId="0000001D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agregar à extensão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Implementação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Oferecer opções de exportação dos resultados da auditoria da extensão em formatos como JSON ou CSV. O JSON seria útil para integração com outras ferramentas ou scripts, enquanto o CSV seria ideal para análise em planilhas (como o Google Sheets) ou para criar relatórios personalizados.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720" w:right="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Benefício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Permite que os desenvolvedores integrem a extensão em seus processos de CI/CD (Integração Contínua/Entrega Contínua) e gerenciem os problemas de acessibilidade de forma mais eficiente, além de facilitar a documentação para o TCC II.</w:t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Conclusão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36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incorporar essas funcionalidades, a extensão não apenas cumprirá seu papel de validar a conformidade com a NBR 17225, mas também se tornará uma ferramenta mais robusta, amigável e integrada ao fluxo de trabalho do desenvolvedor, oferecendo insights visuais e práticos para a correção de problemas de acessibilidade.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◦"/>
      <w:lvlJc w:val="left"/>
      <w:pPr>
        <w:ind w:left="1440" w:hanging="360"/>
      </w:pPr>
      <w:rPr/>
    </w:lvl>
    <w:lvl w:ilvl="2">
      <w:start w:val="1"/>
      <w:numFmt w:val="bullet"/>
      <w:lvlText w:val="•"/>
      <w:lvlJc w:val="left"/>
      <w:pPr>
        <w:ind w:left="2160" w:hanging="360"/>
      </w:pPr>
      <w:rPr/>
    </w:lvl>
    <w:lvl w:ilvl="3">
      <w:start w:val="1"/>
      <w:numFmt w:val="bullet"/>
      <w:lvlText w:val="◦"/>
      <w:lvlJc w:val="left"/>
      <w:pPr>
        <w:ind w:left="2880" w:hanging="360"/>
      </w:pPr>
      <w:rPr/>
    </w:lvl>
    <w:lvl w:ilvl="4">
      <w:start w:val="1"/>
      <w:numFmt w:val="bullet"/>
      <w:lvlText w:val="•"/>
      <w:lvlJc w:val="left"/>
      <w:pPr>
        <w:ind w:left="3600" w:hanging="360"/>
      </w:pPr>
      <w:rPr/>
    </w:lvl>
    <w:lvl w:ilvl="5">
      <w:start w:val="1"/>
      <w:numFmt w:val="bullet"/>
      <w:lvlText w:val="◦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color="0563c1"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MdSpace">
    <w:name w:val="MdSpace"/>
    <w:basedOn w:val="Normal"/>
    <w:next w:val="Normal"/>
    <w:qFormat w:val="1"/>
    <w:pPr>
      <w:spacing w:after="0" w:before="0"/>
    </w:pPr>
    <w:rPr>
      <w:sz w:val="12"/>
      <w:szCs w:val="12"/>
    </w:rPr>
  </w:style>
  <w:style w:type="paragraph" w:styleId="MdCode">
    <w:name w:val="MdCode"/>
    <w:basedOn w:val="Normal"/>
    <w:next w:val="Normal"/>
    <w:qFormat w:val="1"/>
    <w:pPr>
      <w:pBdr>
        <w:top w:color="a5a5a5" w:space="8" w:sz="1" w:val="single"/>
        <w:left w:color="a5a5a5" w:space="8" w:sz="1" w:val="single"/>
        <w:bottom w:color="a5a5a5" w:space="8" w:sz="1" w:val="single"/>
        <w:right w:color="a5a5a5" w:space="8" w:sz="1" w:val="single"/>
      </w:pBdr>
      <w:spacing w:after="200" w:before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 w:val="1"/>
    <w:pPr>
      <w:pBdr>
        <w:bottom w:color="a5a5a5" w:space="1" w:sz="1" w:val="single"/>
      </w:pBdr>
      <w:spacing w:after="240" w:before="240"/>
    </w:pPr>
  </w:style>
  <w:style w:type="paragraph" w:styleId="MdBlockquote">
    <w:name w:val="MdBlockquote"/>
    <w:basedOn w:val="Normal"/>
    <w:next w:val="Normal"/>
    <w:qFormat w:val="1"/>
    <w:pPr>
      <w:pBdr>
        <w:left w:color="a5a5a5" w:space="12" w:sz="20" w:val="single"/>
      </w:pBdr>
      <w:spacing w:after="200" w:before="200"/>
      <w:ind w:left="360"/>
    </w:pPr>
    <w:rPr>
      <w:i w:val="1"/>
      <w:iCs w:val="1"/>
      <w:color w:val="666666"/>
    </w:rPr>
  </w:style>
  <w:style w:type="paragraph" w:styleId="MdHtml">
    <w:name w:val="MdHtml"/>
    <w:basedOn w:val="Normal"/>
    <w:next w:val="Normal"/>
    <w:qFormat w:val="1"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 w:val="1"/>
    <w:pPr>
      <w:ind w:left="720" w:hanging="360"/>
    </w:pPr>
  </w:style>
  <w:style w:type="paragraph" w:styleId="MdParagraph">
    <w:name w:val="MdParagraph"/>
    <w:basedOn w:val="Normal"/>
    <w:next w:val="Normal"/>
    <w:qFormat w:val="1"/>
    <w:pPr>
      <w:spacing w:after="120" w:before="120"/>
    </w:pPr>
  </w:style>
  <w:style w:type="paragraph" w:styleId="MdText">
    <w:name w:val="MdText"/>
    <w:basedOn w:val="Normal"/>
    <w:next w:val="Normal"/>
    <w:qFormat w:val="1"/>
  </w:style>
  <w:style w:type="paragraph" w:styleId="MdFootnote">
    <w:name w:val="MdFootnote"/>
    <w:basedOn w:val="Normal"/>
    <w:next w:val="Normal"/>
    <w:qFormat w:val="1"/>
    <w:rPr>
      <w:vertAlign w:val="superscript"/>
    </w:rPr>
  </w:style>
  <w:style w:type="paragraph" w:styleId="MdListItem">
    <w:name w:val="MdListItem"/>
    <w:basedOn w:val="Normal"/>
    <w:next w:val="Normal"/>
    <w:qFormat w:val="1"/>
    <w:pPr>
      <w:spacing w:after="60" w:before="60"/>
      <w:ind w:left="720" w:hanging="360"/>
    </w:pPr>
  </w:style>
  <w:style w:type="paragraph" w:styleId="MdTable">
    <w:name w:val="MdTable"/>
    <w:basedOn w:val="Normal"/>
    <w:next w:val="Normal"/>
    <w:qFormat w:val="1"/>
    <w:pPr>
      <w:spacing w:after="60" w:before="60"/>
    </w:pPr>
  </w:style>
  <w:style w:type="paragraph" w:styleId="MdTableHeader">
    <w:name w:val="MdTableHeader"/>
    <w:basedOn w:val="Normal"/>
    <w:next w:val="Normal"/>
    <w:qFormat w:val="1"/>
    <w:pPr>
      <w:spacing w:after="60" w:before="60"/>
    </w:pPr>
    <w:rPr>
      <w:b w:val="1"/>
      <w:bCs w:val="1"/>
      <w:sz w:val="22"/>
      <w:szCs w:val="22"/>
    </w:rPr>
  </w:style>
  <w:style w:type="paragraph" w:styleId="MdTableCell">
    <w:name w:val="MdTableCell"/>
    <w:basedOn w:val="Normal"/>
    <w:next w:val="Normal"/>
    <w:qFormat w:val="1"/>
    <w:pPr>
      <w:spacing w:after="40" w:before="40"/>
    </w:pPr>
    <w:rPr>
      <w:sz w:val="20"/>
      <w:szCs w:val="20"/>
    </w:rPr>
  </w:style>
  <w:style w:type="paragraph" w:styleId="MdHeading1">
    <w:name w:val="MdHeading1"/>
    <w:basedOn w:val="Normal"/>
    <w:next w:val="Normal"/>
    <w:qFormat w:val="1"/>
    <w:pPr>
      <w:keepNext w:val="1"/>
      <w:spacing w:after="240" w:before="480"/>
      <w:outlineLvl w:val="0"/>
    </w:pPr>
    <w:rPr>
      <w:b w:val="1"/>
      <w:bCs w:val="1"/>
      <w:sz w:val="36"/>
      <w:szCs w:val="36"/>
    </w:rPr>
  </w:style>
  <w:style w:type="paragraph" w:styleId="MdHeading2">
    <w:name w:val="MdHeading2"/>
    <w:basedOn w:val="Normal"/>
    <w:next w:val="Normal"/>
    <w:qFormat w:val="1"/>
    <w:pPr>
      <w:keepNext w:val="1"/>
      <w:spacing w:after="200" w:before="400"/>
      <w:outlineLvl w:val="1"/>
    </w:pPr>
    <w:rPr>
      <w:b w:val="1"/>
      <w:bCs w:val="1"/>
      <w:sz w:val="32"/>
      <w:szCs w:val="32"/>
    </w:rPr>
  </w:style>
  <w:style w:type="paragraph" w:styleId="MdHeading3">
    <w:name w:val="MdHeading3"/>
    <w:basedOn w:val="Normal"/>
    <w:next w:val="Normal"/>
    <w:qFormat w:val="1"/>
    <w:pPr>
      <w:keepNext w:val="1"/>
      <w:spacing w:after="160" w:before="320"/>
      <w:outlineLvl w:val="2"/>
    </w:pPr>
    <w:rPr>
      <w:b w:val="1"/>
      <w:bCs w:val="1"/>
      <w:sz w:val="28"/>
      <w:szCs w:val="28"/>
    </w:rPr>
  </w:style>
  <w:style w:type="paragraph" w:styleId="MdHeading4">
    <w:name w:val="MdHeading4"/>
    <w:basedOn w:val="Normal"/>
    <w:next w:val="Normal"/>
    <w:qFormat w:val="1"/>
    <w:pPr>
      <w:keepNext w:val="1"/>
      <w:spacing w:after="140" w:before="280"/>
      <w:outlineLvl w:val="3"/>
    </w:pPr>
    <w:rPr>
      <w:b w:val="1"/>
      <w:bCs w:val="1"/>
      <w:sz w:val="26"/>
      <w:szCs w:val="26"/>
    </w:rPr>
  </w:style>
  <w:style w:type="paragraph" w:styleId="MdHeading5">
    <w:name w:val="MdHeading5"/>
    <w:basedOn w:val="Normal"/>
    <w:next w:val="Normal"/>
    <w:qFormat w:val="1"/>
    <w:pPr>
      <w:keepNext w:val="1"/>
      <w:spacing w:after="120" w:before="240"/>
      <w:outlineLvl w:val="4"/>
    </w:pPr>
    <w:rPr>
      <w:b w:val="1"/>
      <w:bCs w:val="1"/>
      <w:i w:val="1"/>
      <w:iCs w:val="1"/>
      <w:sz w:val="24"/>
      <w:szCs w:val="24"/>
    </w:rPr>
  </w:style>
  <w:style w:type="paragraph" w:styleId="MdHeading6">
    <w:name w:val="MdHeading6"/>
    <w:basedOn w:val="Normal"/>
    <w:next w:val="Normal"/>
    <w:qFormat w:val="1"/>
    <w:pPr>
      <w:keepNext w:val="1"/>
      <w:spacing w:after="120" w:before="240"/>
      <w:outlineLvl w:val="5"/>
    </w:pPr>
    <w:rPr>
      <w:b w:val="0"/>
      <w:bCs w:val="0"/>
      <w:i w:val="1"/>
      <w:iCs w:val="1"/>
      <w:sz w:val="24"/>
      <w:szCs w:val="24"/>
    </w:rPr>
  </w:style>
  <w:style w:type="character" w:styleId="MdTag">
    <w:name w:val="MdTag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 w:val="1"/>
    <w:qFormat w:val="1"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 w:val="1"/>
    <w:qFormat w:val="1"/>
    <w:rPr>
      <w:b w:val="1"/>
      <w:bCs w:val="1"/>
    </w:rPr>
  </w:style>
  <w:style w:type="character" w:styleId="MdEm">
    <w:name w:val="MdEm"/>
    <w:basedOn w:val="Normal"/>
    <w:next w:val="Normal"/>
    <w:uiPriority w:val="99"/>
    <w:unhideWhenUsed w:val="1"/>
    <w:qFormat w:val="1"/>
    <w:rPr>
      <w:i w:val="1"/>
      <w:iCs w:val="1"/>
    </w:rPr>
  </w:style>
  <w:style w:type="character" w:styleId="MdCodespan">
    <w:name w:val="MdCodespan"/>
    <w:basedOn w:val="Normal"/>
    <w:next w:val="Normal"/>
    <w:uiPriority w:val="99"/>
    <w:unhideWhenUsed w:val="1"/>
    <w:qFormat w:val="1"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 w:val="1"/>
    <w:qFormat w:val="1"/>
    <w:rPr>
      <w:strike w:val="1"/>
    </w:rPr>
  </w:style>
  <w:style w:type="character" w:styleId="MdBr">
    <w:name w:val="MdBr"/>
    <w:basedOn w:val="Normal"/>
    <w:next w:val="Normal"/>
    <w:uiPriority w:val="99"/>
    <w:unhideWhenUsed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gfORUosHrauxW79oA0RNHGaOQA==">CgMxLjA4AHIhMUVJdWYyYzMxczdWU2djTEZOSjFyNVpYdWh6c1B6Rl9O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2026-03-12T16:29:34.482Z</dcterms:created>
  <dc:creator>md2docx converter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