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lexical;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enum TokenType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 special tokens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INVALID_TOKEN,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UNEXPECTED_EOF,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END_OF_FILE,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symbols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OPEN_CUR,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CLOSE_CUR,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COMMA,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DOT,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ASSIGN,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keywords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ELSE,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WHILE,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SYSTEM,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SELF,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ARGS,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operators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NOT,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AND,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OR,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EQUAL,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DIFF,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GREATER,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LOWER,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GREATER_EQUAL,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LOWER_EQUAL,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ADD,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SUB,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others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NAME,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