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w:t>
      </w:r>
      <w:r>
        <w:rPr>
          <w:lang w:val="pt-BR"/>
        </w:rPr>
        <w:t xml:space="preserve">consulta a estimativa de consumo, recebe os alertas do diagnóstico e altera, por operação sobre dado, a classe e os parâmetros normativos;</w:t>
      </w:r>
      <w:r>
        <w:rPr>
          <w:lang w:val="pt-BR"/>
        </w:rPr>
        <w:t xml:space="preserve">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lang w:val="pt-BR"/>
        </w:rPr>
        <w:t xml:space="preserve">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pPr>
        <w:spacing w:after="120" w:line="360" w:lineRule="auto"/>
        <w:ind w:firstLine="709"/>
        <w:jc w:val="both"/>
      </w:pPr>
      <w:r>
        <w:rPr>
          <w:lang w:val="pt-BR"/>
        </w:rPr>
        <w:t xml:space="preserve">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pPr>
        <w:spacing w:after="120" w:line="360" w:lineRule="auto"/>
        <w:ind w:firstLine="709"/>
        <w:jc w:val="both"/>
      </w:pPr>
      <w:r>
        <w:rPr>
          <w:lang w:val="pt-BR"/>
        </w:rPr>
        <w:t xml:space="preserve">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com a natureza da garantia, que não depende da qualidade da inferência nem da previsão.</w:t>
      </w:r>
    </w:p>
    <w:p>
      <w:pPr>
        <w:spacing w:after="120" w:line="360" w:lineRule="auto"/>
        <w:ind w:firstLine="709"/>
        <w:jc w:val="both"/>
      </w:pPr>
      <w:r>
        <w:rPr>
          <w:lang w:val="pt-BR"/>
        </w:rPr>
        <w:t xml:space="preserve">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pPr>
        <w:spacing w:after="120" w:line="360" w:lineRule="auto"/>
        <w:ind w:firstLine="709"/>
        <w:jc w:val="both"/>
      </w:pPr>
      <w:r>
        <w:rPr>
          <w:lang w:val="pt-BR"/>
        </w:rPr>
        <w:t xml:space="preserve">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pPr>
        <w:spacing w:after="120" w:line="360" w:lineRule="auto"/>
        <w:ind w:firstLine="709"/>
        <w:jc w:val="both"/>
      </w:pPr>
      <w:r>
        <w:rPr>
          <w:lang w:val="pt-BR"/>
        </w:rPr>
        <w:t xml:space="preserve">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pPr>
        <w:spacing w:after="120" w:line="360" w:lineRule="auto"/>
        <w:ind w:firstLine="709"/>
        <w:jc w:val="both"/>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lang w:val="pt-BR"/>
        </w:rPr>
        <w:t xml:space="preserve">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pPr>
        <w:spacing w:after="120" w:line="360" w:lineRule="auto"/>
        <w:ind w:firstLine="709"/>
        <w:jc w:val="both"/>
      </w:pPr>
      <w:r>
        <w:rPr>
          <w:lang w:val="pt-BR"/>
        </w:rPr>
        <w:t xml:space="preserve">Os resultados também delimitam o que a proposta pode prometer. </w:t>
      </w:r>
      <w:r>
        <w:rPr>
          <w:lang w:val="pt-BR"/>
        </w:rPr>
        <w:t xml:space="preserve">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w:t>
      </w:r>
      <w:r>
        <w:rPr>
          <w:lang w:val="pt-BR"/>
        </w:rPr>
        <w:t xml:space="preserve">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pPr>
        <w:spacing w:after="120" w:line="360" w:lineRule="auto"/>
        <w:ind w:firstLine="709"/>
        <w:jc w:val="both"/>
      </w:pPr>
      <w:r>
        <w:rPr>
          <w:lang w:val="pt-BR"/>
        </w:rPr>
        <w:t xml:space="preserve">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lang w:val="pt-BR"/>
        </w:rPr>
        <w:t xml:space="preserve">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w:t>
      </w:r>
      <w:r>
        <w:rPr>
          <w:lang w:val="pt-BR"/>
        </w:rPr>
        <w:t xml:space="preserve">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w:t>
      </w:r>
      <w:r>
        <w:rPr>
          <w:lang w:val="pt-BR"/>
        </w:rPr>
        <w:t xml:space="preserve"> entre os componentes de inteligência artificial, a previsão se distingue das alternativas simples apenas com dado de resolução fina, enquanto a pertinência parcial é substituível por tabela.</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