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com queda máxima</w:t>
            </w:r>
            <w:r>
              <w:rPr>
                <w:sz w:val="20"/>
                <w:szCs w:val="20"/>
              </w:rPr>
              <w:t xml:space="preserve">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cerca de 1 %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período de maior número de pontos de contagem e anterior à pandemia; o arquivo foi baixado em 30 de setembro de 2026, e o resumo SHA-256 da cópia empregada é registrado, uma vez que o portal o atualiza. A resolução de 15 min é a mais próxima, entre as séries públicas localizadas, do período de 5 min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t xml:space="preserve">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Mais recentemente, a troca da série de treino (3.6) mudou os tercis e a largura das rampas, sem mudar as sete regras.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máxima de 0,0083 do fluxo pleno por passo,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aplica em seguida as duas restrições rígidas da camada de verificação e publica o comando resultante.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10 min em cada um,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item 71 para a arquitetura de implantação e </w:t>
      </w:r>
      <w:r>
        <w:rPr>
          <w:lang w:val="pt-BR"/>
        </w:rPr>
        <w:t xml:space="preserve">item 72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