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Arial" w:cs="Arial" w:eastAsia="Arial" w:hAnsi="Arial"/>
          <w:b/>
          <w:bCs/>
          <w:i w:val="false"/>
          <w:iCs w:val="false"/>
          <w:caps w:val="false"/>
          <w:sz w:val="24"/>
          <w:szCs w:val="24"/>
        </w:rPr>
        <w:t xml:space="preserve">UNIVERSIDADE PAULISTA – UNIP</w:t>
      </w:r>
    </w:p>
    <w:p>
      <w:pPr>
        <w:spacing w:after="0" w:before="0" w:line="360"/>
        <w:jc w:val="center"/>
      </w:pPr>
      <w:r>
        <w:rPr>
          <w:rFonts w:ascii="Arial" w:cs="Arial" w:eastAsia="Arial" w:hAnsi="Arial"/>
          <w:b/>
          <w:bCs/>
          <w:i w:val="false"/>
          <w:iCs w:val="false"/>
          <w:caps w:val="false"/>
          <w:sz w:val="24"/>
          <w:szCs w:val="24"/>
        </w:rPr>
        <w:t xml:space="preserve">CIÊNCIA DA COMPUTAÇÃO – 8º SEMESTRE</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MONITORAMENTO E PREVISÃO DE CONSUMO ENERGÉTICO RESIDENCIAL COM INTERNET DAS COISAS E APRENDIZADO DE MÁQUINA EM NUVEM</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MONITORAMENTO E PREVISÃO DE CONSUMO ENERGÉTICO RESIDENCIAL COM INTERNET DAS COISAS E APRENDIZADO DE MÁQUINA EM NUVEM</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240"/>
        <w:ind w:left="4536"/>
        <w:jc w:val="both"/>
      </w:pPr>
      <w:r>
        <w:rPr>
          <w:rFonts w:ascii="Arial" w:cs="Arial" w:eastAsia="Arial" w:hAnsi="Arial"/>
          <w:b w:val="false"/>
          <w:bCs w:val="false"/>
          <w:i w:val="false"/>
          <w:iCs w:val="false"/>
          <w:caps w:val="false"/>
          <w:sz w:val="20"/>
          <w:szCs w:val="20"/>
        </w:rPr>
        <w:t xml:space="preserve">Trabalho de Conclusão de Curso apresentado ao curso de Bacharelado em Ciência da Computação da Universidade Paulista – UNIP, como requisito parcial para obtenção do título de Bacharel em Ciência da Computação.</w:t>
      </w:r>
    </w:p>
    <w:p>
      <w:pPr>
        <w:spacing w:before="240" w:line="240"/>
        <w:ind w:left="4536"/>
        <w:jc w:val="both"/>
      </w:pPr>
      <w:r>
        <w:rPr>
          <w:rFonts w:ascii="Arial" w:cs="Arial" w:eastAsia="Arial" w:hAnsi="Arial"/>
          <w:b w:val="false"/>
          <w:bCs w:val="false"/>
          <w:i w:val="false"/>
          <w:iCs w:val="false"/>
          <w:caps w:val="false"/>
          <w:sz w:val="20"/>
          <w:szCs w:val="20"/>
        </w:rPr>
        <w:t xml:space="preserve">Orientador: Prof. Marco Gomes</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pStyle w:val="Heading1"/>
        <w:spacing w:after="360" w:before="0" w:line="360"/>
        <w:jc w:val="center"/>
      </w:pPr>
      <w:r>
        <w:rPr>
          <w:rFonts w:ascii="Arial" w:cs="Arial" w:eastAsia="Arial" w:hAnsi="Arial"/>
          <w:b/>
          <w:bCs/>
          <w:i w:val="false"/>
          <w:iCs w:val="false"/>
          <w:caps/>
          <w:sz w:val="24"/>
          <w:szCs w:val="24"/>
        </w:rPr>
        <w:t xml:space="preserve">DECLARAÇÃO DE USO DE INTELIGÊNCIA ARTIFICIAL GENERATIVA</w:t>
      </w:r>
    </w:p>
    <w:p>
      <w:pPr>
        <w:spacing w:after="0" w:before="0" w:line="360"/>
        <w:ind w:firstLine="708"/>
        <w:jc w:val="both"/>
      </w:pPr>
      <w:r>
        <w:rPr>
          <w:rFonts w:ascii="Arial" w:cs="Arial" w:eastAsia="Arial" w:hAnsi="Arial"/>
          <w:b w:val="false"/>
          <w:bCs w:val="false"/>
          <w:i w:val="false"/>
          <w:iCs w:val="false"/>
          <w:caps w:val="false"/>
          <w:sz w:val="24"/>
          <w:szCs w:val="24"/>
        </w:rPr>
        <w:t xml:space="preserve">Em atendimento ao disposto no art. 9º, inciso I, alínea “c”, da Portaria CNPq nº 2.664, de 6 de março de 2026, que institui a Política de Integridade na Atividade Científica, os autores declaram o uso da ferramenta de Inteligência Artificial Generativa Claude Opus 5, desenvolvida pela Anthropic, no desenvolvimento deste trabalho, especificando a seguir a fase da pesquisa e a finalidade de cada uso.</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preliminarmente, uma distinção necessária. Este trabalho emprega técnicas de Inteligência Artificial como objeto de estudo, na forma dos modelos de aprendizado supervisionado descritos na seção 3.7, os quais constituem parte do sistema desenvolvido e não configuram uso de Inteligência Artificial Generativa. A presente declaração refere-se exclusivamente ao emprego de ferramentas generativas como instrumento auxiliar na elaboração do documento e do projeto, conforme discriminado no Quadro 19.</w:t>
      </w:r>
    </w:p>
    <w:p>
      <w:pPr>
        <w:spacing w:after="80" w:before="240" w:line="240"/>
        <w:jc w:val="left"/>
      </w:pPr>
      <w:r>
        <w:rPr>
          <w:rFonts w:ascii="Arial" w:cs="Arial" w:eastAsia="Arial" w:hAnsi="Arial"/>
          <w:b w:val="false"/>
          <w:bCs w:val="false"/>
          <w:i w:val="false"/>
          <w:iCs w:val="false"/>
          <w:caps w:val="false"/>
          <w:sz w:val="20"/>
          <w:szCs w:val="20"/>
        </w:rPr>
        <w:t xml:space="preserve">Quadro 19 – Declaração de uso de ferramentas de Inteligência Artificial Generativa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00"/>
      </w:tblGrid>
      <w:tr>
        <w:trPr>
          <w:tblHeader/>
        </w:trPr>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Ferramenta</w:t>
            </w:r>
          </w:p>
        </w:tc>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Fase da pesquisa</w:t>
            </w:r>
          </w:p>
        </w:tc>
        <w:tc>
          <w:tcPr>
            <w:tcW w:type="dxa" w:w="5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 do uso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Concepção e delimitação do tema</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Discussão de alternativas de escopo, análise crítica da viabilidade técnica e identificação de restrições normativas e de segurança do tema originalmente proposto.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de literatura</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Auxílio na identificação de termos de busca e na organização temática das referências. A localização, a leitura e a verificação de cada fonte na base original foram realizadas pelos autores.</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Estruturação e redação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Sugestão de estrutura de capítulos em conformidade com as normas institucionais e auxílio na redação e no refinamento da linguagem acadêmica de seções do texto.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do projeto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Auxílio na elaboração dos quadros comparativos de componentes, na especificação da arquitetura em camadas e na modelagem do banco de dados.</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Desenvolvimento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Geração de código-fonte de referência para o firmware e para o script de treinamento dos modelos, constantes dos Apêndices A e B, posteriormente compilado, executado, corrigido e validado pelos autores em ambiente real.</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Elaboração de artefatos gráficos</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Geração das versões preliminares dos diagramas apresentados nas Figuras 1 a 6, revisadas e validadas pelos autores quanto à correspondência com o sistema implementado.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Normalização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Verificação de conformidade da formatação e das referências com as normas da ABNT.</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Os autores declaram que nenhum conteúdo gerado por ferramenta de Inteligência Artificial Generativa foi incorporado ao trabalho sem revisão crítica prévia. Todas as referências bibliográficas citadas foram localizadas e conferidas nas fontes originais pelos autores; todos os dados experimentais apresentados foram obtidos por medição direta no protótipo construído ou extraídos de base de dados pública devidamente referenciada; e todo o código-fonte constante dos apêndices foi executado e validado em ambiente real. Nenhum dado, resultado ou referência foi produzido ou estimado por ferramenta generativa.</w:t>
      </w:r>
    </w:p>
    <w:p>
      <w:pPr>
        <w:spacing w:after="0" w:before="0" w:line="360"/>
        <w:ind w:firstLine="708"/>
        <w:jc w:val="both"/>
      </w:pPr>
      <w:r>
        <w:rPr>
          <w:rFonts w:ascii="Arial" w:cs="Arial" w:eastAsia="Arial" w:hAnsi="Arial"/>
          <w:b w:val="false"/>
          <w:bCs w:val="false"/>
          <w:i w:val="false"/>
          <w:iCs w:val="false"/>
          <w:caps w:val="false"/>
          <w:sz w:val="24"/>
          <w:szCs w:val="24"/>
        </w:rPr>
        <w:t xml:space="preserve">Os autores assumem integral responsabilidade pela originalidade, pela veracidade e pelo conteúdo do texto final, bem como pelos eventuais erros nele contidos.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RESUMO</w:t>
      </w:r>
    </w:p>
    <w:p>
      <w:pPr>
        <w:spacing w:line="240"/>
        <w:jc w:val="both"/>
      </w:pPr>
      <w:r>
        <w:rPr>
          <w:rFonts w:ascii="Arial" w:cs="Arial" w:eastAsia="Arial" w:hAnsi="Arial"/>
          <w:b w:val="false"/>
          <w:bCs w:val="false"/>
          <w:i w:val="false"/>
          <w:iCs w:val="false"/>
          <w:caps w:val="false"/>
          <w:sz w:val="20"/>
          <w:szCs w:val="20"/>
        </w:rPr>
        <w:t xml:space="preserve">O consumo residencial representa parcela expressiva da demanda de energia elétrica no Brasil, e sua gestão eficiente é um dos pilares do conceito de cidades inteligentes. Este trabalho apresenta o desenvolvimento de um sistema de monitoramento e previsão de consumo energético residencial que integra dispositivos de Internet das Coisas, computação em nuvem e algoritmos de aprendizado de máquina. A pesquisa é de natureza aplicada, abordagem quantitativa e procedimento experimental. O sistema é composto por um nó de medição agregada, baseado no microcontrolador ESP32 e no transformador de corrente de núcleo bipartido SCT-013-030, aplicado de forma não invasiva a um circuito derivado de uma unidade consumidora residencial em tensão de rede. O método de acoplamento é exclusivamente magnético, dispensando o seccionamento de condutores e a remoção de isolamento. Os dados medidos são transmitidos por Wi-Fi utilizando o protocolo MQTT para uma infraestrutura hospedada em nuvem, composta por broker gerenciado, serviço de ingestão, banco de dados relacional PostgreSQL e serviço de inferência. Para a etapa de previsão, além da série coletada pelo protótipo, utilizou-se a base pública Individual Household Electric Power Consumption, do repositório da Universidade da Califórnia em Irvine, que fornece volume histórico suficiente para o treinamento supervisionado. Foram implementados e comparados três modelos de previsão de consumo horário: um baseline de persistência sazonal, uma regressão linear regularizada e um regressor Random Forest, avaliados pelas métricas MAE, RMSE e MAPE sob validação temporal. Os resultados obtidos são apresentados e discutidos, verificando-se as hipóteses formuladas. Conclui-se que a arquitetura proposta é tecnicamente viável, de baixo custo e reprodutível, constituindo base para aplicações de eficiência energética residencial.</w:t>
      </w:r>
    </w:p>
    <w:p>
      <w:pPr>
        <w:spacing w:before="360" w:line="240"/>
        <w:jc w:val="both"/>
      </w:pPr>
      <w:r>
        <w:rPr>
          <w:rFonts w:ascii="Arial" w:cs="Arial" w:eastAsia="Arial" w:hAnsi="Arial"/>
          <w:b/>
          <w:bCs/>
          <w:i w:val="false"/>
          <w:iCs w:val="false"/>
          <w:caps w:val="false"/>
          <w:sz w:val="20"/>
          <w:szCs w:val="20"/>
        </w:rPr>
        <w:t xml:space="preserve">Palavras-chave: </w:t>
      </w:r>
      <w:r>
        <w:rPr>
          <w:rFonts w:ascii="Arial" w:cs="Arial" w:eastAsia="Arial" w:hAnsi="Arial"/>
          <w:b w:val="false"/>
          <w:bCs w:val="false"/>
          <w:i w:val="false"/>
          <w:iCs w:val="false"/>
          <w:caps w:val="false"/>
          <w:sz w:val="20"/>
          <w:szCs w:val="20"/>
        </w:rPr>
        <w:t xml:space="preserve">Internet das Coisas. Aprendizado de Máquina. Previsão de Carga. Eficiência Energética. Cidades Inteligentes.</w:t>
      </w:r>
    </w:p>
    <w:p>
      <w:r>
        <w:br w:type="page"/>
      </w:r>
    </w:p>
    <w:p>
      <w:pPr>
        <w:pStyle w:val="Heading1"/>
        <w:spacing w:after="360" w:before="0" w:line="360"/>
        <w:jc w:val="center"/>
      </w:pPr>
      <w:r>
        <w:rPr>
          <w:rFonts w:ascii="Arial" w:cs="Arial" w:eastAsia="Arial" w:hAnsi="Arial"/>
          <w:b/>
          <w:bCs/>
          <w:i w:val="false"/>
          <w:iCs w:val="false"/>
          <w:caps/>
          <w:sz w:val="24"/>
          <w:szCs w:val="24"/>
        </w:rPr>
        <w:t xml:space="preserve">ABSTRACT</w:t>
      </w:r>
    </w:p>
    <w:p>
      <w:pPr>
        <w:spacing w:line="240"/>
        <w:jc w:val="both"/>
      </w:pPr>
      <w:r>
        <w:rPr>
          <w:rFonts w:ascii="Arial" w:cs="Arial" w:eastAsia="Arial" w:hAnsi="Arial"/>
          <w:b w:val="false"/>
          <w:bCs w:val="false"/>
          <w:i w:val="false"/>
          <w:iCs w:val="false"/>
          <w:caps w:val="false"/>
          <w:sz w:val="20"/>
          <w:szCs w:val="20"/>
        </w:rPr>
        <w:t xml:space="preserve">Residential consumption accounts for a significant share of electricity demand in Brazil, and its efficient management is one of the pillars of the smart city concept. This work presents the development of a residential energy consumption monitoring and forecasting system that integrates Internet of Things devices, cloud computing and machine learning algorithms. The research is applied in nature, quantitative in approach and experimental in procedure. The system consists of an aggregate measurement node based on the ESP32 microcontroller and the SCT-013-030 split-core current transformer, applied non-invasively to a branch circuit of a residential consumer unit at mains voltage. Coupling is purely magnetic, requiring no conductor sectioning or insulation removal. Measured data are transmitted over Wi-Fi using the MQTT protocol to a cloud-hosted infrastructure comprising a managed broker, an ingestion service, a PostgreSQL relational database and an inference service. For the forecasting stage, in addition to the series collected by the prototype, the public Individual Household Electric Power Consumption dataset from the University of California Irvine repository was used, providing sufficient historical volume for supervised training. Three hourly consumption forecasting models were implemented and compared: a seasonal persistence baseline, a regularized linear regression and a Random Forest regressor, evaluated by MAE, RMSE and MAPE metrics under temporal validation. The results are presented and discussed, and the formulated hypotheses are verified. It is concluded that the proposed architecture is technically feasible, low cost and reproducible, constituting a basis for residential energy efficiency applications.</w:t>
      </w:r>
    </w:p>
    <w:p>
      <w:pPr>
        <w:spacing w:before="360" w:line="240"/>
        <w:jc w:val="both"/>
      </w:pPr>
      <w:r>
        <w:rPr>
          <w:rFonts w:ascii="Arial" w:cs="Arial" w:eastAsia="Arial" w:hAnsi="Arial"/>
          <w:b/>
          <w:bCs/>
          <w:i w:val="false"/>
          <w:iCs w:val="false"/>
          <w:caps w:val="false"/>
          <w:sz w:val="20"/>
          <w:szCs w:val="20"/>
        </w:rPr>
        <w:t xml:space="preserve">Keywords: </w:t>
      </w:r>
      <w:r>
        <w:rPr>
          <w:rFonts w:ascii="Arial" w:cs="Arial" w:eastAsia="Arial" w:hAnsi="Arial"/>
          <w:b w:val="false"/>
          <w:bCs w:val="false"/>
          <w:i w:val="false"/>
          <w:iCs w:val="false"/>
          <w:caps w:val="false"/>
          <w:sz w:val="20"/>
          <w:szCs w:val="20"/>
        </w:rPr>
        <w:t xml:space="preserve">Internet of Things. Machine Learning. Load Forecasting. Energy Efficiency. Smart Cities.</w:t>
      </w:r>
    </w:p>
    <w:p>
      <w:r>
        <w:br w:type="page"/>
      </w:r>
    </w:p>
    <w:p>
      <w:pPr>
        <w:pStyle w:val="Heading1"/>
        <w:spacing w:after="360" w:before="0" w:line="360"/>
        <w:jc w:val="center"/>
      </w:pPr>
      <w:r>
        <w:rPr>
          <w:rFonts w:ascii="Arial" w:cs="Arial" w:eastAsia="Arial" w:hAnsi="Arial"/>
          <w:b/>
          <w:bCs/>
          <w:i w:val="false"/>
          <w:iCs w:val="false"/>
          <w:caps/>
          <w:sz w:val="24"/>
          <w:szCs w:val="24"/>
        </w:rPr>
        <w:t xml:space="preserve">SUMÁRIO</w:t>
      </w:r>
    </w:p>
    <w:p>
      <w:pPr>
        <w:spacing w:after="240" w:before="240" w:line="360"/>
        <w:jc w:val="center"/>
      </w:pPr>
      <w:r>
        <w:rPr>
          <w:rFonts w:ascii="Arial" w:cs="Arial" w:eastAsia="Arial" w:hAnsi="Arial"/>
          <w:b/>
          <w:bCs/>
          <w:i w:val="false"/>
          <w:iCs w:val="false"/>
          <w:caps w:val="false"/>
          <w:sz w:val="24"/>
          <w:szCs w:val="24"/>
        </w:rPr>
        <w:t xml:space="preserve">[A PREENCHER: atualizar o campo de sumário automático no Word]</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line="360"/>
        <w:jc w:val="left"/>
      </w:pPr>
      <w:r>
        <w:rPr>
          <w:rFonts w:ascii="Arial" w:cs="Arial" w:eastAsia="Arial" w:hAnsi="Arial"/>
          <w:b/>
          <w:bCs/>
          <w:i w:val="false"/>
          <w:iCs w:val="false"/>
          <w:caps/>
          <w:sz w:val="24"/>
          <w:szCs w:val="24"/>
        </w:rPr>
        <w:t xml:space="preserve">1 INTRODUÇÃO</w:t>
      </w:r>
    </w:p>
    <w:p>
      <w:pPr>
        <w:pStyle w:val="Heading2"/>
        <w:spacing w:after="200" w:before="360" w:line="360"/>
        <w:jc w:val="left"/>
      </w:pPr>
      <w:r>
        <w:rPr>
          <w:rFonts w:ascii="Arial" w:cs="Arial" w:eastAsia="Arial" w:hAnsi="Arial"/>
          <w:b/>
          <w:bCs/>
          <w:i w:val="false"/>
          <w:iCs w:val="false"/>
          <w:caps w:val="false"/>
          <w:sz w:val="24"/>
          <w:szCs w:val="24"/>
        </w:rPr>
        <w:t xml:space="preserve">1.1 Contextualização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conceito de cidade inteligente pressupõe o emprego de tecnologias da informação e comunicação para elevar a eficiência dos serviços urbanos, a sustentabilidade ambiental e a qualidade de vida da população. Entre os domínios que compõem esse conceito, a gestão da energia elétrica ocupa posição central, pois condiciona tanto o custo de operação da cidade quanto sua pegada ambiental. A modernização das redes elétricas, materializada no conceito de smart grid, introduziu a bidirecionalidade do fluxo de energia e de informação, permitindo monitoramento e controle distribuídos que o modelo centralizado do século XX não contemplava (FARHANGI, 2010).</w:t>
      </w:r>
    </w:p>
    <w:p>
      <w:pPr>
        <w:spacing w:after="0" w:before="0" w:line="360"/>
        <w:ind w:firstLine="708"/>
        <w:jc w:val="both"/>
      </w:pPr>
      <w:r>
        <w:rPr>
          <w:rFonts w:ascii="Arial" w:cs="Arial" w:eastAsia="Arial" w:hAnsi="Arial"/>
          <w:b w:val="false"/>
          <w:bCs w:val="false"/>
          <w:i w:val="false"/>
          <w:iCs w:val="false"/>
          <w:caps w:val="false"/>
          <w:sz w:val="24"/>
          <w:szCs w:val="24"/>
        </w:rPr>
        <w:t xml:space="preserve">No Brasil, a classe residencial responde por aproximadamente 30% do consumo total de energia elétrica e concentra o maior número de unidades consumidoras do país (EPE, 2025), o que a torna alvo prioritário de políticas de eficiência.</w:t>
      </w:r>
    </w:p>
    <w:p>
      <w:pPr>
        <w:spacing w:after="0" w:before="0" w:line="360"/>
        <w:ind w:firstLine="708"/>
        <w:jc w:val="both"/>
      </w:pPr>
      <w:r>
        <w:rPr>
          <w:rFonts w:ascii="Arial" w:cs="Arial" w:eastAsia="Arial" w:hAnsi="Arial"/>
          <w:b w:val="false"/>
          <w:bCs w:val="false"/>
          <w:i w:val="false"/>
          <w:iCs w:val="false"/>
          <w:caps w:val="false"/>
          <w:sz w:val="24"/>
          <w:szCs w:val="24"/>
        </w:rPr>
        <w:t xml:space="preserve">Dentro desse cenário, a unidade consumidora residencial é a menor célula da rede urbana e, simultaneamente, uma das mais numerosas. A soma do comportamento individual de milhões de residências determina o perfil de carga de uma cidade, incluindo os horários de pico que dimensionam toda a infraestrutura de geração e distribuição. Intervenções de eficiência energética no setor residencial possuem, portanto, efeito agregado relevante, mas dependem de uma condição prévia: a existência de informação granular sobre como e quando a energia é consumida.</w:t>
      </w:r>
    </w:p>
    <w:p>
      <w:pPr>
        <w:spacing w:after="240" w:before="240" w:line="360"/>
        <w:jc w:val="center"/>
      </w:pPr>
      <w:r>
        <w:rPr>
          <w:rFonts w:ascii="Arial" w:cs="Arial" w:eastAsia="Arial" w:hAnsi="Arial"/>
          <w:b/>
          <w:bCs/>
          <w:i w:val="false"/>
          <w:iCs w:val="false"/>
          <w:caps w:val="false"/>
          <w:sz w:val="24"/>
          <w:szCs w:val="24"/>
        </w:rPr>
        <w:t xml:space="preserve">[A PREENCHER: consumo residencial em GWh e ano-base, conforme EPE]</w:t>
      </w:r>
    </w:p>
    <w:p>
      <w:pPr>
        <w:spacing w:after="0" w:before="0" w:line="360"/>
        <w:ind w:firstLine="708"/>
        <w:jc w:val="both"/>
      </w:pPr>
      <w:r>
        <w:rPr>
          <w:rFonts w:ascii="Arial" w:cs="Arial" w:eastAsia="Arial" w:hAnsi="Arial"/>
          <w:b w:val="false"/>
          <w:bCs w:val="false"/>
          <w:i w:val="false"/>
          <w:iCs w:val="false"/>
          <w:caps w:val="false"/>
          <w:sz w:val="24"/>
          <w:szCs w:val="24"/>
        </w:rPr>
        <w:t xml:space="preserve">O medidor convencional instalado na maior parte das residências brasileiras informa apenas o total acumulado no ciclo de faturamento. O morador recebe, ao final do mês, um valor agregado que não permite identificar qual equipamento consumiu mais, em que horário ocorreram os picos, nem qual será o consumo previsto para o período seguinte. Essa opacidade impede decisões informadas de economia. A Internet das Coisas oferece o instrumento para superar essa limitação, ao permitir que sensores de baixo custo coletem e transmitam medições em intervalos curtos (ATZORI; IERA; MORABITO, 2010), enquanto técnicas de aprendizado de máquina transformam a série histórica resultante em previsão de comportamento futuro (KONG et al., 2019).</w:t>
      </w:r>
    </w:p>
    <w:p>
      <w:pPr>
        <w:pStyle w:val="Heading2"/>
        <w:spacing w:after="200" w:before="360" w:line="360"/>
        <w:jc w:val="left"/>
      </w:pPr>
      <w:r>
        <w:rPr>
          <w:rFonts w:ascii="Arial" w:cs="Arial" w:eastAsia="Arial" w:hAnsi="Arial"/>
          <w:b/>
          <w:bCs/>
          <w:i w:val="false"/>
          <w:iCs w:val="false"/>
          <w:caps w:val="false"/>
          <w:sz w:val="24"/>
          <w:szCs w:val="24"/>
        </w:rPr>
        <w:t xml:space="preserve">1.2 Problema de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 contexto apresentado, formula-se o seguinte problema de pesquisa:</w:t>
      </w:r>
    </w:p>
    <w:p>
      <w:pPr>
        <w:spacing w:after="240" w:before="240" w:line="240"/>
        <w:ind w:left="2268"/>
        <w:jc w:val="both"/>
      </w:pPr>
      <w:r>
        <w:rPr>
          <w:rFonts w:ascii="Arial" w:cs="Arial" w:eastAsia="Arial" w:hAnsi="Arial"/>
          <w:b w:val="false"/>
          <w:bCs w:val="false"/>
          <w:i w:val="false"/>
          <w:iCs w:val="false"/>
          <w:caps w:val="false"/>
          <w:sz w:val="20"/>
          <w:szCs w:val="20"/>
        </w:rPr>
        <w:t xml:space="preserve">De que forma a integração entre sensoriamento IoT de baixo custo, computação em nuvem e algoritmos de aprendizado de máquina pode viabilizar o monitoramento granular e a previsão de curto prazo do consumo de energia elétrica em ambiente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A investigação desse problema envolve três dimensões complementares: a viabilidade técnica da instrumentação com hardware acessível, a adequação de uma arquitetura em nuvem para ingestão e persistência contínua de telemetria, e a capacidade de modelos de aprendizado supervisionado de produzir previsões cuja acurácia supere abordagens estatísticas triviais.</w:t>
      </w:r>
    </w:p>
    <w:p>
      <w:pPr>
        <w:pStyle w:val="Heading2"/>
        <w:spacing w:after="200" w:before="360" w:line="360"/>
        <w:jc w:val="left"/>
      </w:pPr>
      <w:r>
        <w:rPr>
          <w:rFonts w:ascii="Arial" w:cs="Arial" w:eastAsia="Arial" w:hAnsi="Arial"/>
          <w:b/>
          <w:bCs/>
          <w:i w:val="false"/>
          <w:iCs w:val="false"/>
          <w:caps w:val="false"/>
          <w:sz w:val="24"/>
          <w:szCs w:val="24"/>
        </w:rPr>
        <w:t xml:space="preserve">1.3 Objetivos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1.3.1 Objetivo geral</w:t>
      </w:r>
    </w:p>
    <w:p>
      <w:pPr>
        <w:spacing w:after="0" w:before="0" w:line="360"/>
        <w:ind w:firstLine="708"/>
        <w:jc w:val="both"/>
      </w:pPr>
      <w:r>
        <w:rPr>
          <w:rFonts w:ascii="Arial" w:cs="Arial" w:eastAsia="Arial" w:hAnsi="Arial"/>
          <w:b w:val="false"/>
          <w:bCs w:val="false"/>
          <w:i w:val="false"/>
          <w:iCs w:val="false"/>
          <w:caps w:val="false"/>
          <w:sz w:val="24"/>
          <w:szCs w:val="24"/>
        </w:rPr>
        <w:t xml:space="preserve">Desenvolver e validar experimentalmente um sistema integrado de monitoramento e previsão de consumo de energia elétrica residencial, baseado em dispositivos de Internet das Coisas, infraestrutura de computação em nuvem e modelos de aprendizado de máquina.</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1.3.2 Objetivos específicos</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Levantar, na literatura científica, o estado da arte em sensoriamento energético IoT e em previsão de carga residencial de curto prazo.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Especificar e construir um protótipo físico de nó de medição agregada, capaz de medir de forma não invasiva a corrente e estimar a potência de um circuito residencial em corrente alternada.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Projetar e implantar uma arquitetura em nuvem para ingestão, persistência e disponibilização das medições, contemplando broker de mensagens, serviço de aplicação e banco de dados relacional.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Implementar e comparar modelos de previsão de consumo horário, incluindo um baseline de persistência sazonal, uma regressão linear regularizada e um regressor Random Forest.</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Avaliar o desempenho preditivo dos modelos por meio das métricas MAE, RMSE e MAPE, sob esquema de validação temporal.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Desenvolver interface web para visualização do histórico de consumo, da previsão de curto prazo e da estimativa de custo associada.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Verificar as hipóteses formuladas e discutir as limitações e a aplicabilidade da solução proposta.</w:t>
      </w:r>
    </w:p>
    <w:p>
      <w:pPr>
        <w:pStyle w:val="Heading2"/>
        <w:spacing w:after="200" w:before="360" w:line="360"/>
        <w:jc w:val="left"/>
      </w:pPr>
      <w:r>
        <w:rPr>
          <w:rFonts w:ascii="Arial" w:cs="Arial" w:eastAsia="Arial" w:hAnsi="Arial"/>
          <w:b/>
          <w:bCs/>
          <w:i w:val="false"/>
          <w:iCs w:val="false"/>
          <w:caps w:val="false"/>
          <w:sz w:val="24"/>
          <w:szCs w:val="24"/>
        </w:rPr>
        <w:t xml:space="preserve">1.4 Justificativa</w:t>
      </w:r>
    </w:p>
    <w:p>
      <w:pPr>
        <w:spacing w:after="0" w:before="0" w:line="360"/>
        <w:ind w:firstLine="708"/>
        <w:jc w:val="both"/>
      </w:pPr>
      <w:r>
        <w:rPr>
          <w:rFonts w:ascii="Arial" w:cs="Arial" w:eastAsia="Arial" w:hAnsi="Arial"/>
          <w:b w:val="false"/>
          <w:bCs w:val="false"/>
          <w:i w:val="false"/>
          <w:iCs w:val="false"/>
          <w:caps w:val="false"/>
          <w:sz w:val="24"/>
          <w:szCs w:val="24"/>
        </w:rPr>
        <w:t xml:space="preserve">A relevância deste trabalho se sustenta em três eixos. Do ponto de vista social e ambiental, a informação detalhada de consumo é reconhecidamente um instrumento de mudança de comportamento: conhecer o custo em tempo real de manter um equipamento ligado altera a decisão do usuário, e o efeito agregado dessa mudança contribui para a redução da demanda em horários críticos e, consequentemente, para a diminuição do acionamento de fontes de geração complementares de maior custo e impacto ambiental.</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acadêmico, verifica-se na literatura predominância de estudos conduzidos exclusivamente em ambiente de simulação computacional ou sobre bases de dados históricas, com menor incidência de trabalhos que documentem de ponta a ponta a construção de um sistema físico integrado à nuvem. O presente trabalho contribui ao registrar integralmente essa cadeia, do condicionamento do sinal do sensor até a entrega da previsão em interface web.</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técnico e econômico, a arquitetura proposta emprega exclusivamente componentes de hardware de baixo custo e serviços de nuvem em camada gratuita ou de custo reduzido, o que a torna reprodutível por outros pesquisadores e potencialmente escalável para aplicação real, sem barreira de investimento inicial significativa.</w:t>
      </w:r>
    </w:p>
    <w:p>
      <w:pPr>
        <w:pStyle w:val="Heading2"/>
        <w:spacing w:after="200" w:before="360" w:line="360"/>
        <w:jc w:val="left"/>
      </w:pPr>
      <w:r>
        <w:rPr>
          <w:rFonts w:ascii="Arial" w:cs="Arial" w:eastAsia="Arial" w:hAnsi="Arial"/>
          <w:b/>
          <w:bCs/>
          <w:i w:val="false"/>
          <w:iCs w:val="false"/>
          <w:caps w:val="false"/>
          <w:sz w:val="24"/>
          <w:szCs w:val="24"/>
        </w:rPr>
        <w:t xml:space="preserve">1.5 Delimitação do escopo</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se restringe ao monitoramento e à previsão de consumo, não contemplando qualquer forma de atuação ou controle sobre a rede elétrica. Não estão no escopo: o acionamento ou o controle de cargas, a integração com geração distribuída ou armazenamento e a interação com sistemas da concessionária. Essa delimitação é deliberada, uma vez que a atuação sobre o fluxo de energia elétrica está sujeita a requisitos normativos e de segurança que extrapolam o âmbito de um trabalho de graduação. A medição, por sua vez, é realizada em corrente alternada na tensão da rede, por método não invasivo que dispensa qualquer intervenção em condutores energizados, conforme detalhado na seção 3.3.</w:t>
      </w:r>
    </w:p>
    <w:p>
      <w:pPr>
        <w:pStyle w:val="Heading2"/>
        <w:spacing w:after="200" w:before="360" w:line="360"/>
        <w:jc w:val="left"/>
      </w:pPr>
      <w:r>
        <w:rPr>
          <w:rFonts w:ascii="Arial" w:cs="Arial" w:eastAsia="Arial" w:hAnsi="Arial"/>
          <w:b/>
          <w:bCs/>
          <w:i w:val="false"/>
          <w:iCs w:val="false"/>
          <w:caps w:val="false"/>
          <w:sz w:val="24"/>
          <w:szCs w:val="24"/>
        </w:rPr>
        <w:t xml:space="preserve">1.6 Estrutura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trabalho está organizado em onze seções. A seção 2 apresenta a revisão da literatura e formula as hipóteses de pesquisa. A seção 3 descreve a metodologia, incluindo o delineamento experimental e o tratamento dos dados. A seção 4 documenta o processo de engenharia de software adotado. As seções 5, 6 e 7 detalham, respectivamente, a arquitetura do sistema, da infraestrutura e do banco de dados. A seção 8 apresenta o relatório de testes. A seção 9 expõe e analisa os resultados. As seções 10 e 11 trazem as conclusões e as propostas de trabalhos futuros, seguidas das referências e dos apêndices.</w:t>
      </w:r>
    </w:p>
    <w:p>
      <w:r>
        <w:br w:type="page"/>
      </w:r>
    </w:p>
    <w:p>
      <w:pPr>
        <w:pStyle w:val="Heading1"/>
        <w:spacing w:after="240" w:before="480" w:line="360"/>
        <w:jc w:val="left"/>
      </w:pPr>
      <w:r>
        <w:rPr>
          <w:rFonts w:ascii="Arial" w:cs="Arial" w:eastAsia="Arial" w:hAnsi="Arial"/>
          <w:b/>
          <w:bCs/>
          <w:i w:val="false"/>
          <w:iCs w:val="false"/>
          <w:caps/>
          <w:sz w:val="24"/>
          <w:szCs w:val="24"/>
        </w:rPr>
        <w:t xml:space="preserve">2 REVISÃO LITERÁRIA</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a evolução e o estado atual do conhecimento sobre os temas que fundamentam o trabalho, partindo do contexto das cidades inteligentes e da eficiência energética, passando pela Internet das Coisas e pelas técnicas de medição de grandezas elétricas, e culminando na aplicação de aprendizado de máquina à previsão de carga residencial. Ao final, são identificadas as lacunas encontradas e enunciadas as hipóteses da pesquisa.</w:t>
      </w:r>
    </w:p>
    <w:p>
      <w:pPr>
        <w:pStyle w:val="Heading2"/>
        <w:spacing w:after="200" w:before="360" w:line="360"/>
        <w:jc w:val="left"/>
      </w:pPr>
      <w:r>
        <w:rPr>
          <w:rFonts w:ascii="Arial" w:cs="Arial" w:eastAsia="Arial" w:hAnsi="Arial"/>
          <w:b/>
          <w:bCs/>
          <w:i w:val="false"/>
          <w:iCs w:val="false"/>
          <w:caps w:val="false"/>
          <w:sz w:val="24"/>
          <w:szCs w:val="24"/>
        </w:rPr>
        <w:t xml:space="preserve">2.1 Cidades inteligentes e eficiência energética</w:t>
      </w:r>
    </w:p>
    <w:p>
      <w:pPr>
        <w:spacing w:after="0" w:before="0" w:line="360"/>
        <w:ind w:firstLine="708"/>
        <w:jc w:val="both"/>
      </w:pPr>
      <w:r>
        <w:rPr>
          <w:rFonts w:ascii="Arial" w:cs="Arial" w:eastAsia="Arial" w:hAnsi="Arial"/>
          <w:b w:val="false"/>
          <w:bCs w:val="false"/>
          <w:i w:val="false"/>
          <w:iCs w:val="false"/>
          <w:caps w:val="false"/>
          <w:sz w:val="24"/>
          <w:szCs w:val="24"/>
        </w:rPr>
        <w:t xml:space="preserve">A transição das redes elétricas de um modelo centralizado para um modelo digitalizado e distribuído constitui um dos marcos tecnológicos das últimas décadas. Gellings (2009) descreve o smart grid como a infraestrutura que habilita simultaneamente a eficiência energética e a resposta à demanda, ao dotar a rede de capacidade de medição, comunicação e controle. Farhangi (2010) complementa essa caracterização ao enfatizar que a mudança essencial reside na bidirecionalidade: tanto a energia quanto a informação passam a fluir nos dois sentidos entre concessionária e consumidor.</w:t>
      </w:r>
    </w:p>
    <w:p>
      <w:pPr>
        <w:spacing w:after="0" w:before="0" w:line="360"/>
        <w:ind w:firstLine="708"/>
        <w:jc w:val="both"/>
      </w:pPr>
      <w:r>
        <w:rPr>
          <w:rFonts w:ascii="Arial" w:cs="Arial" w:eastAsia="Arial" w:hAnsi="Arial"/>
          <w:b w:val="false"/>
          <w:bCs w:val="false"/>
          <w:i w:val="false"/>
          <w:iCs w:val="false"/>
          <w:caps w:val="false"/>
          <w:sz w:val="24"/>
          <w:szCs w:val="24"/>
        </w:rPr>
        <w:t xml:space="preserve">No âmbito das cidades inteligentes, essa capacidade de medição distribuída é pré-requisito para qualquer política de eficiência em escala urbana. A literatura converge no entendimento de que não é possível gerir aquilo que não se mede, e que a granularidade da medição determina o teto da eficiência alcançável. A medição mensal agregada, praticada convencionalmente, é suficiente para faturamento, mas insuficiente para diagnóstico e intervenção.</w:t>
      </w:r>
    </w:p>
    <w:p>
      <w:pPr>
        <w:pStyle w:val="Heading2"/>
        <w:spacing w:after="200" w:before="360" w:line="360"/>
        <w:jc w:val="left"/>
      </w:pPr>
      <w:r>
        <w:rPr>
          <w:rFonts w:ascii="Arial" w:cs="Arial" w:eastAsia="Arial" w:hAnsi="Arial"/>
          <w:b/>
          <w:bCs/>
          <w:i w:val="false"/>
          <w:iCs w:val="false"/>
          <w:caps w:val="false"/>
          <w:sz w:val="24"/>
          <w:szCs w:val="24"/>
        </w:rPr>
        <w:t xml:space="preserve">2.2 Internet das Coisas em sistemas energéticos</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Internet das Coisas é definida por Atzori, Iera e Morabito (2010) como o paradigma de interconexão de objetos físicos dotados de capacidade de sensoriamento, processamento e comunicação, integrados à infraestrutura de rede existente. Os autores organizam o domínio em uma estrutura conceitual amplamente adotada, composta por três camadas: a camada de percepção, responsável pela aquisição de grandezas do mundo físico por meio de sensores; a camada de rede, responsável pelo transporte dos dados; e a camada de aplicação, onde ocorrem o processamento, o armazenamento e a entrega de valor ao usuário final.</w:t>
      </w:r>
    </w:p>
    <w:p>
      <w:pPr>
        <w:spacing w:after="0" w:before="0" w:line="360"/>
        <w:ind w:firstLine="708"/>
        <w:jc w:val="both"/>
      </w:pPr>
      <w:r>
        <w:rPr>
          <w:rFonts w:ascii="Arial" w:cs="Arial" w:eastAsia="Arial" w:hAnsi="Arial"/>
          <w:b w:val="false"/>
          <w:bCs w:val="false"/>
          <w:i w:val="false"/>
          <w:iCs w:val="false"/>
          <w:caps w:val="false"/>
          <w:sz w:val="24"/>
          <w:szCs w:val="24"/>
        </w:rPr>
        <w:t xml:space="preserve">No domínio energético, a camada de percepção é ocupada por sensores de tensão e corrente acoplados a microcontroladores. A camada de rede tipicamente emprega Wi-Fi em ambientes residenciais, dada a disponibilidade prévia da infraestrutura, associada a protocolos de mensageria leves. Entre estes, destaca-se o MQTT, protocolo de publicação e assinatura padronizado pela OASIS (2019), projetado para operar sobre redes de banda limitada e dispositivos de recurso restrito, características típicas de nós IoT.</w:t>
      </w:r>
    </w:p>
    <w:p>
      <w:pPr>
        <w:spacing w:after="0" w:before="0" w:line="360"/>
        <w:ind w:firstLine="708"/>
        <w:jc w:val="both"/>
      </w:pPr>
      <w:r>
        <w:rPr>
          <w:rFonts w:ascii="Arial" w:cs="Arial" w:eastAsia="Arial" w:hAnsi="Arial"/>
          <w:b w:val="false"/>
          <w:bCs w:val="false"/>
          <w:i w:val="false"/>
          <w:iCs w:val="false"/>
          <w:caps w:val="false"/>
          <w:sz w:val="24"/>
          <w:szCs w:val="24"/>
        </w:rPr>
        <w:t xml:space="preserve">Atzori, Iera e Morabito (2010) advertem, contudo, que a mera coleta e transmissão de dados não constitui, por si só, uma solução: o valor emerge do processamento aplicado sobre os dados coletados. Essa observação estabelece a ponte necessária entre IoT e as técnicas de inteligência artificial discutidas adiante.</w:t>
      </w:r>
    </w:p>
    <w:p>
      <w:pPr>
        <w:pStyle w:val="Heading2"/>
        <w:spacing w:after="200" w:before="360" w:line="360"/>
        <w:jc w:val="left"/>
      </w:pPr>
      <w:r>
        <w:rPr>
          <w:rFonts w:ascii="Arial" w:cs="Arial" w:eastAsia="Arial" w:hAnsi="Arial"/>
          <w:b/>
          <w:bCs/>
          <w:i w:val="false"/>
          <w:iCs w:val="false"/>
          <w:caps w:val="false"/>
          <w:sz w:val="24"/>
          <w:szCs w:val="24"/>
        </w:rPr>
        <w:t xml:space="preserve">2.3 Medição de grandezas elétricas em sistemas embarcados</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elétricos por meio de sistemas embarcados admite duas abordagens principais. A medição intrusiva insere o instrumento em série ou em paralelo com o circuito, obtendo alta precisão ao custo de exigir intervenção física na instalação. A medição não intrusiva emprega acoplamento indutivo, por meio de transformadores de corrente do tipo alicate, que envolvem o condutor sem contato elétrico direto, oferecendo isolamento galvânico completo em troca de menor precisão e da necessidade de estimar ou medir separadamente a tensão.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alternada em tensão de rede, o transformador de corrente de núcleo bipartido constitui a solução consolidada em aplicações de monitoramento residencial. O dispositivo opera como transformador cujo primário é o próprio condutor sob medição e cujo secundário produz corrente proporcional, permitindo estimar o valor eficaz sem contato elétrico com o circuito monitorado. O projeto OpenEnergyMonitor (2024), referência técnica na área de monitoramento energético de edificações, adota esse princípio e documenta o modelo SCT-013 como sensor de referência, recomendando sua aplicação ao condutor de alimentação da edificação.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contínua e baixa potência, por contraste, emprega-se tipicamente a medição por resistor shunt, a exemplo do circuito integrado INA219 da Texas Instruments (2015), cuja faixa de operação se limita a barramentos de até 26 volts em corrente contínua, sendo por isso inaplicável à rede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plataforma de processamento, o microcontrolador ESP32, da Espressif Systems (2023), integra em encapsulamento único processador de dois núcleos, conversores analógico-digitais, interfaces I2C e SPI, e rádios Wi-Fi e Bluetooth nativos. Essa integração dispensa módulos de comunicação externos e reduz simultaneamente o custo e a complexidade do nó sensor, razão pela qual a plataforma predomina em trabalhos recentes de instrumentação IoT.</w:t>
      </w:r>
    </w:p>
    <w:p>
      <w:pPr>
        <w:spacing w:after="0" w:before="0" w:line="360"/>
        <w:ind w:firstLine="708"/>
        <w:jc w:val="both"/>
      </w:pPr>
      <w:r>
        <w:rPr>
          <w:rFonts w:ascii="Arial" w:cs="Arial" w:eastAsia="Arial" w:hAnsi="Arial"/>
          <w:b w:val="false"/>
          <w:bCs w:val="false"/>
          <w:i w:val="false"/>
          <w:iCs w:val="false"/>
          <w:caps w:val="false"/>
          <w:sz w:val="24"/>
          <w:szCs w:val="24"/>
        </w:rPr>
        <w:t xml:space="preserve">A seleção dos componentes de hardware deste trabalho foi conduzida por comparação sistemática entre alternativas concorrentes, considerando custo, consumo, interface de comunicação, isolamento elétrico e adequação à faixa de operação. As subseções seguintes documentam essa avaliação.</w:t>
      </w:r>
    </w:p>
    <w:p>
      <w:pPr>
        <w:pStyle w:val="Heading3"/>
        <w:spacing w:after="160" w:before="280" w:line="360"/>
        <w:jc w:val="left"/>
      </w:pPr>
      <w:r>
        <w:rPr>
          <w:rFonts w:ascii="Arial" w:cs="Arial" w:eastAsia="Arial" w:hAnsi="Arial"/>
          <w:b w:val="false"/>
          <w:bCs w:val="false"/>
          <w:i w:val="false"/>
          <w:iCs w:val="false"/>
          <w:caps w:val="false"/>
          <w:sz w:val="24"/>
          <w:szCs w:val="24"/>
        </w:rPr>
        <w:t xml:space="preserve">2.3.1 Comparativo de plataformas de processamento embarcado</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da plataforma de processamento condiciona custo, consumo, capacidade de comunicação e complexidade de desenvolvimento do nó. Foram avaliadas quatro alternativas de ampla adoção em projetos de instrumentação, conforme o Quadro 1.</w:t>
      </w:r>
    </w:p>
    <w:p>
      <w:pPr>
        <w:spacing w:after="80" w:before="240" w:line="240"/>
        <w:jc w:val="left"/>
      </w:pPr>
      <w:r>
        <w:rPr>
          <w:rFonts w:ascii="Arial" w:cs="Arial" w:eastAsia="Arial" w:hAnsi="Arial"/>
          <w:b w:val="false"/>
          <w:bCs w:val="false"/>
          <w:i w:val="false"/>
          <w:iCs w:val="false"/>
          <w:caps w:val="false"/>
          <w:sz w:val="20"/>
          <w:szCs w:val="20"/>
        </w:rPr>
        <w:t xml:space="preserve">Quadro 1 – Comparativo de plataformas de processamento embarcado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100"/>
        <w:gridCol w:w="900"/>
        <w:gridCol w:w="4400"/>
      </w:tblGrid>
      <w:tr>
        <w:trPr>
          <w:tblHeader/>
        </w:trPr>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Plataforma</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Conectividade</w:t>
            </w:r>
          </w:p>
        </w:tc>
        <w:tc>
          <w:tcPr>
            <w:tcW w:type="dxa" w:w="1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Consumo típico</w:t>
            </w:r>
          </w:p>
        </w:tc>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 aprox.</w:t>
            </w:r>
          </w:p>
        </w:tc>
        <w:tc>
          <w:tcPr>
            <w:tcW w:type="dxa" w:w="4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Avaliação para este trabalho</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Arduino Uno (ATmega328P)</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nativa; exige módulo externo</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R$ 60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A ausência de rádio nativo obrigaria a acrescentar módulo ESP-01 ou Ethernet, elevando custo total, número de pontos de falha e complexidade do firmware. Memória de 2 kB de RAM é insuficiente para buffer local e cliente TLS.</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Raspberry Pi 4</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Bluetooth e Ethernet nativos</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(2 a 6 W)</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R$ 400+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Custo cerca de dez vezes superior e consumo incompatível com nó permanentemente energizado. Executa sistema operacional completo, o que introduz necessidade de manutenção e risco de corrupção de cartão SD em operação contínua.</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ESP8266 (NodeMCU)</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nativo</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R$ 30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por margem estreita. Atende ao caso de uso, mas dispõe de um único núcleo, menor quantidade de memória e conversor analógico-digital de menor resolução, o que reduz a folga para expansão futura do firmware.</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WROOM-32)</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e Bluetooth nativos</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(aprox. 0,5 W)</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R$ 40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Selecionada. Rádio integrado, dois núcleos de processamento, memória suficiente para pilha TLS e buffer local, barramento I2C nativo e amplo ecossistema de bibliotecas. Serepas et al. (2025) documentam a viabilidade da plataforma para funções de gateway IoT residencial completo.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comparação evidencia que a decisão não se resume ao menor preço. O Arduino Uno é competitivo em custo unitário, mas perde a vantagem ao exigir módulo de comunicação adicional; o Raspberry Pi oferece capacidade muito superior à necessária, ao custo de preço e consumo desproporcionais. O ESP32 posiciona-se no ponto de equilíbrio entre custo, consumo e capacidade, razão pela qual predomina na literatura recente de monitoramento energético residencial.</w:t>
      </w:r>
    </w:p>
    <w:p>
      <w:pPr>
        <w:pStyle w:val="Heading3"/>
        <w:spacing w:after="160" w:before="280" w:line="360"/>
        <w:jc w:val="left"/>
      </w:pPr>
      <w:r>
        <w:rPr>
          <w:rFonts w:ascii="Arial" w:cs="Arial" w:eastAsia="Arial" w:hAnsi="Arial"/>
          <w:b w:val="false"/>
          <w:bCs w:val="false"/>
          <w:i w:val="false"/>
          <w:iCs w:val="false"/>
          <w:caps w:val="false"/>
          <w:sz w:val="24"/>
          <w:szCs w:val="24"/>
        </w:rPr>
        <w:t xml:space="preserve">2.3.2 Comparativo de sensores de medição elétrica</w:t>
      </w:r>
    </w:p>
    <w:p>
      <w:pPr>
        <w:spacing w:after="0" w:before="0" w:line="360"/>
        <w:ind w:firstLine="708"/>
        <w:jc w:val="both"/>
      </w:pPr>
      <w:r>
        <w:rPr>
          <w:rFonts w:ascii="Arial" w:cs="Arial" w:eastAsia="Arial" w:hAnsi="Arial"/>
          <w:b w:val="false"/>
          <w:bCs w:val="false"/>
          <w:i w:val="false"/>
          <w:iCs w:val="false"/>
          <w:caps w:val="false"/>
          <w:sz w:val="24"/>
          <w:szCs w:val="24"/>
        </w:rPr>
        <w:t xml:space="preserve">A seleção do sensor é condicionada por três exigências: operar em corrente alternada na tensão da rede residencial, dispensar qualquer intervenção que exponha condutores energizados, e apresentar custo compatível com a proposta. As alternativas avaliadas constam do Quadro 2.</w:t>
      </w:r>
    </w:p>
    <w:p>
      <w:pPr>
        <w:spacing w:after="80" w:before="240" w:line="240"/>
        <w:jc w:val="left"/>
      </w:pPr>
      <w:r>
        <w:rPr>
          <w:rFonts w:ascii="Arial" w:cs="Arial" w:eastAsia="Arial" w:hAnsi="Arial"/>
          <w:b w:val="false"/>
          <w:bCs w:val="false"/>
          <w:i w:val="false"/>
          <w:iCs w:val="false"/>
          <w:caps w:val="false"/>
          <w:sz w:val="20"/>
          <w:szCs w:val="20"/>
        </w:rPr>
        <w:t xml:space="preserve">Quadro 2 – Comparativo de sensores para medição de corrente em circuitos residenciais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100"/>
        <w:gridCol w:w="1500"/>
        <w:gridCol w:w="3800"/>
      </w:tblGrid>
      <w:tr>
        <w:trPr>
          <w:tblHeader/>
        </w:trPr>
        <w:tc>
          <w:tcPr>
            <w:tcW w:type="dxa" w:w="1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Sensor</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Grandeza e faixa</w:t>
            </w:r>
          </w:p>
        </w:tc>
        <w:tc>
          <w:tcPr>
            <w:tcW w:type="dxa" w:w="1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Interface</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Isolamento</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Avaliação para este trabalho</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INA219</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Tensão até 26 V e corrente em circuitos de corrente contínua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Digital I2C</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Não isolado; medição por resistor shunt</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Opera exclusivamente em corrente contínua e em barramentos de até 26 V, sendo eletricamente incompatível com a rede residencial em 127 V de corrente alternada (TEXAS INSTRUMENTS, 2015).</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ACS712</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Corrente contínua ou alternada até 5, 20 ou 30 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Analógica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Isolamento por efeito Hall</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Exige inserção em série no circuito, o que implica seccionar o condutor e expor pontos energizados. Apresenta ainda deriva térmica do valor de repouso e ruído significativo na saída analógica.</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PZEM-004T</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Tensão, corrente, potência, energia e fator de potência em corrente alternada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Serial (UART)</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Isolado no acoplamento, porém exige ligação galvânica à rede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Entrega o conjunto mais completo de grandezas, inclusive fator de potência, mas requer conexão direta aos condutores de fase e neutro para amostragem de tensão, o que contraria a exigência de não intervenção em condutores energizados.</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SCT-013-030 (transformador de corrente de núcleo bipartido)</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Corrente alternada até 30 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Analógica (saída em tensão, com resistor de carga interno)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Acoplamento exclusivamente magnético; isolamento galvânico total; não invasivo</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Selecionado. Mede por indução, envolvendo o condutor sem romper o isolamento nem estabelecer contato elétrico com a rede. É o sensor adotado como referência pelo projeto OpenEnergyMonitor (2024) para monitoramento de consumo em edificações. A mesma peça e a mesma técnica aplicam-se, sem alteração, ao condutor de entrada de uma unidade consumidora.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privilegia a segurança operacional e a fidelidade ao objeto de estudo em detrimento da completude das grandezas medidas. O SCT-013-030 fornece exclusivamente a corrente eficaz, de modo que a potência é obtida assumindo-se a tensão nominal da rede, conforme detalhado na seção 3.3. Trata-se de aproximação usual em sistemas de monitoramento residencial de baixo custo, cuja limitação está registrada na seção 9.7.</w:t>
      </w:r>
    </w:p>
    <w:p>
      <w:pPr>
        <w:spacing w:after="0" w:before="0" w:line="360"/>
        <w:ind w:firstLine="708"/>
        <w:jc w:val="both"/>
      </w:pPr>
      <w:r>
        <w:rPr>
          <w:rFonts w:ascii="Arial" w:cs="Arial" w:eastAsia="Arial" w:hAnsi="Arial"/>
          <w:b w:val="false"/>
          <w:bCs w:val="false"/>
          <w:i w:val="false"/>
          <w:iCs w:val="false"/>
          <w:caps w:val="false"/>
          <w:sz w:val="24"/>
          <w:szCs w:val="24"/>
        </w:rPr>
        <w:t xml:space="preserve">Cabe registrar uma restrição de instalação decorrente do princípio de funcionamento do sensor. O transformador de corrente deve envolver um único condutor. Caso seja aplicado sobre um cabo que contenha simultaneamente os condutores de ida e retorno, os campos magnéticos gerados por ambos se cancelam e a saída resultante é nula (OPENENERGYMONITOR, 2024). A separação prévia dos condutores é, portanto, condição necessária da medição, e o procedimento adotado está descrito na seção 3.3.</w:t>
      </w:r>
    </w:p>
    <w:p>
      <w:pPr>
        <w:pStyle w:val="Heading2"/>
        <w:spacing w:after="200" w:before="360" w:line="360"/>
        <w:jc w:val="left"/>
      </w:pPr>
      <w:r>
        <w:rPr>
          <w:rFonts w:ascii="Arial" w:cs="Arial" w:eastAsia="Arial" w:hAnsi="Arial"/>
          <w:b/>
          <w:bCs/>
          <w:i w:val="false"/>
          <w:iCs w:val="false"/>
          <w:caps w:val="false"/>
          <w:sz w:val="24"/>
          <w:szCs w:val="24"/>
        </w:rPr>
        <w:t xml:space="preserve">2.4 Aprendizado de máquina aplicado à previsão de consumo</w:t>
      </w:r>
    </w:p>
    <w:p>
      <w:pPr>
        <w:spacing w:after="0" w:before="0" w:line="360"/>
        <w:ind w:firstLine="708"/>
        <w:jc w:val="both"/>
      </w:pPr>
      <w:r>
        <w:rPr>
          <w:rFonts w:ascii="Arial" w:cs="Arial" w:eastAsia="Arial" w:hAnsi="Arial"/>
          <w:b w:val="false"/>
          <w:bCs w:val="false"/>
          <w:i w:val="false"/>
          <w:iCs w:val="false"/>
          <w:caps w:val="false"/>
          <w:sz w:val="24"/>
          <w:szCs w:val="24"/>
        </w:rPr>
        <w:t xml:space="preserve">A previsão de carga elétrica constitui problema clássico de análise de séries temporais. Hyndman e Athanasopoulos (2021) sistematizam o campo e estabelecem um princípio metodológico fundamental para este trabalho: qualquer modelo proposto deve ser confrontado com métodos de referência simples, sob pena de sua sofisticação não corresponder a ganho real de acurácia. Entre esses métodos de referência, destaca-se a previsão por persistência sazonal, na qual o valor previsto para determinado instante corresponde ao valor observado no mesmo instante do ciclo anterior.</w:t>
      </w:r>
    </w:p>
    <w:p>
      <w:pPr>
        <w:spacing w:after="0" w:before="0" w:line="360"/>
        <w:ind w:firstLine="708"/>
        <w:jc w:val="both"/>
      </w:pPr>
      <w:r>
        <w:rPr>
          <w:rFonts w:ascii="Arial" w:cs="Arial" w:eastAsia="Arial" w:hAnsi="Arial"/>
          <w:b w:val="false"/>
          <w:bCs w:val="false"/>
          <w:i w:val="false"/>
          <w:iCs w:val="false"/>
          <w:caps w:val="false"/>
          <w:sz w:val="24"/>
          <w:szCs w:val="24"/>
        </w:rPr>
        <w:t xml:space="preserve">Séries de consumo residencial apresentam múltiplas sazonalidades sobrepostas — diária, semanal e anual — e volatilidade substancialmente superior à observada em séries agregadas de subestações ou regiões, uma vez que refletem o comportamento estocástico de um número reduzido de indivíduos. Kong et al. (2019) documentam essa dificuldade e demonstram que redes neurais recorrentes do tipo Long Short-Term Memory, cuja arquitetura foi originalmente proposta por Hochreiter e Schmidhuber (1997), obtêm desempenho superior a métodos convencionais na previsão de curto prazo em nível domiciliar. Revisão sistemática recente conduzida por Dong et al. (2025) confirma a consolidação das abordagens de aprendizado profundo nesse domínio, mas registra que a acurácia em nível domiciliar permanece substancialmente inferior à obtida em séries agregadas, permanecendo como problema em aberto. Cao et al. (2025) reforçam esse diagnóstico ao afirmar que o desempenho dos modelos existentes para previsão residencial individual ainda é insuficiente, propondo arquiteturas híbridas que incorporam variáveis meteorológicas para mitigar a incerteza característica desse nível de 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Não obstante, a literatura registra que métodos baseados em árvores de decisão frequentemente igualam ou superam arquiteturas de aprendizado profundo em séries de extensão moderada, com custo computacional e esforço de ajuste significativamente inferiores. O algoritmo Random Forest, proposto por Breiman (2001), combina múltiplas árvores treinadas sobre amostras bootstrap e subconjuntos aleatórios de atributos, produzindo estimador de baixa variância, robusto a ruído e a valores atípicos, e capaz de capturar relações não lineares entre atributos de calendário e consumo sem necessidade de especificação prévia da forma funcional.</w:t>
      </w:r>
    </w:p>
    <w:p>
      <w:pPr>
        <w:spacing w:after="0" w:before="0" w:line="360"/>
        <w:ind w:firstLine="708"/>
        <w:jc w:val="both"/>
      </w:pPr>
      <w:r>
        <w:rPr>
          <w:rFonts w:ascii="Arial" w:cs="Arial" w:eastAsia="Arial" w:hAnsi="Arial"/>
          <w:b w:val="false"/>
          <w:bCs w:val="false"/>
          <w:i w:val="false"/>
          <w:iCs w:val="false"/>
          <w:caps w:val="false"/>
          <w:sz w:val="24"/>
          <w:szCs w:val="24"/>
        </w:rPr>
        <w:t xml:space="preserve">Uma linha de pesquisa correlata é a desagregação de cargas, ou monitoramento não intrusivo de aparelhos, inaugurada por Hart (1992), que propôs inferir o consumo individual de cada equipamento a partir da análise das transições no sinal agregado de entrada da residência. Kelly e Knottenbelt (2015a) reformularam o problema por meio de redes neurais profundas, obtendo avanços expressivos. Revisão sistemática recente de Xiang, Su e Zong (2026) organiza o estado atual do campo em métodos baseados em eventos e métodos baseados em estados, apontando como obstáculos persistentes à adoção prática a transferibilidade dos algoritmos entre domicílios, a qualidade dos dados e as preocupações com privacidade. A meta-análise de Jaime et al. (2026), que agregou trinta estudos revisados por pares, reporta desempenho médio expressivo para os modelos de desagregação, mas registra heterogeneidade extrema entre os trabalhos e carência de conjuntos de dados padronizados e de arcabouços de avaliação reprodutíveis. Embora a desagregação não integre o escopo do presente trabalho, que adota submedição direta em pontos instrumentados, o campo é registrado por delimitar a fronteira metodológica adotada.</w:t>
      </w:r>
    </w:p>
    <w:p>
      <w:pPr>
        <w:pStyle w:val="Heading2"/>
        <w:spacing w:after="200" w:before="360" w:line="360"/>
        <w:jc w:val="left"/>
      </w:pPr>
      <w:r>
        <w:rPr>
          <w:rFonts w:ascii="Arial" w:cs="Arial" w:eastAsia="Arial" w:hAnsi="Arial"/>
          <w:b/>
          <w:bCs/>
          <w:i w:val="false"/>
          <w:iCs w:val="false"/>
          <w:caps w:val="false"/>
          <w:sz w:val="24"/>
          <w:szCs w:val="24"/>
        </w:rPr>
        <w:t xml:space="preserve">2.5 Métricas de avaliação e validação temporal</w:t>
      </w:r>
    </w:p>
    <w:p>
      <w:pPr>
        <w:spacing w:after="0" w:before="0" w:line="360"/>
        <w:ind w:firstLine="708"/>
        <w:jc w:val="both"/>
      </w:pPr>
      <w:r>
        <w:rPr>
          <w:rFonts w:ascii="Arial" w:cs="Arial" w:eastAsia="Arial" w:hAnsi="Arial"/>
          <w:b w:val="false"/>
          <w:bCs w:val="false"/>
          <w:i w:val="false"/>
          <w:iCs w:val="false"/>
          <w:caps w:val="false"/>
          <w:sz w:val="24"/>
          <w:szCs w:val="24"/>
        </w:rPr>
        <w:t xml:space="preserve">A avaliação de modelos de previsão emprega convencionalmente três métricas complementares. O erro absoluto médio, ou MAE, expressa o erro na mesma unidade da grandeza medida e é robusto a valores atípicos. A raiz do erro quadrático médio, ou RMSE, penaliza desproporcionalmente erros de grande magnitude, sendo indicada quando erros severos são particularmente indesejáveis. O erro percentual absoluto médio, ou MAPE, é adimensional e permite comparação entre séries de escalas distintas, apresentando, contudo, instabilidade quando os valores observados se aproximam de zero — condição que ocorre em séries residenciais durante períodos de consumo mínimo (HYNDMAN;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Hyndman e Athanasopoulos (2021) enfatizam ainda que a validação de modelos de séries temporais não admite particionamento aleatório dos dados. O embaralhamento das amostras permitiria ao modelo acessar informação futura durante o treinamento, configurando vazamento de dados e produzindo estimativa de desempenho artificialmente otimista. A validação deve, portanto, respeitar a ordem cronológica, mediante partição sequencial ou validação cruzada em janelas progressivas.</w:t>
      </w:r>
    </w:p>
    <w:p>
      <w:pPr>
        <w:pStyle w:val="Heading2"/>
        <w:spacing w:after="200" w:before="360" w:line="360"/>
        <w:jc w:val="left"/>
      </w:pPr>
      <w:r>
        <w:rPr>
          <w:rFonts w:ascii="Arial" w:cs="Arial" w:eastAsia="Arial" w:hAnsi="Arial"/>
          <w:b/>
          <w:bCs/>
          <w:i w:val="false"/>
          <w:iCs w:val="false"/>
          <w:caps w:val="false"/>
          <w:sz w:val="24"/>
          <w:szCs w:val="24"/>
        </w:rPr>
        <w:t xml:space="preserve">2.6 Bases de dados públicas</w:t>
      </w:r>
    </w:p>
    <w:p>
      <w:pPr>
        <w:spacing w:after="0" w:before="0" w:line="360"/>
        <w:ind w:firstLine="708"/>
        <w:jc w:val="both"/>
      </w:pPr>
      <w:r>
        <w:rPr>
          <w:rFonts w:ascii="Arial" w:cs="Arial" w:eastAsia="Arial" w:hAnsi="Arial"/>
          <w:b w:val="false"/>
          <w:bCs w:val="false"/>
          <w:i w:val="false"/>
          <w:iCs w:val="false"/>
          <w:caps w:val="false"/>
          <w:sz w:val="24"/>
          <w:szCs w:val="24"/>
        </w:rPr>
        <w:t xml:space="preserve">A construção de modelos de previsão exige volume de dados históricos que raramente se obtém no prazo de execução de um trabalho de graduação. A comunidade científica disponibiliza bases públicas que suprem essa limitação. A base Individual Household Electric Power Consumption, disponibilizada por Hebrail e Berard (2012) no repositório de aprendizado de máquina da Universidade da Califórnia em Irvine, contém aproximadamente quatro anos de medições de potência ativa, potência reativa, tensão e corrente de uma residência, com resolução de um minuto, além de três submedidores setoriais. A base UK-DALE, descrita por Kelly e Knottenbelt (2015b), fornece medições agregadas e por aparelho de cinco residências do Reino Unido, com resolução temporal elevada, sendo referência consolidada em estudos de desagregação.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dessas bases em conjunto com dados coletados por instrumentação própria constitui prática metodologicamente aceita, desde que a distinção entre as duas origens seja explicitada e que as conclusões respeitem o alcance de cada conjunto.</w:t>
      </w:r>
    </w:p>
    <w:p>
      <w:pPr>
        <w:pStyle w:val="Heading2"/>
        <w:spacing w:after="200" w:before="360" w:line="360"/>
        <w:jc w:val="left"/>
      </w:pPr>
      <w:r>
        <w:rPr>
          <w:rFonts w:ascii="Arial" w:cs="Arial" w:eastAsia="Arial" w:hAnsi="Arial"/>
          <w:b/>
          <w:bCs/>
          <w:i w:val="false"/>
          <w:iCs w:val="false"/>
          <w:caps w:val="false"/>
          <w:sz w:val="24"/>
          <w:szCs w:val="24"/>
        </w:rPr>
        <w:t xml:space="preserve">2.7 Trabalhos relacionados e lacunas identificadas</w:t>
      </w:r>
    </w:p>
    <w:p>
      <w:pPr>
        <w:spacing w:after="0" w:before="0" w:line="360"/>
        <w:ind w:firstLine="708"/>
        <w:jc w:val="both"/>
      </w:pPr>
      <w:r>
        <w:rPr>
          <w:rFonts w:ascii="Arial" w:cs="Arial" w:eastAsia="Arial" w:hAnsi="Arial"/>
          <w:b w:val="false"/>
          <w:bCs w:val="false"/>
          <w:i w:val="false"/>
          <w:iCs w:val="false"/>
          <w:caps w:val="false"/>
          <w:sz w:val="24"/>
          <w:szCs w:val="24"/>
        </w:rPr>
        <w:t xml:space="preserve">O cotejo dos trabalhos analisados permite identificar três padrões recorrentes. O primeiro é a concentração de estudos em uma única etapa da cadeia: há literatura abundante sobre modelos de previsão avaliados isoladamente sobre bases públicas, e literatura igualmente abundante sobre plataformas de monitoramento IoT sem componente preditivo, mas é comparativamente escassa a documentação integral de sistemas que percorram todo o percurso, da aquisição física à entrega da previsão ao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padrão é a ausência frequente de baselines de comparação. Diversos trabalhos reportam métricas de modelos sofisticados sem confrontá-las com métodos triviais, o que impossibilita avaliar o ganho efetivo obtido, contrariando a recomendação metodológica de Hyndman e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padrão é a omissão da camada de nuvem. Muitos protótipos armazenam dados localmente, sem discutir a arquitetura de implantação, os custos operacionais e os requisitos de segurança que a operação real imporia.</w:t>
      </w:r>
    </w:p>
    <w:p>
      <w:pPr>
        <w:spacing w:after="0" w:before="0" w:line="360"/>
        <w:ind w:firstLine="708"/>
        <w:jc w:val="both"/>
      </w:pPr>
      <w:r>
        <w:rPr>
          <w:rFonts w:ascii="Arial" w:cs="Arial" w:eastAsia="Arial" w:hAnsi="Arial"/>
          <w:b w:val="false"/>
          <w:bCs w:val="false"/>
          <w:i w:val="false"/>
          <w:iCs w:val="false"/>
          <w:caps w:val="false"/>
          <w:sz w:val="24"/>
          <w:szCs w:val="24"/>
        </w:rPr>
        <w:t xml:space="preserve">O presente trabalho posiciona-se nessas três lacunas ao documentar a cadeia completa, ao adotar baseline explícito de comparação e ao especificar integralmente a infraestrutura em nuvem, incluindo sua estimativa de custo.</w:t>
      </w:r>
    </w:p>
    <w:p>
      <w:pPr>
        <w:pStyle w:val="Heading2"/>
        <w:spacing w:after="200" w:before="360" w:line="360"/>
        <w:jc w:val="left"/>
      </w:pPr>
      <w:r>
        <w:rPr>
          <w:rFonts w:ascii="Arial" w:cs="Arial" w:eastAsia="Arial" w:hAnsi="Arial"/>
          <w:b/>
          <w:bCs/>
          <w:i w:val="false"/>
          <w:iCs w:val="false"/>
          <w:caps w:val="false"/>
          <w:sz w:val="24"/>
          <w:szCs w:val="24"/>
        </w:rPr>
        <w:t xml:space="preserve">2.8 Tendências recentes e posicionamento tecnológico</w:t>
      </w:r>
    </w:p>
    <w:p>
      <w:pPr>
        <w:spacing w:after="0" w:before="0" w:line="360"/>
        <w:ind w:firstLine="708"/>
        <w:jc w:val="both"/>
      </w:pPr>
      <w:r>
        <w:rPr>
          <w:rFonts w:ascii="Arial" w:cs="Arial" w:eastAsia="Arial" w:hAnsi="Arial"/>
          <w:b w:val="false"/>
          <w:bCs w:val="false"/>
          <w:i w:val="false"/>
          <w:iCs w:val="false"/>
          <w:caps w:val="false"/>
          <w:sz w:val="24"/>
          <w:szCs w:val="24"/>
        </w:rPr>
        <w:t xml:space="preserve">A literatura publicada entre 2024 e 2026 evidencia três movimentos relevantes para o posicionamento deste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a consolidação do ESP32 como plataforma de referência para nós e gateways de monitoramento energético residencial. Serepas et al. (2025) demonstram a viabilidade de implementar em um dispositivo baseado nesse microcontrolador funcionalidades habitualmente atribuídas a gateways de maior porte, incluindo conectividade MQTT sobre TLS, interface web embarcada e armazenamento local, com ocupação de memória inferior a sete por cento em operação normal. Esse resultado sustenta empiricamente a escolha de hardware adotada neste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o deslocamento de parte do processamento para a borda da rede. Sierra et al. (2025) avaliam a execução de algoritmos de desagregação em dispositivos de borda e concluem que, embora a acurácia se mantenha estável entre plataformas, a inferência em tempo real permanece inviável no hardware avaliado sem otimização algorítmica adicional. Essa constatação fundamenta a decisão arquitetural deste trabalho de manter a inferência na nuvem, e não no dispositivo.</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a persistência das lacunas metodológicas. Tanto Dong et al. (2025) quanto Jaime et al. (2026) apontam a ausência de arcabouços de avaliação reprodutíveis e a heterogeneidade dos protocolos experimentais como limitações recorrentes da literatura recente, o que reforça a pertinência de um trabalho que documente integralmente seu procedimento e adote baseline explícito de comparação.</w:t>
      </w:r>
    </w:p>
    <w:p>
      <w:pPr>
        <w:pStyle w:val="Heading2"/>
        <w:spacing w:after="200" w:before="360" w:line="360"/>
        <w:jc w:val="left"/>
      </w:pPr>
      <w:r>
        <w:rPr>
          <w:rFonts w:ascii="Arial" w:cs="Arial" w:eastAsia="Arial" w:hAnsi="Arial"/>
          <w:b/>
          <w:bCs/>
          <w:i w:val="false"/>
          <w:iCs w:val="false"/>
          <w:caps w:val="false"/>
          <w:sz w:val="24"/>
          <w:szCs w:val="24"/>
        </w:rPr>
        <w:t xml:space="preserve">2.9 Hipóteses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Com base na literatura revisada, formulam-se as seguintes hipóteses, cuja verificação é apresentada na seção 9:</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H1 — Um nó de medição construído com componentes de baixo custo, composto por microcontrolador ESP32 e transformador de corrente não invasivo, estima a potência de cargas residenciais com erro relativo inferior a 10% em relação a um instrumento de referência.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H2 — A arquitetura em nuvem proposta sustenta a ingestão contínua de telemetria do nó de medição sem perda de mensagens, mantendo latência fim a fim compatível com visualização em tempo quase real.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H3 — Modelos de aprendizado supervisionado treinados sobre a série histórica de consumo produzem previsão de curto prazo com erro inferior ao do baseline de persistência sazonal.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H4 — A disponibilização das previsões em interface web permite ao usuário identificar padrões acionáveis de consumo, tais como horários de pico e cargas dominantes.</w:t>
      </w:r>
    </w:p>
    <w:p>
      <w:r>
        <w:br w:type="page"/>
      </w:r>
    </w:p>
    <w:p>
      <w:pPr>
        <w:pStyle w:val="Heading1"/>
        <w:spacing w:after="240" w:before="480" w:line="360"/>
        <w:jc w:val="left"/>
      </w:pPr>
      <w:r>
        <w:rPr>
          <w:rFonts w:ascii="Arial" w:cs="Arial" w:eastAsia="Arial" w:hAnsi="Arial"/>
          <w:b/>
          <w:bCs/>
          <w:i w:val="false"/>
          <w:iCs w:val="false"/>
          <w:caps/>
          <w:sz w:val="24"/>
          <w:szCs w:val="24"/>
        </w:rPr>
        <w:t xml:space="preserve">3 METODOLOGIA</w:t>
      </w:r>
    </w:p>
    <w:p>
      <w:pPr>
        <w:pStyle w:val="Heading2"/>
        <w:spacing w:after="200" w:before="360" w:line="360"/>
        <w:jc w:val="left"/>
      </w:pPr>
      <w:r>
        <w:rPr>
          <w:rFonts w:ascii="Arial" w:cs="Arial" w:eastAsia="Arial" w:hAnsi="Arial"/>
          <w:b/>
          <w:bCs/>
          <w:i w:val="false"/>
          <w:iCs w:val="false"/>
          <w:caps w:val="false"/>
          <w:sz w:val="24"/>
          <w:szCs w:val="24"/>
        </w:rPr>
        <w:t xml:space="preserve">3.1 Classificação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natureza, esta pesquisa classifica-se como aplicada, uma vez que se destina à produção de conhecimento dirigido à solução de um problema concreto, materializado em um sistema funcional. Quanto à abordagem, classifica-se como quantitativa, pois opera sobre grandezas mensuráveis — corrente eficaz, potência e energia — coletadas sistematicamente e submetidas a tratamento estatístico e a modelos matemáticos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a pesquisa é descritiva e explicativa: descreve o comportamento do consumo observado e busca explicar a relação entre variáveis de calendário e o consumo subsequente. Quanto aos procedimentos técnicos, é experimental, pois submete o sistema construído a cenários de carga controlados e observa o comportamento resultante, e bibliográfica na etapa de fundamentação.</w:t>
      </w:r>
    </w:p>
    <w:p>
      <w:pPr>
        <w:pStyle w:val="Heading2"/>
        <w:spacing w:after="200" w:before="360" w:line="360"/>
        <w:jc w:val="left"/>
      </w:pPr>
      <w:r>
        <w:rPr>
          <w:rFonts w:ascii="Arial" w:cs="Arial" w:eastAsia="Arial" w:hAnsi="Arial"/>
          <w:b/>
          <w:bCs/>
          <w:i w:val="false"/>
          <w:iCs w:val="false"/>
          <w:caps w:val="false"/>
          <w:sz w:val="24"/>
          <w:szCs w:val="24"/>
        </w:rPr>
        <w:t xml:space="preserve">3.2 Delineamento experimental</w:t>
      </w:r>
    </w:p>
    <w:p>
      <w:pPr>
        <w:spacing w:after="0" w:before="0" w:line="360"/>
        <w:ind w:firstLine="708"/>
        <w:jc w:val="both"/>
      </w:pPr>
      <w:r>
        <w:rPr>
          <w:rFonts w:ascii="Arial" w:cs="Arial" w:eastAsia="Arial" w:hAnsi="Arial"/>
          <w:b w:val="false"/>
          <w:bCs w:val="false"/>
          <w:i w:val="false"/>
          <w:iCs w:val="false"/>
          <w:caps w:val="false"/>
          <w:sz w:val="24"/>
          <w:szCs w:val="24"/>
        </w:rPr>
        <w:t xml:space="preserve">O experimento foi estruturado em duas frentes complementares, cuja separação é essencial para a correta interpretação dos resultados.</w:t>
      </w:r>
    </w:p>
    <w:p>
      <w:pPr>
        <w:spacing w:after="0" w:before="0" w:line="360"/>
        <w:ind w:firstLine="708"/>
        <w:jc w:val="both"/>
      </w:pPr>
      <w:r>
        <w:rPr>
          <w:rFonts w:ascii="Arial" w:cs="Arial" w:eastAsia="Arial" w:hAnsi="Arial"/>
          <w:b w:val="false"/>
          <w:bCs w:val="false"/>
          <w:i w:val="false"/>
          <w:iCs w:val="false"/>
          <w:caps w:val="false"/>
          <w:sz w:val="24"/>
          <w:szCs w:val="24"/>
        </w:rPr>
        <w:t xml:space="preserve">A primeira frente é a validação da cadeia de instrumentação e transmissão. Nela, o protótipo é submetido a cargas residenciais de potência conhecida, e as medições reportadas pelo sistema são confrontadas com as de um instrumento de referência. Esta frente responde às hipóteses H1 e H2 e produz dados de curta duração, adequados à verificação de acurácia e integridade do fluxo, porém insuficientes em extensão temporal para o treinamento de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A segunda frente é a validação da capacidade preditiva. Nela, os modelos de previsão são treinados e avaliados sobre a base pública descrita na seção 3.5, que oferece extensão histórica compatível com a captura de sazonalidades diária e semanal. Esta frente responde à hipótese H3.</w:t>
      </w:r>
    </w:p>
    <w:p>
      <w:pPr>
        <w:spacing w:after="0" w:before="0" w:line="360"/>
        <w:ind w:firstLine="708"/>
        <w:jc w:val="both"/>
      </w:pPr>
      <w:r>
        <w:rPr>
          <w:rFonts w:ascii="Arial" w:cs="Arial" w:eastAsia="Arial" w:hAnsi="Arial"/>
          <w:b w:val="false"/>
          <w:bCs w:val="false"/>
          <w:i w:val="false"/>
          <w:iCs w:val="false"/>
          <w:caps w:val="false"/>
          <w:sz w:val="24"/>
          <w:szCs w:val="24"/>
        </w:rPr>
        <w:t xml:space="preserve">A adoção de duas frentes decorre de uma restrição temporal incontornável: a captura confiável de sazonalidade semanal exige série contínua de várias semanas, prazo que compete diretamente com o cronograma de desenvolvimento do próprio sistema. Reconhecer explicitamente essa separação, em vez de treinar modelos sobre série própria de extensão insuficiente e reportar métricas sem validade estatística, constitui decisão metodológica deliberada. A limitação decorrente está registrada na seção 9.6.</w:t>
      </w:r>
    </w:p>
    <w:p>
      <w:pPr>
        <w:pStyle w:val="Heading2"/>
        <w:spacing w:after="200" w:before="360" w:line="360"/>
        <w:jc w:val="left"/>
      </w:pPr>
      <w:r>
        <w:rPr>
          <w:rFonts w:ascii="Arial" w:cs="Arial" w:eastAsia="Arial" w:hAnsi="Arial"/>
          <w:b/>
          <w:bCs/>
          <w:i w:val="false"/>
          <w:iCs w:val="false"/>
          <w:caps w:val="false"/>
          <w:sz w:val="24"/>
          <w:szCs w:val="24"/>
        </w:rPr>
        <w:t xml:space="preserve">3.3 Arranjo experimental e considerações de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residenciais em 127 ou 220 volts de corrente alternada envolve risco de choque elétrico e de arco elétrico sempre que houver seccionamento de condutores, remoção de isolamento ou contato com partes energizadas. O arranjo experimental adotado neste trabalho elimina integralmente essa exposição por meio da escolha de um método de medição não invasivo.</w:t>
      </w:r>
    </w:p>
    <w:p>
      <w:pPr>
        <w:spacing w:after="0" w:before="0" w:line="360"/>
        <w:ind w:firstLine="708"/>
        <w:jc w:val="both"/>
      </w:pPr>
      <w:r>
        <w:rPr>
          <w:rFonts w:ascii="Arial" w:cs="Arial" w:eastAsia="Arial" w:hAnsi="Arial"/>
          <w:b w:val="false"/>
          <w:bCs w:val="false"/>
          <w:i w:val="false"/>
          <w:iCs w:val="false"/>
          <w:caps w:val="false"/>
          <w:sz w:val="24"/>
          <w:szCs w:val="24"/>
        </w:rPr>
        <w:t xml:space="preserve">O objeto instrumentado é um circuito derivado de uma unidade consumidora residencial, materializado por um conjunto de tomadas alimentado diretamente da rede elétrica predial. Trata-se, portanto, de medição de consumo residencial real, em tensão de rede, e não de simulação em escala de laboratório. A instrumentação é realizada por transformador de corrente de núcleo bipartido, modelo SCT-013-030, cujo princípio de funcionamento é o acoplamento magnético: o sensor envolve o condutor e mede o campo por ele produzido, sem qualquer contato elétrico e sem que o isolamento seja rompido em nenhum momento.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instalação observa a restrição de condutor único descrita na seção 2.3.2 e é executado do seguinte modo. O cabo de alimentação do conjunto de tomadas é do tipo paralelo, constituído por dois condutores isolados unidos por uma membrana plástica de pequena espessura. Essa membrana é separada manualmente ao longo de aproximadamente dez centímetros, o que individualiza os condutores preservando integralmente o isolamento de ambos. O transformador de corrente é então fechado em torno de um único condutor. Em nenhuma etapa do procedimento há corte, decapagem, emenda ou exposição de material condutor.</w:t>
      </w:r>
    </w:p>
    <w:p>
      <w:pPr>
        <w:spacing w:after="0" w:before="0" w:line="360"/>
        <w:ind w:firstLine="708"/>
        <w:jc w:val="both"/>
      </w:pPr>
      <w:r>
        <w:rPr>
          <w:rFonts w:ascii="Arial" w:cs="Arial" w:eastAsia="Arial" w:hAnsi="Arial"/>
          <w:b w:val="false"/>
          <w:bCs w:val="false"/>
          <w:i w:val="false"/>
          <w:iCs w:val="false"/>
          <w:caps w:val="false"/>
          <w:sz w:val="24"/>
          <w:szCs w:val="24"/>
        </w:rPr>
        <w:t xml:space="preserve">A faixa nominal do sensor, de trinta ampères, é substancialmente superior às correntes efetivamente medidas no circuito instrumentado, que se situam abaixo de dois ampères. Essa diferença de escala reduz a resolução efetiva da medição. Para mitigá-la, adotou-se a técnica de espiras múltiplas: em vez de atravessar a janela do transformador uma única vez, o condutor é enrolado três vezes através dela. O sensor passa a perceber o triplo da corrente real, o que multiplica por três a resolução, e o firmware divide o valor lido pelo número de espiras para restituir a grandeza verdadeira. O número de espiras adotado é registrado como parâmetro do experimento, por afetar diretamente a reprodutibilidade.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sinal de saída do sensor é uma tensão alternada de baixa amplitude, situada na faixa de zero a um volt, eletricamente isolada da rede. Esse sinal é condicionado por um divisor resistivo que introduz um deslocamento de nível em corrente contínua, de modo a tornar o semiciclo negativo legível pelo conversor analógico-digital do ESP32. Todo o circuito de condicionamento e o microcontrolador operam em 3,3 volts, alimentados por porta USB, e permanecem galvanicamente isolados da rede elétrica.</w:t>
      </w:r>
    </w:p>
    <w:p>
      <w:pPr>
        <w:spacing w:after="0" w:before="0" w:line="360"/>
        <w:ind w:firstLine="708"/>
        <w:jc w:val="both"/>
      </w:pPr>
      <w:r>
        <w:rPr>
          <w:rFonts w:ascii="Arial" w:cs="Arial" w:eastAsia="Arial" w:hAnsi="Arial"/>
          <w:b w:val="false"/>
          <w:bCs w:val="false"/>
          <w:i w:val="false"/>
          <w:iCs w:val="false"/>
          <w:caps w:val="false"/>
          <w:sz w:val="24"/>
          <w:szCs w:val="24"/>
        </w:rPr>
        <w:t xml:space="preserve">A potência é obtida pelo produto entre a corrente eficaz medida e a tensão nominal da rede, assumida constante. O sistema fornece, portanto, potência aparente. Para cargas predominantemente resistivas o valor obtido aproxima-se da potência ativa; para cargas com fator de potência inferior à unidade, como motores e fontes chaveadas, verifica-se desvio proporcional. Essa aproximação é prática corrente em sistemas de monitoramento residencial de baixo custo e sua implicação está registrada entre as limitações do trabalho, na seção 9.7.</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um atributo relevante da solução adotada: o sensor empregado e o procedimento descrito são idênticos aos utilizados na medição do condutor de entrada de uma unidade consumidora. A diferença entre o circuito instrumentado neste trabalho e o circuito geral de uma residência reside exclusivamente na magnitude da corrente, não na natureza do fenômeno nem no método de medição. A transposição do sistema para a medição do consumo total de uma residência não demanda alteração de sensor, de firmware, de arquitetura ou de modelo de dados, requerendo apenas o reposicionamento do transformador de corrente no condutor de entrada, operação que deve ser conduzida por profissional habilitado por envolver acesso ao quadro de distribuição.</w:t>
      </w:r>
    </w:p>
    <w:p>
      <w:pPr>
        <w:spacing w:after="80" w:before="240" w:line="240"/>
        <w:jc w:val="left"/>
      </w:pPr>
      <w:r>
        <w:rPr>
          <w:rFonts w:ascii="Arial" w:cs="Arial" w:eastAsia="Arial" w:hAnsi="Arial"/>
          <w:b w:val="false"/>
          <w:bCs w:val="false"/>
          <w:i w:val="false"/>
          <w:iCs w:val="false"/>
          <w:caps w:val="false"/>
          <w:sz w:val="20"/>
          <w:szCs w:val="20"/>
        </w:rPr>
        <w:t xml:space="preserve">Quadro 3 – Cargas acionadas no circuito instrumentado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3000"/>
        <w:gridCol w:w="3100"/>
      </w:tblGrid>
      <w:tr>
        <w:trPr>
          <w:tblHeader/>
        </w:trPr>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típica</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 residencial representada</w:t>
            </w:r>
          </w:p>
        </w:tc>
        <w:tc>
          <w:tcPr>
            <w:tcW w:type="dxa" w:w="3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Padrão de acionamento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carga acionada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Residência desocupada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de base</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9 a 15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Iluminação</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Acionamento prolongado e estável, típico do período noturno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telefone celular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 a 20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eletrônico em carga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decrescente ao longo do ciclo de carga</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45 a 90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Equipamento com motor</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Regime permanente com pico na partida</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60 a 90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eletrônico de maior porte</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variável conforme a demanda do equipamento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Combinação de cargas simultâneas</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150 a 250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Período de maior demanda da residência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Pico de consumo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O acionamento das cargas é realizado manualmente, mediante conexão e desconexão dos equipamentos ao conjunto de tomadas, e cada evento é registrado com o respectivo instante para posterior confronto com a série medida. A alternância entre as configurações do Quadro 3 reproduz a sucessão de períodos de consumo nulo, baixo, intermediário e de pico que caracteriza a curva de carga residencial, condição necessária para que a série coletada apresente estrutura temporal analisável pelos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Optou-se por não empregar dispositivos de comutação automática, tais como módulos de relé, no acionamento das cargas. A automação exigiria que o circuito de comutação fosse inserido no caminho da corrente em tensão de rede, o que reintroduziria precisamente a exposição a condutores energizados que a escolha do sensor não invasivo eliminou. A perda decorrente é operacional e não metodológica, uma vez que o registro manual dos eventos de acionamento cumpre a mesma função de rastreabilidade.</w:t>
      </w:r>
    </w:p>
    <w:p>
      <w:pPr>
        <w:pStyle w:val="Heading2"/>
        <w:spacing w:after="200" w:before="360" w:line="360"/>
        <w:jc w:val="left"/>
      </w:pPr>
      <w:r>
        <w:rPr>
          <w:rFonts w:ascii="Arial" w:cs="Arial" w:eastAsia="Arial" w:hAnsi="Arial"/>
          <w:b/>
          <w:bCs/>
          <w:i w:val="false"/>
          <w:iCs w:val="false"/>
          <w:caps w:val="false"/>
          <w:sz w:val="24"/>
          <w:szCs w:val="24"/>
        </w:rPr>
        <w:t xml:space="preserve">3.4 Procedimento de coleta de dados do protótipo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coleta segue as etapas descritas a seguir: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Preparação do circuito instrumentado, compreendendo a separação manual dos condutores do cabo de alimentação do conjunto de tomadas e o fechamento do transformador de corrente em torno de um único condutor.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Montagem do circuito de condicionamento em placa de prototipagem, compreendendo o divisor resistivo de deslocamento de nível e o capacitor de desacoplamento, com a saída conectada a uma entrada analógica do ESP32.</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Sincronização do relógio interno do ESP32 com servidor NTP no instante da inicialização, garantindo que o registro temporal seja independente do instante de recepção pelo servidor e consistente com eventuais nós acrescentados posteriormente.</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de leituras periódicas a intervalo de cinco segundos. Cada leitura corresponde à amostragem de um conjunto de ciclos da rede, a partir do qual se calcula o valor eficaz da corrente pelo método da raiz do valor quadrático médio, implementado pela biblioteca EmonLib. A potência é obtida pelo produto entre a corrente eficaz e a tensão nominal, e a energia por integração no intervalo.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Serialização das medições em formato JSON, contendo o identificador do dispositivo, os valores de tensão, corrente, potência e energia, e o registro temporal no padrão ISO 8601.</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Publicação da mensagem em tópico MQTT dedicado ao dispositivo, sobre conexão TLS, com qualidade de serviço nível 1, que assegura entrega ao menos uma vez.</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Armazenamento local em buffer circular na memória do microcontrolador em caso de indisponibilidade do enlace, com retransmissão automática após o restabelecimento da conexão.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dos cenários de carga previstos no Quadro 3, com registro em caderno de laboratório do instante de acionamento e desligamento de cada equipamento, para posterior confronto com a série agregada registrada.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Aferição das medições contra instrumento de referência comercial, constituído por wattímetro de tomada com indicação de potência ativa, tensão, corrente e fator de potência, interposto entre a rede e o circuito instrumentado durante os ensaios de validação.</w:t>
      </w:r>
    </w:p>
    <w:p>
      <w:pPr>
        <w:pStyle w:val="Heading2"/>
        <w:spacing w:after="200" w:before="360" w:line="360"/>
        <w:jc w:val="left"/>
      </w:pPr>
      <w:r>
        <w:rPr>
          <w:rFonts w:ascii="Arial" w:cs="Arial" w:eastAsia="Arial" w:hAnsi="Arial"/>
          <w:b/>
          <w:bCs/>
          <w:i w:val="false"/>
          <w:iCs w:val="false"/>
          <w:caps w:val="false"/>
          <w:sz w:val="24"/>
          <w:szCs w:val="24"/>
        </w:rPr>
        <w:t xml:space="preserve">3.5 Base de dados pública utilizada</w:t>
      </w:r>
    </w:p>
    <w:p>
      <w:pPr>
        <w:spacing w:after="0" w:before="0" w:line="360"/>
        <w:ind w:firstLine="708"/>
        <w:jc w:val="both"/>
      </w:pPr>
      <w:r>
        <w:rPr>
          <w:rFonts w:ascii="Arial" w:cs="Arial" w:eastAsia="Arial" w:hAnsi="Arial"/>
          <w:b w:val="false"/>
          <w:bCs w:val="false"/>
          <w:i w:val="false"/>
          <w:iCs w:val="false"/>
          <w:caps w:val="false"/>
          <w:sz w:val="24"/>
          <w:szCs w:val="24"/>
        </w:rPr>
        <w:t xml:space="preserve">Para o treinamento e a avaliação dos modelos preditivos, empregou-se a base Individual Household Electric Power Consumption (HEBRAIL; BERARD, 2012), que registra o consumo de uma residência localizada em Sceaux, França, no período de dezembro de 2006 a novembro de 2010, com resolução de um minuto. A base contém aproximadamente dois milhões de registros e disponibiliza as variáveis de potência ativa global, potência reativa global, tensão, intensidade de corrente e três submedidores setoriais.</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justifica-se por quatro critérios: a extensão temporal, suficiente para a captura das sazonalidades relevantes; a granularidade, superior à necessária, permitindo agregação para a resolução de trabalho; a origem residencial unifamiliar, análoga ao objeto do sistema proposto; e a ampla utilização da base em trabalhos publicados, o que confere comparabilidade aos resultados obtidos.</w:t>
      </w:r>
    </w:p>
    <w:p>
      <w:pPr>
        <w:pStyle w:val="Heading2"/>
        <w:spacing w:after="200" w:before="360" w:line="360"/>
        <w:jc w:val="left"/>
      </w:pPr>
      <w:r>
        <w:rPr>
          <w:rFonts w:ascii="Arial" w:cs="Arial" w:eastAsia="Arial" w:hAnsi="Arial"/>
          <w:b/>
          <w:bCs/>
          <w:i w:val="false"/>
          <w:iCs w:val="false"/>
          <w:caps w:val="false"/>
          <w:sz w:val="24"/>
          <w:szCs w:val="24"/>
        </w:rPr>
        <w:t xml:space="preserve">3.6 Pré-processamento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A série bruta foi submetida às seguintes operações de preparação: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Conversão dos campos de data e hora em índice temporal único e verificação da monotonicidade da série.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Tratamento de valores ausentes, presentes em aproximadamente 1,25% dos registros da base pública. Lacunas de duração igual ou inferior a sessenta minutos foram preenchidas por interpolação linear; lacunas superiores foram descartadas junto com as janelas de treinamento que as contivessem.</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Reamostragem da série para resolução horária, mediante soma da energia consumida no intervalo, produzindo a variável-alvo do problema de previsão.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Detecção de valores atípicos pelo critério do intervalo interquartil, com inspeção individual dos pontos sinalizados antes de qualquer remoção, evitando a supressão de picos de consumo legítimos.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Construção dos atributos preditores, descritos na seção 3.7.</w:t>
      </w:r>
    </w:p>
    <w:p>
      <w:pPr>
        <w:pStyle w:val="Heading2"/>
        <w:spacing w:after="200" w:before="360" w:line="360"/>
        <w:jc w:val="left"/>
      </w:pPr>
      <w:r>
        <w:rPr>
          <w:rFonts w:ascii="Arial" w:cs="Arial" w:eastAsia="Arial" w:hAnsi="Arial"/>
          <w:b/>
          <w:bCs/>
          <w:i w:val="false"/>
          <w:iCs w:val="false"/>
          <w:caps w:val="false"/>
          <w:sz w:val="24"/>
          <w:szCs w:val="24"/>
        </w:rPr>
        <w:t xml:space="preserve">3.7 Modelagem preditiva</w:t>
      </w:r>
    </w:p>
    <w:p>
      <w:pPr>
        <w:spacing w:after="0" w:before="0" w:line="360"/>
        <w:ind w:firstLine="708"/>
        <w:jc w:val="both"/>
      </w:pPr>
      <w:r>
        <w:rPr>
          <w:rFonts w:ascii="Arial" w:cs="Arial" w:eastAsia="Arial" w:hAnsi="Arial"/>
          <w:b w:val="false"/>
          <w:bCs w:val="false"/>
          <w:i w:val="false"/>
          <w:iCs w:val="false"/>
          <w:caps w:val="false"/>
          <w:sz w:val="24"/>
          <w:szCs w:val="24"/>
        </w:rPr>
        <w:t xml:space="preserve">Definiu-se como tarefa de aprendizado a previsão da energia consumida na hora seguinte, a partir do histórico observado. Trata-se, portanto, de problema de regressão supervisionada sobre série temporal, formulado por meio da técnica de janela deslizante.</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3.7.1 Atributos preditores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construídos os seguintes conjuntos de atributos: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defasagem: consumo observado nas horas t-1, t-2, t-3, t-24 e t-168, capturando respectivamente a inércia de curto prazo, o ciclo diário e o ciclo semanal.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janela móvel: média e desvio padrão do consumo nas últimas 3, 24 e 168 horas, sintetizando o nível e a volatilidade recentes.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calendário: hora do dia, dia da semana, dia do mês, mês e indicador binário de fim de semana.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Codificação cíclica: representação da hora do dia e do dia da semana por meio de suas transformações em seno e cosseno, de modo a preservar a continuidade entre o último e o primeiro instante do ciclo — informação que a representação inteira ordinária destrói.</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3.7.2 Modelos implementados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implementados três modelos, em ordem crescente de complexidade: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o baseline de persistência sazonal, que adota como previsão para determinada hora o valor observado na mesma hora do dia anterior. Não possui parâmetros a estimar e serve exclusivamente como referência mínima de desempenho. Sua inclusão atende à recomendação de Hyndman e Athanasopoulos (2021) e é indispensável para atribuir significado às métricas dos demais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a regressão linear com regularização de Tikhonov, conhecida como regressão Ridge, aplicada sobre o conjunto completo de atributos. A regularização foi adotada em razão da elevada correlação entre os atributos de defasagem e de janela móvel, condição sob a qual a regressão por mínimos quadrados ordinários apresenta instabilidade dos coeficientes estimados.</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o regressor Random Forest (BREIMAN, 2001), configurado com trezentas árvores e profundidade máxima limitada para controle de sobreajuste. O modelo foi selecionado por três razões: captura relações não lineares sem exigir especificação prévia da forma funcional; é robusto a valores atípicos, característicos de séries residenciais; e fornece medida de importância relativa dos atributos, informação de valor interpretativo para a análise dos resultados.</w:t>
      </w:r>
    </w:p>
    <w:p>
      <w:pPr>
        <w:spacing w:after="240" w:before="240" w:line="360"/>
        <w:jc w:val="center"/>
      </w:pPr>
      <w:r>
        <w:rPr>
          <w:rFonts w:ascii="Arial" w:cs="Arial" w:eastAsia="Arial" w:hAnsi="Arial"/>
          <w:b/>
          <w:bCs/>
          <w:i w:val="false"/>
          <w:iCs w:val="false"/>
          <w:caps w:val="false"/>
          <w:sz w:val="24"/>
          <w:szCs w:val="24"/>
        </w:rPr>
        <w:t xml:space="preserve">[A PREENCHER: descrição do modelo LSTM, caso seja incluído]</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3.7.3 Esquema de validação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partição dos dados respeitou estritamente a ordem cronológica. Os primeiros 70% da série foram destinados ao treinamento, os 15% subsequentes à validação e ajuste de hiperparâmetros, e os 15% finais ao teste. Nenhuma amostra posterior ao corte de treinamento foi utilizada na estimação dos parâmetros, e a normalização dos atributos foi ajustada exclusivamente sobre o conjunto de treinamento, sendo posteriormente aplicada aos demais conjuntos. Esse procedimento previne o vazamento de informação futura, apontado por Hyndman e Athanasopoulos (2021) como a falha metodológica mais frequente em trabalhos de previsão de séries temporais.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3.7.4 Métricas de avaliação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desempenho dos modelos foi mensurado pelas métricas MAE, RMSE e MAPE, calculadas sobre o conjunto de teste. As três são reportadas conjuntamente, uma vez que expressam aspectos distintos do erro: o MAE informa a magnitude típica em unidade física, o RMSE evidencia a ocorrência de erros severos e o MAPE permite comparação relativa.</w:t>
      </w:r>
    </w:p>
    <w:p>
      <w:pPr>
        <w:pStyle w:val="Heading2"/>
        <w:spacing w:after="200" w:before="360" w:line="360"/>
        <w:jc w:val="left"/>
      </w:pPr>
      <w:r>
        <w:rPr>
          <w:rFonts w:ascii="Arial" w:cs="Arial" w:eastAsia="Arial" w:hAnsi="Arial"/>
          <w:b/>
          <w:bCs/>
          <w:i w:val="false"/>
          <w:iCs w:val="false"/>
          <w:caps w:val="false"/>
          <w:sz w:val="24"/>
          <w:szCs w:val="24"/>
        </w:rPr>
        <w:t xml:space="preserve">3.8 Ferramentas e tecnologias empregadas</w:t>
      </w:r>
    </w:p>
    <w:p>
      <w:pPr>
        <w:spacing w:after="80" w:before="240" w:line="240"/>
        <w:jc w:val="left"/>
      </w:pPr>
      <w:r>
        <w:rPr>
          <w:rFonts w:ascii="Arial" w:cs="Arial" w:eastAsia="Arial" w:hAnsi="Arial"/>
          <w:b w:val="false"/>
          <w:bCs w:val="false"/>
          <w:i w:val="false"/>
          <w:iCs w:val="false"/>
          <w:caps w:val="false"/>
          <w:sz w:val="20"/>
          <w:szCs w:val="20"/>
        </w:rPr>
        <w:t xml:space="preserve">Quadro 4 – Ferramentas e tecnologias utilizadas no desenvolvimento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800"/>
      </w:tblGrid>
      <w:tr>
        <w:trPr>
          <w:tblHeader/>
        </w:trPr>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Etapa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Tecnologia</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Justificativa da escolha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Firmware do nó de medição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 / Arduino Core para ESP32</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Ecossistema maduro; biblioteca EmonLib consolidada para cálculo de valor eficaz e cliente MQTT nativo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Protocolo de comunicação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MQTT 3.1.1 sobre TLS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consumo de banda e de energia; padrão OASIS para IoT</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(serviço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Elimina a operação de servidor próprio; camada gratuita suficiente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3.11 com FastAPI</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desempenho, validação automática de esquema, documentação OpenAPI nativa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PostgreSQL 15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Integridade referencial, suporte nativo a tipos temporais, maturidade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Análise e modelagem</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Pandas, NumPy, Scikit-learn</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Scikit-learn é referência para aprendizado supervisionado (PEDREGOSA et al., 2011)</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React com biblioteca de gráficos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Componentização e atualização reativa da visualização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Controle de versão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Git e GitHub</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Rastreabilidade das alterações e trabalho colaborativo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de diagramas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draw.io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Ferramenta gratuita, exportação em formato vetorial</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r>
        <w:br w:type="page"/>
      </w:r>
    </w:p>
    <w:p>
      <w:pPr>
        <w:pStyle w:val="Heading1"/>
        <w:spacing w:after="240" w:before="480" w:line="360"/>
        <w:jc w:val="left"/>
      </w:pPr>
      <w:r>
        <w:rPr>
          <w:rFonts w:ascii="Arial" w:cs="Arial" w:eastAsia="Arial" w:hAnsi="Arial"/>
          <w:b/>
          <w:bCs/>
          <w:i w:val="false"/>
          <w:iCs w:val="false"/>
          <w:caps/>
          <w:sz w:val="24"/>
          <w:szCs w:val="24"/>
        </w:rPr>
        <w:t xml:space="preserve">4 ENGENHARIA DE SOFTWARE</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documenta o processo de desenvolvimento adotado, desde a elicitação de requisitos até a especificação dos casos de teste, apresentando os artefatos produzidos em cada etapa.</w:t>
      </w:r>
    </w:p>
    <w:p>
      <w:pPr>
        <w:pStyle w:val="Heading2"/>
        <w:spacing w:after="200" w:before="360" w:line="360"/>
        <w:jc w:val="left"/>
      </w:pPr>
      <w:r>
        <w:rPr>
          <w:rFonts w:ascii="Arial" w:cs="Arial" w:eastAsia="Arial" w:hAnsi="Arial"/>
          <w:b/>
          <w:bCs/>
          <w:i w:val="false"/>
          <w:iCs w:val="false"/>
          <w:caps w:val="false"/>
          <w:sz w:val="24"/>
          <w:szCs w:val="24"/>
        </w:rPr>
        <w:t xml:space="preserve">4.1 Elicitação de requisitos e identificação de stakeholders</w:t>
      </w:r>
    </w:p>
    <w:p>
      <w:pPr>
        <w:spacing w:after="0" w:before="0" w:line="360"/>
        <w:ind w:firstLine="708"/>
        <w:jc w:val="both"/>
      </w:pPr>
      <w:r>
        <w:rPr>
          <w:rFonts w:ascii="Arial" w:cs="Arial" w:eastAsia="Arial" w:hAnsi="Arial"/>
          <w:b w:val="false"/>
          <w:bCs w:val="false"/>
          <w:i w:val="false"/>
          <w:iCs w:val="false"/>
          <w:caps w:val="false"/>
          <w:sz w:val="24"/>
          <w:szCs w:val="24"/>
        </w:rPr>
        <w:t xml:space="preserve">A elicitação de requisitos foi conduzida por meio de duas técnicas complementares: análise de documentação, aplicada sobre a literatura revisada na seção 2 e sobre a documentação técnica dos componentes de hardware, e análise de cenários, mediante a descrição de situações de uso esperadas para 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identificados os seguintes stakeholders:</w:t>
      </w:r>
    </w:p>
    <w:p>
      <w:pPr>
        <w:spacing w:after="80" w:before="240" w:line="240"/>
        <w:jc w:val="left"/>
      </w:pPr>
      <w:r>
        <w:rPr>
          <w:rFonts w:ascii="Arial" w:cs="Arial" w:eastAsia="Arial" w:hAnsi="Arial"/>
          <w:b w:val="false"/>
          <w:bCs w:val="false"/>
          <w:i w:val="false"/>
          <w:iCs w:val="false"/>
          <w:caps w:val="false"/>
          <w:sz w:val="20"/>
          <w:szCs w:val="20"/>
        </w:rPr>
        <w:t xml:space="preserve">Quadro 5 – Stakeholders identificados e seus interesses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900"/>
      </w:tblGrid>
      <w:tr>
        <w:trPr>
          <w:tblHeader/>
        </w:trPr>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Stakeholder</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Papel</w:t>
            </w:r>
          </w:p>
        </w:tc>
        <w:tc>
          <w:tcPr>
            <w:tcW w:type="dxa" w:w="5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Principal interesse no sistema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Morador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Usuário final</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Compreender o próprio consumo, identificar equipamentos de maior impacto e antecipar o valor da fatura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Administrador técnico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Operador do sistema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Monitorar a saúde dos dispositivos, a integridade dos dados e a disponibilidade dos serviços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Pesquisador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Analista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Acessar a série histórica íntegra para análise e para o retreinamento dos modelos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Ator não humano</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Consumir a série consolidada e registrar as previsões geradas</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4.2 Escopo do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sistema tem por finalidade coletar, transmitir, armazenar, analisar e apresentar dados de consumo de energia elétrica de uma unidade residencial, disponibilizando ao usuário o histórico observado e a previsão de consumo de curto prazo.</w:t>
      </w:r>
    </w:p>
    <w:p>
      <w:pPr>
        <w:spacing w:after="0" w:before="0" w:line="360"/>
        <w:ind w:firstLine="708"/>
        <w:jc w:val="both"/>
      </w:pPr>
      <w:r>
        <w:rPr>
          <w:rFonts w:ascii="Arial" w:cs="Arial" w:eastAsia="Arial" w:hAnsi="Arial"/>
          <w:b w:val="false"/>
          <w:bCs w:val="false"/>
          <w:i w:val="false"/>
          <w:iCs w:val="false"/>
          <w:caps w:val="false"/>
          <w:sz w:val="24"/>
          <w:szCs w:val="24"/>
        </w:rPr>
        <w:t xml:space="preserve">Integram o escopo: a aquisição periódica de medições pelo nó de medição agregada; a transmissão dos dados à nuvem; a persistência das leituras brutas e de agregados horários; o treinamento e a execução de modelos de previsão; a apresentação de histórico, previsão e estimativa de custo em interface web; e o monitoramento do estado operacional dos dispositivos.</w:t>
      </w:r>
    </w:p>
    <w:p>
      <w:pPr>
        <w:spacing w:after="0" w:before="0" w:line="360"/>
        <w:ind w:firstLine="708"/>
        <w:jc w:val="both"/>
      </w:pPr>
      <w:r>
        <w:rPr>
          <w:rFonts w:ascii="Arial" w:cs="Arial" w:eastAsia="Arial" w:hAnsi="Arial"/>
          <w:b w:val="false"/>
          <w:bCs w:val="false"/>
          <w:i w:val="false"/>
          <w:iCs w:val="false"/>
          <w:caps w:val="false"/>
          <w:sz w:val="24"/>
          <w:szCs w:val="24"/>
        </w:rPr>
        <w:t xml:space="preserve">Não integram o escopo: o controle ou acionamento de cargas; a integração com sistemas da concessionária; a operação em corrente alternada de tensão de rede; a desagregação de cargas a partir do sinal agregado; e o faturamento ou a cobrança.</w:t>
      </w:r>
    </w:p>
    <w:p>
      <w:pPr>
        <w:pStyle w:val="Heading2"/>
        <w:spacing w:after="200" w:before="360" w:line="360"/>
        <w:jc w:val="left"/>
      </w:pPr>
      <w:r>
        <w:rPr>
          <w:rFonts w:ascii="Arial" w:cs="Arial" w:eastAsia="Arial" w:hAnsi="Arial"/>
          <w:b/>
          <w:bCs/>
          <w:i w:val="false"/>
          <w:iCs w:val="false"/>
          <w:caps w:val="false"/>
          <w:sz w:val="24"/>
          <w:szCs w:val="24"/>
        </w:rPr>
        <w:t xml:space="preserve">4.3 Requisitos funcionais</w:t>
      </w:r>
    </w:p>
    <w:p>
      <w:pPr>
        <w:spacing w:after="80" w:before="240" w:line="240"/>
        <w:jc w:val="left"/>
      </w:pPr>
      <w:r>
        <w:rPr>
          <w:rFonts w:ascii="Arial" w:cs="Arial" w:eastAsia="Arial" w:hAnsi="Arial"/>
          <w:b w:val="false"/>
          <w:bCs w:val="false"/>
          <w:i w:val="false"/>
          <w:iCs w:val="false"/>
          <w:caps w:val="false"/>
          <w:sz w:val="20"/>
          <w:szCs w:val="20"/>
        </w:rPr>
        <w:t xml:space="preserve">Quadro 6 – Requisitos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Prioridade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medir tensão, corrente e potência em intervalos de até cinco segundos.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transmitir as medições ao broker MQTT em nuvem.</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armazenar medições localmente em caso de indisponibilidade de rede e retransmiti-las ao reconectar.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serviço de ingestão deve validar o esquema da mensagem recebida e rejeitar registros malformados.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persistir cada leitura com identificação do dispositivo e registro temporal.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consolidar as leituras brutas em agregados horários de energia consumida.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treinar modelos de previsão sobre a série histórica consolidada.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gerar e persistir previsões de consumo para as próximas 24 horas.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em interface web o consumo em tempo quase real.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RF10</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o histórico de consumo em recortes diário, semanal e mensal.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a previsão de consumo em conjunto com o valor observado, quando disponível.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estimar o custo do consumo com base na tarifa configurada.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exibir o estado de conectividade de cada dispositivo cadastrado.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permitir a exportação da série histórica em formato CSV.</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4.4 Requisitos não funcionais</w:t>
      </w:r>
    </w:p>
    <w:p>
      <w:pPr>
        <w:spacing w:after="80" w:before="240" w:line="240"/>
        <w:jc w:val="left"/>
      </w:pPr>
      <w:r>
        <w:rPr>
          <w:rFonts w:ascii="Arial" w:cs="Arial" w:eastAsia="Arial" w:hAnsi="Arial"/>
          <w:b w:val="false"/>
          <w:bCs w:val="false"/>
          <w:i w:val="false"/>
          <w:iCs w:val="false"/>
          <w:caps w:val="false"/>
          <w:sz w:val="20"/>
          <w:szCs w:val="20"/>
        </w:rPr>
        <w:t xml:space="preserve">Quadro 7 – Requisitos não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Categoria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custo total dos componentes de hardware de um nó sensor não deve exceder R$ 200,00.</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infraestrutura em nuvem deve operar em camada gratuita ou de custo mensal inferior a R$ 50,00.</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latência entre a medição e sua disponibilização na interface não deve exceder cinco segundos no percentil 95.</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Desempenho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comunicação entre dispositivo e broker deve ser cifrada por TLS.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acesso à API deve exigir autenticação por token.</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suportar a inclusão de novos pontos de medição sem alteração do esquema do banco nem do serviço de ingestão.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Escalabilidade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interface web deve ser responsiva e operar em navegadores atualizados, incluindo dispositivos móveis.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operar continuamente por no mínimo sete dias sem intervenção manual.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Confiabilidade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código-fonte deve ser versionado e acompanhado de instruções de reprodução.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Manutenibilidade</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4.5 Critérios de qualidade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Os critérios adotados para a avaliação da qualidade do sistema, derivados dos requisitos não funcionais, são: exatidão das medições, verificada por confronto com valores de referência; integridade dos dados, verificada pela ausência de lacunas não justificadas na série; disponibilidade dos serviços, verificada por operação contínua monitorada; tempo de resposta, verificado por instrumentação da API; e acurácia preditiva, verificada pelas métricas definidas na seção 3.7.4.</w:t>
      </w:r>
    </w:p>
    <w:p>
      <w:pPr>
        <w:pStyle w:val="Heading2"/>
        <w:spacing w:after="200" w:before="360" w:line="360"/>
        <w:jc w:val="left"/>
      </w:pPr>
      <w:r>
        <w:rPr>
          <w:rFonts w:ascii="Arial" w:cs="Arial" w:eastAsia="Arial" w:hAnsi="Arial"/>
          <w:b/>
          <w:bCs/>
          <w:i w:val="false"/>
          <w:iCs w:val="false"/>
          <w:caps w:val="false"/>
          <w:sz w:val="24"/>
          <w:szCs w:val="24"/>
        </w:rPr>
        <w:t xml:space="preserve">4.6 Processo de desenvolvimento</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incremental, no qual o sistema é construído em incrementos sucessivos, cada um agregando funcionalidade a uma base já operacional e validada. A escolha justifica-se pela natureza do projeto, que envolve integração entre hardware, comunicação, persistência e análise: a validação isolada de cada camada antes da integração da seguinte permite localizar defeitos com precisão, ao passo que uma abordagem monolítica dificultaria a identificação da origem de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definidos quatro incrementos: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1 — Aquisição local: firmware do nó de medição, leitura do transformador de corrente, cálculo do valor eficaz e saída por porta serial, sem comunicação em rede.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2 — Cadeia até a nuvem: conexão Wi-Fi, publicação MQTT, serviço de ingestão e persistência no banco.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3 — Camada analítica: consolidação horária, treinamento dos modelos e serviço de inferência.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4 — Apresentação: interface web com histórico, previsão, estimativa de custo e estado dos dispositivos.</w:t>
      </w:r>
    </w:p>
    <w:p>
      <w:pPr>
        <w:pStyle w:val="Heading2"/>
        <w:spacing w:after="200" w:before="360" w:line="360"/>
        <w:jc w:val="left"/>
      </w:pPr>
      <w:r>
        <w:rPr>
          <w:rFonts w:ascii="Arial" w:cs="Arial" w:eastAsia="Arial" w:hAnsi="Arial"/>
          <w:b/>
          <w:bCs/>
          <w:i w:val="false"/>
          <w:iCs w:val="false"/>
          <w:caps w:val="false"/>
          <w:sz w:val="24"/>
          <w:szCs w:val="24"/>
        </w:rPr>
        <w:t xml:space="preserve">4.7 Diagrama de casos de uso</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casos de uso representa as interações entre os atores identificados e as funcionalidades do sistema. Os atores humanos são o Morador e o Administrador Técnico; o Serviço de Previsão figura como ator não humano, por ser acionado de forma autônoma por agendamento.</w:t>
      </w:r>
    </w:p>
    <w:p>
      <w:pPr>
        <w:spacing w:after="80" w:before="240" w:line="240"/>
        <w:jc w:val="center"/>
      </w:pPr>
      <w:r>
        <w:rPr>
          <w:rFonts w:ascii="Arial" w:cs="Arial" w:eastAsia="Arial" w:hAnsi="Arial"/>
          <w:b w:val="false"/>
          <w:bCs w:val="false"/>
          <w:i w:val="false"/>
          <w:iCs w:val="false"/>
          <w:caps w:val="false"/>
          <w:sz w:val="20"/>
          <w:szCs w:val="20"/>
        </w:rPr>
        <w:t xml:space="preserve">Figura 1 – Diagrama de casos de uso do sistema</w:t>
      </w:r>
    </w:p>
    <w:p>
      <w:pPr>
        <w:spacing w:after="80" w:lineRule="auto"/>
        <w:jc w:val="center"/>
      </w:pPr>
      <w:r>
        <w:drawing>
          <wp:inline distT="0" distB="0" distL="0" distR="0">
            <wp:extent cx="4343400"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4.8 Diagrama de atividades</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atividades representa o fluxo de execução desde a aquisição da medição até sua disponibilização ao usuário, contemplando o tratamento da indisponibilidade de rede.</w:t>
      </w:r>
    </w:p>
    <w:p>
      <w:pPr>
        <w:spacing w:after="80" w:before="240" w:line="240"/>
        <w:jc w:val="center"/>
      </w:pPr>
      <w:r>
        <w:rPr>
          <w:rFonts w:ascii="Arial" w:cs="Arial" w:eastAsia="Arial" w:hAnsi="Arial"/>
          <w:b w:val="false"/>
          <w:bCs w:val="false"/>
          <w:i w:val="false"/>
          <w:iCs w:val="false"/>
          <w:caps w:val="false"/>
          <w:sz w:val="20"/>
          <w:szCs w:val="20"/>
        </w:rPr>
        <w:t xml:space="preserve">Figura 2 – Diagrama de atividades do fluxo de medição</w:t>
      </w:r>
    </w:p>
    <w:p>
      <w:pPr>
        <w:spacing w:after="80" w:lineRule="auto"/>
        <w:jc w:val="center"/>
      </w:pPr>
      <w:r>
        <w:drawing>
          <wp:inline distT="0" distB="0" distL="0" distR="0">
            <wp:extent cx="3114675"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4.9 Diagrama de sequência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sequência detalha a ordem temporal das trocas de mensagem entre os componentes durante um ciclo completo de medição.</w:t>
      </w:r>
    </w:p>
    <w:p>
      <w:pPr>
        <w:spacing w:after="80" w:before="240" w:line="240"/>
        <w:jc w:val="center"/>
      </w:pPr>
      <w:r>
        <w:rPr>
          <w:rFonts w:ascii="Arial" w:cs="Arial" w:eastAsia="Arial" w:hAnsi="Arial"/>
          <w:b w:val="false"/>
          <w:bCs w:val="false"/>
          <w:i w:val="false"/>
          <w:iCs w:val="false"/>
          <w:caps w:val="false"/>
          <w:sz w:val="20"/>
          <w:szCs w:val="20"/>
        </w:rPr>
        <w:t xml:space="preserve">Figura 3 – Diagrama de sequência de um ciclo de medição</w:t>
      </w:r>
    </w:p>
    <w:p>
      <w:pPr>
        <w:spacing w:after="80" w:lineRule="auto"/>
        <w:jc w:val="center"/>
      </w:pPr>
      <w:r>
        <w:drawing>
          <wp:inline distT="0" distB="0" distL="0" distR="0">
            <wp:extent cx="5762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0042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4.10 Cronograma de execução</w:t>
      </w:r>
    </w:p>
    <w:p>
      <w:pPr>
        <w:spacing w:after="80" w:before="240" w:line="240"/>
        <w:jc w:val="left"/>
      </w:pPr>
      <w:r>
        <w:rPr>
          <w:rFonts w:ascii="Arial" w:cs="Arial" w:eastAsia="Arial" w:hAnsi="Arial"/>
          <w:b w:val="false"/>
          <w:bCs w:val="false"/>
          <w:i w:val="false"/>
          <w:iCs w:val="false"/>
          <w:caps w:val="false"/>
          <w:sz w:val="20"/>
          <w:szCs w:val="20"/>
        </w:rPr>
        <w:t xml:space="preserve">Quadro 8 – Cronograma de atividades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700"/>
        <w:gridCol w:w="1800"/>
        <w:gridCol w:w="3000"/>
      </w:tblGrid>
      <w:tr>
        <w:trPr>
          <w:tblHeader/>
        </w:trPr>
        <w:tc>
          <w:tcPr>
            <w:tcW w:type="dxa" w:w="4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Atividade</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Duração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Período</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da literatura e redefinição do tema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Aquisição de componentes e montagem da bancada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3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1 – firmware e aquisição local</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5 a 6</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2 – integração com a nuvem</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6 a 8</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Coleta contínua de dados do protótipo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7 a 12</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Pré-processamento e análise exploratória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8 a 9</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3 – modelos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9 a 11</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4 – interface web</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11 a 13</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Execução dos casos de teste</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13 a 14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Redação e revisão final do trabalho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12 a 15</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Preparação da apresentação e da banca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 semana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 16</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converter as semanas em datas reais do calendário]</w:t>
      </w:r>
    </w:p>
    <w:p>
      <w:r>
        <w:br w:type="page"/>
      </w:r>
    </w:p>
    <w:p>
      <w:pPr>
        <w:pStyle w:val="Heading1"/>
        <w:spacing w:after="240" w:before="480" w:line="360"/>
        <w:jc w:val="left"/>
      </w:pPr>
      <w:r>
        <w:rPr>
          <w:rFonts w:ascii="Arial" w:cs="Arial" w:eastAsia="Arial" w:hAnsi="Arial"/>
          <w:b/>
          <w:bCs/>
          <w:i w:val="false"/>
          <w:iCs w:val="false"/>
          <w:caps/>
          <w:sz w:val="24"/>
          <w:szCs w:val="24"/>
        </w:rPr>
        <w:t xml:space="preserve">5 ARQUITETURA DO SISTEMA</w:t>
      </w:r>
    </w:p>
    <w:p>
      <w:pPr>
        <w:pStyle w:val="Heading2"/>
        <w:spacing w:after="200" w:before="360" w:line="360"/>
        <w:jc w:val="left"/>
      </w:pPr>
      <w:r>
        <w:rPr>
          <w:rFonts w:ascii="Arial" w:cs="Arial" w:eastAsia="Arial" w:hAnsi="Arial"/>
          <w:b/>
          <w:bCs/>
          <w:i w:val="false"/>
          <w:iCs w:val="false"/>
          <w:caps w:val="false"/>
          <w:sz w:val="24"/>
          <w:szCs w:val="24"/>
        </w:rPr>
        <w:t xml:space="preserve">5.1 Visão geral em camadas</w:t>
      </w:r>
    </w:p>
    <w:p>
      <w:pPr>
        <w:spacing w:after="0" w:before="0" w:line="360"/>
        <w:ind w:firstLine="708"/>
        <w:jc w:val="both"/>
      </w:pPr>
      <w:r>
        <w:rPr>
          <w:rFonts w:ascii="Arial" w:cs="Arial" w:eastAsia="Arial" w:hAnsi="Arial"/>
          <w:b w:val="false"/>
          <w:bCs w:val="false"/>
          <w:i w:val="false"/>
          <w:iCs w:val="false"/>
          <w:caps w:val="false"/>
          <w:sz w:val="24"/>
          <w:szCs w:val="24"/>
        </w:rPr>
        <w:t xml:space="preserve">A arquitetura do sistema adota a organização em camadas consagrada para aplicações de Internet das Coisas (ATZORI; IERA; MORABITO, 2010), acrescida de uma camada analítica dedicada ao processamento preditivo. A separação em camadas foi escolhida por promover baixo acoplamento e alta coesão: cada camada expõe uma interface bem definida e pode ser substituída ou evoluída sem propagação de alterações às demais.</w:t>
      </w:r>
    </w:p>
    <w:p>
      <w:pPr>
        <w:spacing w:after="0" w:before="0" w:line="360"/>
        <w:ind w:firstLine="708"/>
        <w:jc w:val="both"/>
      </w:pPr>
      <w:r>
        <w:rPr>
          <w:rFonts w:ascii="Arial" w:cs="Arial" w:eastAsia="Arial" w:hAnsi="Arial"/>
          <w:b w:val="false"/>
          <w:bCs w:val="false"/>
          <w:i w:val="false"/>
          <w:iCs w:val="false"/>
          <w:caps w:val="false"/>
          <w:sz w:val="24"/>
          <w:szCs w:val="24"/>
        </w:rPr>
        <w:t xml:space="preserve">As cinco camadas que compõem o sistema são descritas a seguir:</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percepção — nó de medição responsável pela conversão de grandezas físicas em dados digitais.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comunicação — transporte das mensagens do dispositivo até a nuvem, por meio de Wi-Fi e MQTT.</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aplicação — recepção, validação e persistência dos dados, e exposição da interface de programação.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analítica — consolidação da série, treinamento dos modelos e geração das previsões.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apresentação — interface web destinada ao usuário final.</w:t>
      </w:r>
    </w:p>
    <w:p>
      <w:pPr>
        <w:spacing w:after="80" w:before="240" w:line="240"/>
        <w:jc w:val="center"/>
      </w:pPr>
      <w:r>
        <w:rPr>
          <w:rFonts w:ascii="Arial" w:cs="Arial" w:eastAsia="Arial" w:hAnsi="Arial"/>
          <w:b w:val="false"/>
          <w:bCs w:val="false"/>
          <w:i w:val="false"/>
          <w:iCs w:val="false"/>
          <w:caps w:val="false"/>
          <w:sz w:val="20"/>
          <w:szCs w:val="20"/>
        </w:rPr>
        <w:t xml:space="preserve">Figura 4 – Arquitetura do sistema em camadas</w:t>
      </w:r>
    </w:p>
    <w:p>
      <w:pPr>
        <w:spacing w:after="80" w:lineRule="auto"/>
        <w:jc w:val="center"/>
      </w:pPr>
      <w:r>
        <w:drawing>
          <wp:inline distT="0" distB="0" distL="0" distR="0">
            <wp:extent cx="5762625"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4763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5.2 Camada de percepção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percepção é constituída por um nó de medição agregada, composto pelo microcontrolador ESP32, pelo transformador de corrente SCT-013-030 e pelo circuito de condicionamento de sinal. O sensor envolve o condutor de alimentação do circuito instrumentado, de modo a totalizar a corrente consumida por todas as cargas conectadas. Funcionalmente, o nó equivale ao medidor de entrada de uma unidade consumidora: a grandeza registrada é o consumo do conjunto, e não o de cada equipamento isoladamente.</w:t>
      </w:r>
    </w:p>
    <w:p>
      <w:pPr>
        <w:spacing w:after="0" w:before="0" w:line="360"/>
        <w:ind w:firstLine="708"/>
        <w:jc w:val="both"/>
      </w:pPr>
      <w:r>
        <w:rPr>
          <w:rFonts w:ascii="Arial" w:cs="Arial" w:eastAsia="Arial" w:hAnsi="Arial"/>
          <w:b w:val="false"/>
          <w:bCs w:val="false"/>
          <w:i w:val="false"/>
          <w:iCs w:val="false"/>
          <w:caps w:val="false"/>
          <w:sz w:val="24"/>
          <w:szCs w:val="24"/>
        </w:rPr>
        <w:t xml:space="preserve">A aquisição emprega uma entrada analógica do microcontrolador, e o ESP32 dispõe de múltiplos canais dessa natureza. Essa disponibilidade, somada ao modelo de dados descrito na seção 7, estabelece o caminho de expansão da arquitetura: a inclusão de pontos de medição adicionais, destinados à submedição de cargas individuais, não requer alteração da camada de comunicação, do serviço de ingestão, do esquema do banco de dados ou da interface, mas apenas o cadastro de novos registros na entidade de dispositivos. A arquitetura é, portanto, dimensionada para N pontos de medição e instanciada com um, sem que a redução implique reprojeto.</w:t>
      </w:r>
    </w:p>
    <w:p>
      <w:pPr>
        <w:spacing w:after="0" w:before="0" w:line="360"/>
        <w:ind w:firstLine="708"/>
        <w:jc w:val="both"/>
      </w:pPr>
      <w:r>
        <w:rPr>
          <w:rFonts w:ascii="Arial" w:cs="Arial" w:eastAsia="Arial" w:hAnsi="Arial"/>
          <w:b w:val="false"/>
          <w:bCs w:val="false"/>
          <w:i w:val="false"/>
          <w:iCs w:val="false"/>
          <w:caps w:val="false"/>
          <w:sz w:val="24"/>
          <w:szCs w:val="24"/>
        </w:rPr>
        <w:t xml:space="preserve">O firmware do nó executa um laço principal estruturado em quatro etapas: leitura das grandezas do sensor, cálculo da potência instantânea e acumulação da energia, montagem da mensagem em formato JSON com registro temporal obtido do relógio sincronizado por NTP, e publicação no broker. Um temporizador de vigilância reinicia o dispositivo em caso de travamento, e uma rotina de reconexão automática restabelece o enlace Wi-Fi e a sessão MQTT em caso de queda.</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de atribuir o registro temporal no próprio dispositivo, e não no servidor no momento da recepção, é deliberada: mensagens retidas em buffer durante indisponibilidade de rede seriam registradas com horário incorreto caso a marcação ocorresse na recepção, corrompendo a série temporal justamente nos períodos de falha.</w:t>
      </w:r>
    </w:p>
    <w:p>
      <w:pPr>
        <w:pStyle w:val="Heading2"/>
        <w:spacing w:after="200" w:before="360" w:line="360"/>
        <w:jc w:val="left"/>
      </w:pPr>
      <w:r>
        <w:rPr>
          <w:rFonts w:ascii="Arial" w:cs="Arial" w:eastAsia="Arial" w:hAnsi="Arial"/>
          <w:b/>
          <w:bCs/>
          <w:i w:val="false"/>
          <w:iCs w:val="false"/>
          <w:caps w:val="false"/>
          <w:sz w:val="24"/>
          <w:szCs w:val="24"/>
        </w:rPr>
        <w:t xml:space="preserve">5.3 Camada de comunicação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protocolo MQTT foi adotado por sua adequação a dispositivos de recurso restrito: o cabeçalho de suas mensagens é de dimensão reduzida, o modelo de publicação e assinatura desacopla produtores de consumidores, e o mecanismo de qualidade de serviço permite escolher a garantia de entrega apropriada (OASIS, 2019).</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a estrutura hierárquica de tópicos no formato residencia/{id_residencia}/dispositivo/{id_dispositivo}/telemetria, que permite tanto a assinatura de um dispositivo específico quanto, por meio de curinga, a assinatura de todos os dispositivos de uma residência. Ainda que o sistema opere com um único nó, a hierarquia foi preservada por constituir o mecanismo que torna transparente a expansão para o serviço de ingestão. O nível 1 de qualidade de serviço foi selecionado por assegurar a entrega ao menos uma vez, admitindo duplicidade — condição tratada no serviço de ingestão por meio de restrição de unicidade sobre a combinação de dispositivo e registro temporal. O nível 2, que garante entrega exatamente uma vez, foi descartado pelo custo adicional de rede e processamento que impõe, desproporcional ao benefício neste contexto.</w:t>
      </w:r>
    </w:p>
    <w:p>
      <w:pPr>
        <w:spacing w:after="0" w:before="0" w:line="360"/>
        <w:ind w:firstLine="708"/>
        <w:jc w:val="both"/>
      </w:pPr>
      <w:r>
        <w:rPr>
          <w:rFonts w:ascii="Arial" w:cs="Arial" w:eastAsia="Arial" w:hAnsi="Arial"/>
          <w:b w:val="false"/>
          <w:bCs w:val="false"/>
          <w:i w:val="false"/>
          <w:iCs w:val="false"/>
          <w:caps w:val="false"/>
          <w:sz w:val="24"/>
          <w:szCs w:val="24"/>
        </w:rPr>
        <w:t xml:space="preserve">Toda a comunicação trafega sobre TLS na porta 8883, atendendo ao requisito RNF04, e cada dispositivo autentica-se no broker com credenciais próprias, o que permite a revogação individual de acesso.</w:t>
      </w:r>
    </w:p>
    <w:p>
      <w:pPr>
        <w:pStyle w:val="Heading2"/>
        <w:spacing w:after="200" w:before="360" w:line="360"/>
        <w:jc w:val="left"/>
      </w:pPr>
      <w:r>
        <w:rPr>
          <w:rFonts w:ascii="Arial" w:cs="Arial" w:eastAsia="Arial" w:hAnsi="Arial"/>
          <w:b/>
          <w:bCs/>
          <w:i w:val="false"/>
          <w:iCs w:val="false"/>
          <w:caps w:val="false"/>
          <w:sz w:val="24"/>
          <w:szCs w:val="24"/>
        </w:rPr>
        <w:t xml:space="preserve">5.4 Camada de aplicação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aplicação é implementada em Python com o arcabouço FastAPI e compreende dois componentes. O primeiro é o serviço de ingestão, que mantém assinatura permanente nos tópicos de telemetria, valida cada mensagem recebida contra o esquema definido, descarta e registra em log as mensagens malformadas, e persiste as leituras válidas no banco de dados. O segundo é a interface de programação REST, que expõe os dados à camada de apresentação.</w:t>
      </w:r>
    </w:p>
    <w:p>
      <w:pPr>
        <w:spacing w:after="80" w:before="240" w:line="240"/>
        <w:jc w:val="left"/>
      </w:pPr>
      <w:r>
        <w:rPr>
          <w:rFonts w:ascii="Arial" w:cs="Arial" w:eastAsia="Arial" w:hAnsi="Arial"/>
          <w:b w:val="false"/>
          <w:bCs w:val="false"/>
          <w:i w:val="false"/>
          <w:iCs w:val="false"/>
          <w:caps w:val="false"/>
          <w:sz w:val="20"/>
          <w:szCs w:val="20"/>
        </w:rPr>
        <w:t xml:space="preserve">Quadro 9 – Principais endpoints da API REST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3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Método e rota</w:t>
            </w:r>
          </w:p>
        </w:tc>
        <w:tc>
          <w:tcPr>
            <w:tcW w:type="dxa" w:w="4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w:t>
            </w:r>
          </w:p>
        </w:tc>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Retorno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Lista os dispositivos cadastrados e seu estado de conectividade</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Coleção de dispositivos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/api/leituras/recentes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as leituras mais recentes de um dispositivo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de leituras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/api/consumo/horario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o consumo horário consolidado em um intervalo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horária agregada</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/api/previsao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previsão vigente para as próximas 24 horas</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prevista com intervalo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/api/custo/estimado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estimativa de custo do período com base na tarifa</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monetário estimado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Cadastra um novo dispositivo (requer autenticação)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criado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/api/exportar</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 a série histórica em formato CSV</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CSV</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5.5 Camada analítica</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analítica é composta por três rotinas de execução agendada. A rotina de consolidação é executada a cada hora e agrega as leituras brutas do período em um registro de energia horária, calculando também a potência média, a potência de pico e o número de amostras que originaram o agregado — este último utilizado como indicador de completude do intervalo.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treinamento é executada semanalmente. Ela recompõe o conjunto de atributos a partir da série consolidada, treina os modelos, avalia o desempenho sobre o conjunto de teste e registra as métricas obtidas na tabela de modelos treinados. O artefato serializado do modelo é armazenado em repositório de objetos, e a versão vigente é indicada por referência no banco. Esse desenho permite a comparação histórica entre versões e a reversão para uma versão anterior em caso de degradação.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inferência é executada a cada hora e gera a previsão para as vinte e quatro horas seguintes, persistindo-a na tabela de previsões. A persistência das previsões, e não apenas seu cálculo sob demanda, é decisão arquitetural relevante: ela permite confrontar, posteriormente, o valor previsto com o valor efetivamente observado, produzindo a avaliação de desempenho em condição real de operação apresentada na seção 9.</w:t>
      </w:r>
    </w:p>
    <w:p>
      <w:pPr>
        <w:pStyle w:val="Heading2"/>
        <w:spacing w:after="200" w:before="360" w:line="360"/>
        <w:jc w:val="left"/>
      </w:pPr>
      <w:r>
        <w:rPr>
          <w:rFonts w:ascii="Arial" w:cs="Arial" w:eastAsia="Arial" w:hAnsi="Arial"/>
          <w:b/>
          <w:bCs/>
          <w:i w:val="false"/>
          <w:iCs w:val="false"/>
          <w:caps w:val="false"/>
          <w:sz w:val="24"/>
          <w:szCs w:val="24"/>
        </w:rPr>
        <w:t xml:space="preserve">5.6 Camada de apresentação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interface web foi organizada em painel único, contendo: indicador de potência instantânea agregada; gráfico de série temporal do consumo, com seleção de recorte diário, semanal e mensal; gráfico de previsão para as próximas vinte e quatro horas, sobreposto ao valor observado quando disponível; estimativa de custo acumulado no ciclo corrente; e painel de estado do dispositivo, indicando o instante da última comunicação. O componente de distribuição do consumo entre pontos instrumentados está previsto na interface e permanece inativo enquanto houver um único ponto de medição cadastrado.</w:t>
      </w:r>
    </w:p>
    <w:p>
      <w:pPr>
        <w:pStyle w:val="Heading2"/>
        <w:spacing w:after="200" w:before="360" w:line="360"/>
        <w:jc w:val="left"/>
      </w:pPr>
      <w:r>
        <w:rPr>
          <w:rFonts w:ascii="Arial" w:cs="Arial" w:eastAsia="Arial" w:hAnsi="Arial"/>
          <w:b/>
          <w:bCs/>
          <w:i w:val="false"/>
          <w:iCs w:val="false"/>
          <w:caps w:val="false"/>
          <w:sz w:val="24"/>
          <w:szCs w:val="24"/>
        </w:rPr>
        <w:t xml:space="preserve">5.7 Padrões arquiteturais adotados</w:t>
      </w:r>
    </w:p>
    <w:p>
      <w:pPr>
        <w:spacing w:after="0" w:before="0" w:line="360"/>
        <w:ind w:firstLine="708"/>
        <w:jc w:val="both"/>
      </w:pPr>
      <w:r>
        <w:rPr>
          <w:rFonts w:ascii="Arial" w:cs="Arial" w:eastAsia="Arial" w:hAnsi="Arial"/>
          <w:b w:val="false"/>
          <w:bCs w:val="false"/>
          <w:i w:val="false"/>
          <w:iCs w:val="false"/>
          <w:caps w:val="false"/>
          <w:sz w:val="24"/>
          <w:szCs w:val="24"/>
        </w:rPr>
        <w:t xml:space="preserve">Três padrões orientaram as decisões de projeto. O padrão de camadas, já descrito, estabelece a organização geral. O padrão de publicação e assinatura, materializado no broker MQTT, desacopla os produtores de dados dos seus consumidores, permitindo que novos consumidores sejam adicionados sem alteração no firmware dos dispositivos. O padrão de separação entre dados brutos e dados consolidados, aplicado na modelagem do banco, preserva a informação original para auditoria e reprocessamento, ao mesmo tempo em que oferece à camada analítica uma estrutura já otimizada para consulta.</w:t>
      </w:r>
    </w:p>
    <w:p>
      <w:r>
        <w:br w:type="page"/>
      </w:r>
    </w:p>
    <w:p>
      <w:pPr>
        <w:pStyle w:val="Heading1"/>
        <w:spacing w:after="240" w:before="480" w:line="360"/>
        <w:jc w:val="left"/>
      </w:pPr>
      <w:r>
        <w:rPr>
          <w:rFonts w:ascii="Arial" w:cs="Arial" w:eastAsia="Arial" w:hAnsi="Arial"/>
          <w:b/>
          <w:bCs/>
          <w:i w:val="false"/>
          <w:iCs w:val="false"/>
          <w:caps/>
          <w:sz w:val="24"/>
          <w:szCs w:val="24"/>
        </w:rPr>
        <w:t xml:space="preserve">6 ARQUITETURA DA INFRAESTRUTURA</w:t>
      </w:r>
    </w:p>
    <w:p>
      <w:pPr>
        <w:pStyle w:val="Heading2"/>
        <w:spacing w:after="200" w:before="360" w:line="360"/>
        <w:jc w:val="left"/>
      </w:pPr>
      <w:r>
        <w:rPr>
          <w:rFonts w:ascii="Arial" w:cs="Arial" w:eastAsia="Arial" w:hAnsi="Arial"/>
          <w:b/>
          <w:bCs/>
          <w:i w:val="false"/>
          <w:iCs w:val="false"/>
          <w:caps w:val="false"/>
          <w:sz w:val="24"/>
          <w:szCs w:val="24"/>
        </w:rPr>
        <w:t xml:space="preserve">6.1 Estratégia de implantação em nuvem</w:t>
      </w:r>
    </w:p>
    <w:p>
      <w:pPr>
        <w:spacing w:after="0" w:before="0" w:line="360"/>
        <w:ind w:firstLine="708"/>
        <w:jc w:val="both"/>
      </w:pPr>
      <w:r>
        <w:rPr>
          <w:rFonts w:ascii="Arial" w:cs="Arial" w:eastAsia="Arial" w:hAnsi="Arial"/>
          <w:b w:val="false"/>
          <w:bCs w:val="false"/>
          <w:i w:val="false"/>
          <w:iCs w:val="false"/>
          <w:caps w:val="false"/>
          <w:sz w:val="24"/>
          <w:szCs w:val="24"/>
        </w:rPr>
        <w:t xml:space="preserve">A infraestrutura do sistema é integralmente hospedada em nuvem pública, em conformidade com o requisito institucional de utilização funcional de computação em nuvem. Adotou-se a estratégia de composição de serviços gerenciados, em detrimento da alternativa de provisionar uma máquina virtual única e nela instalar todos os componentes.</w:t>
      </w:r>
    </w:p>
    <w:p>
      <w:pPr>
        <w:spacing w:after="0" w:before="0" w:line="360"/>
        <w:ind w:firstLine="708"/>
        <w:jc w:val="both"/>
      </w:pPr>
      <w:r>
        <w:rPr>
          <w:rFonts w:ascii="Arial" w:cs="Arial" w:eastAsia="Arial" w:hAnsi="Arial"/>
          <w:b w:val="false"/>
          <w:bCs w:val="false"/>
          <w:i w:val="false"/>
          <w:iCs w:val="false"/>
          <w:caps w:val="false"/>
          <w:sz w:val="24"/>
          <w:szCs w:val="24"/>
        </w:rPr>
        <w:t xml:space="preserve">A justificativa dessa escolha repousa em três fatores. O primeiro é operacional: serviços gerenciados eliminam a responsabilidade pela aplicação de correções de segurança, pela configuração de alta disponibilidade e pela realização de cópias de segurança, tarefas que consumiriam tempo de desenvolvimento sem agregar conhecimento ao objeto da pesquisa. O segundo é econômico: os provedores selecionados oferecem camadas gratuitas cujos limites acomodam o volume de dados do projeto. O terceiro é arquitetural: a separação em serviços distintos permite escalar independentemente cada componente.</w:t>
      </w:r>
    </w:p>
    <w:p>
      <w:pPr>
        <w:pStyle w:val="Heading2"/>
        <w:spacing w:after="200" w:before="360" w:line="360"/>
        <w:jc w:val="left"/>
      </w:pPr>
      <w:r>
        <w:rPr>
          <w:rFonts w:ascii="Arial" w:cs="Arial" w:eastAsia="Arial" w:hAnsi="Arial"/>
          <w:b/>
          <w:bCs/>
          <w:i w:val="false"/>
          <w:iCs w:val="false"/>
          <w:caps w:val="false"/>
          <w:sz w:val="24"/>
          <w:szCs w:val="24"/>
        </w:rPr>
        <w:t xml:space="preserve">6.2 Composição dos serviços</w:t>
      </w:r>
    </w:p>
    <w:p>
      <w:pPr>
        <w:spacing w:after="80" w:before="240" w:line="240"/>
        <w:jc w:val="left"/>
      </w:pPr>
      <w:r>
        <w:rPr>
          <w:rFonts w:ascii="Arial" w:cs="Arial" w:eastAsia="Arial" w:hAnsi="Arial"/>
          <w:b w:val="false"/>
          <w:bCs w:val="false"/>
          <w:i w:val="false"/>
          <w:iCs w:val="false"/>
          <w:caps w:val="false"/>
          <w:sz w:val="20"/>
          <w:szCs w:val="20"/>
        </w:rPr>
        <w:t xml:space="preserve">Quadro 10 – Composição da infraestrutura em nuvem</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1500"/>
        <w:gridCol w:w="3100"/>
      </w:tblGrid>
      <w:tr>
        <w:trPr>
          <w:tblHeader/>
        </w:trPr>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Componente</w:t>
            </w:r>
          </w:p>
        </w:tc>
        <w:tc>
          <w:tcPr>
            <w:tcW w:type="dxa" w:w="3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Serviço adotado</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3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 estimado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 camada gratuita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(até 100 conexões)</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Render – serviço web em contêiner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na camada gratuita</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Supabase / Neon – PostgreSQL gerenciado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DBaaS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até o limite de armazenamento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Rotinas agendadas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Cron job do provedor de aplicação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Repositório de modelos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 de objetos do provedor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no volume utilizado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Vercel – hospedagem estática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provedores contratados e limites das camadas gratuitas]</w:t>
      </w:r>
    </w:p>
    <w:p>
      <w:pPr>
        <w:pStyle w:val="Heading2"/>
        <w:spacing w:after="200" w:before="360" w:line="360"/>
        <w:jc w:val="left"/>
      </w:pPr>
      <w:r>
        <w:rPr>
          <w:rFonts w:ascii="Arial" w:cs="Arial" w:eastAsia="Arial" w:hAnsi="Arial"/>
          <w:b/>
          <w:bCs/>
          <w:i w:val="false"/>
          <w:iCs w:val="false"/>
          <w:caps w:val="false"/>
          <w:sz w:val="24"/>
          <w:szCs w:val="24"/>
        </w:rPr>
        <w:t xml:space="preserve">6.3 Diagrama de implantação</w:t>
      </w:r>
    </w:p>
    <w:p>
      <w:pPr>
        <w:spacing w:after="80" w:before="240" w:line="240"/>
        <w:jc w:val="center"/>
      </w:pPr>
      <w:r>
        <w:rPr>
          <w:rFonts w:ascii="Arial" w:cs="Arial" w:eastAsia="Arial" w:hAnsi="Arial"/>
          <w:b w:val="false"/>
          <w:bCs w:val="false"/>
          <w:i w:val="false"/>
          <w:iCs w:val="false"/>
          <w:caps w:val="false"/>
          <w:sz w:val="20"/>
          <w:szCs w:val="20"/>
        </w:rPr>
        <w:t xml:space="preserve">Figura 5 – Diagrama de implantação da infraestrutura</w:t>
      </w:r>
    </w:p>
    <w:p>
      <w:pPr>
        <w:spacing w:after="80" w:lineRule="auto"/>
        <w:jc w:val="center"/>
      </w:pPr>
      <w:r>
        <w:drawing>
          <wp:inline distT="0" distB="0" distL="0" distR="0">
            <wp:extent cx="57626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7430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6.4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As medidas de segurança adotadas contemplam três frentes. Na comunicação, todo o tráfego entre dispositivo e broker e entre navegador e API é cifrado, respectivamente por TLS e HTTPS. Na autenticação, cada dispositivo possui credenciais próprias junto ao broker, e o acesso aos endpoints de escrita da API exige token de portador. Na proteção de credenciais, nenhuma chave ou senha é gravada no código-fonte: as credenciais do firmware residem em arquivo de configuração excluído do controle de versão, e as credenciais dos serviços em nuvem são fornecidas por variáveis de ambiente.</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que os dados de consumo energético permitem inferir padrões de ocupação da residência, constituindo informação sensível sob a ótica da privacidade. O sistema não coleta dados pessoais identificáveis, e os identificadores de residência e dispositivo são valores arbitrários sem vínculo com pessoa natural.</w:t>
      </w:r>
    </w:p>
    <w:p>
      <w:pPr>
        <w:pStyle w:val="Heading2"/>
        <w:spacing w:after="200" w:before="360" w:line="360"/>
        <w:jc w:val="left"/>
      </w:pPr>
      <w:r>
        <w:rPr>
          <w:rFonts w:ascii="Arial" w:cs="Arial" w:eastAsia="Arial" w:hAnsi="Arial"/>
          <w:b/>
          <w:bCs/>
          <w:i w:val="false"/>
          <w:iCs w:val="false"/>
          <w:caps w:val="false"/>
          <w:sz w:val="24"/>
          <w:szCs w:val="24"/>
        </w:rPr>
        <w:t xml:space="preserve">6.5 Disponibilidade e tolerância a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A tolerância a falhas é implementada em três pontos da cadeia. No dispositivo, o buffer local e a rotina de reconexão preservam as medições durante indisponibilidade de rede. No transporte, o nível 1 de qualidade de serviço do MQTT assegura a reentrega de mensagens não confirmadas. Na persistência, a restrição de unicidade sobre dispositivo e registro temporal torna a operação de inserção idempotente, de modo que a reentrega de uma mensagem já processada não produz duplicidade na série.</w:t>
      </w:r>
    </w:p>
    <w:p>
      <w:r>
        <w:br w:type="page"/>
      </w:r>
    </w:p>
    <w:p>
      <w:pPr>
        <w:pStyle w:val="Heading1"/>
        <w:spacing w:after="240" w:before="480" w:line="360"/>
        <w:jc w:val="left"/>
      </w:pPr>
      <w:r>
        <w:rPr>
          <w:rFonts w:ascii="Arial" w:cs="Arial" w:eastAsia="Arial" w:hAnsi="Arial"/>
          <w:b/>
          <w:bCs/>
          <w:i w:val="false"/>
          <w:iCs w:val="false"/>
          <w:caps/>
          <w:sz w:val="24"/>
          <w:szCs w:val="24"/>
        </w:rPr>
        <w:t xml:space="preserve">7 ARQUITETURA DO BANCO DE DADOS</w:t>
      </w:r>
    </w:p>
    <w:p>
      <w:pPr>
        <w:pStyle w:val="Heading2"/>
        <w:spacing w:after="200" w:before="360" w:line="360"/>
        <w:jc w:val="left"/>
      </w:pPr>
      <w:r>
        <w:rPr>
          <w:rFonts w:ascii="Arial" w:cs="Arial" w:eastAsia="Arial" w:hAnsi="Arial"/>
          <w:b/>
          <w:bCs/>
          <w:i w:val="false"/>
          <w:iCs w:val="false"/>
          <w:caps w:val="false"/>
          <w:sz w:val="24"/>
          <w:szCs w:val="24"/>
        </w:rPr>
        <w:t xml:space="preserve">7.1 Especificação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armazena cinco conjuntos de informação: o cadastro das unidades residenciais monitoradas; o cadastro dos dispositivos sensores e sua associação a pontos de medição; as leituras brutas produzidas pelos sensores; os agregados horários derivados dessas leituras; e os artefatos da camada analítica, compreendendo o registro dos modelos treinados e as previsões geradas.</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relacional em detrimento de alternativas não relacionais. A justificativa é que os dados do sistema apresentam estrutura estável e conhecida a priori, relacionamentos bem definidos entre entidades, e requisito de integridade referencial — uma leitura não deve existir sem dispositivo associado, e uma previsão não deve existir sem o modelo que a produziu. Sistemas relacionais atendem nativamente a esses requisitos por meio de restrições declarativas (ELMASRI; NAVATHE, 2018). O volume de dados projetado, da ordem de milhões de registros, é plenamente absorvido pelo PostgreSQL com indexação adequada.</w:t>
      </w:r>
    </w:p>
    <w:p>
      <w:pPr>
        <w:pStyle w:val="Heading2"/>
        <w:spacing w:after="200" w:before="360" w:line="360"/>
        <w:jc w:val="left"/>
      </w:pPr>
      <w:r>
        <w:rPr>
          <w:rFonts w:ascii="Arial" w:cs="Arial" w:eastAsia="Arial" w:hAnsi="Arial"/>
          <w:b/>
          <w:bCs/>
          <w:i w:val="false"/>
          <w:iCs w:val="false"/>
          <w:caps w:val="false"/>
          <w:sz w:val="24"/>
          <w:szCs w:val="24"/>
        </w:rPr>
        <w:t xml:space="preserve">7.2 Modelagem lógica</w:t>
      </w:r>
    </w:p>
    <w:p>
      <w:pPr>
        <w:spacing w:after="0" w:before="0" w:line="360"/>
        <w:ind w:firstLine="708"/>
        <w:jc w:val="both"/>
      </w:pPr>
      <w:r>
        <w:rPr>
          <w:rFonts w:ascii="Arial" w:cs="Arial" w:eastAsia="Arial" w:hAnsi="Arial"/>
          <w:b w:val="false"/>
          <w:bCs w:val="false"/>
          <w:i w:val="false"/>
          <w:iCs w:val="false"/>
          <w:caps w:val="false"/>
          <w:sz w:val="24"/>
          <w:szCs w:val="24"/>
        </w:rPr>
        <w:t xml:space="preserve">O modelo lógico compreende seis entidades, descritas a seguir:</w:t>
      </w:r>
    </w:p>
    <w:p>
      <w:pPr>
        <w:spacing w:after="80" w:before="240" w:line="240"/>
        <w:jc w:val="left"/>
      </w:pPr>
      <w:r>
        <w:rPr>
          <w:rFonts w:ascii="Arial" w:cs="Arial" w:eastAsia="Arial" w:hAnsi="Arial"/>
          <w:b w:val="false"/>
          <w:bCs w:val="false"/>
          <w:i w:val="false"/>
          <w:iCs w:val="false"/>
          <w:caps w:val="false"/>
          <w:sz w:val="20"/>
          <w:szCs w:val="20"/>
        </w:rPr>
        <w:t xml:space="preserve">Quadro 11 – Entidades do modelo lógico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30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Entidade</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Cardinalidade principal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residencia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 consumidora monitorada, com atributos de caracterização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Nó sensor físico e seu ponto de medição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leitura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leitura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bruta individual produzida por um dispositivo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consumo_horario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horário de energia por residência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residencia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modelo_treinado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de versão de modelo e suas métricas de avaliação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previsao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previsao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previsto para uma hora futura, por um modelo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modelo_treinado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separação entre as entidades leitura e consumo_horario merece justificativa específica, por não ser evidente. A entidade leitura preserva o dado bruto na resolução original de aquisição, garantindo auditabilidade e permitindo o reprocessamento sob critérios distintos caso a metodologia de agregação seja revista. A entidade consumo_horario armazena o resultado da agregação na resolução efetivamente utilizada pelos modelos preditivos. Consultas analíticas, que percorrem meses de histórico, operam sobre a tabela agregada, cuja cardinalidade é cerca de setecentas vezes menor que a da tabela bruta na taxa de amostragem adotada. Sem essa separação, cada execução de treinamento exigiria a varredura completa da série bruta, com degradação significativa de desempenho.</w:t>
      </w:r>
    </w:p>
    <w:p>
      <w:pPr>
        <w:pStyle w:val="Heading2"/>
        <w:spacing w:after="200" w:before="360" w:line="360"/>
        <w:jc w:val="left"/>
      </w:pPr>
      <w:r>
        <w:rPr>
          <w:rFonts w:ascii="Arial" w:cs="Arial" w:eastAsia="Arial" w:hAnsi="Arial"/>
          <w:b/>
          <w:bCs/>
          <w:i w:val="false"/>
          <w:iCs w:val="false"/>
          <w:caps w:val="false"/>
          <w:sz w:val="24"/>
          <w:szCs w:val="24"/>
        </w:rPr>
        <w:t xml:space="preserve">7.3 Modelo entidade-relacionamento</w:t>
      </w:r>
    </w:p>
    <w:p>
      <w:pPr>
        <w:spacing w:after="80" w:before="240" w:line="240"/>
        <w:jc w:val="center"/>
      </w:pPr>
      <w:r>
        <w:rPr>
          <w:rFonts w:ascii="Arial" w:cs="Arial" w:eastAsia="Arial" w:hAnsi="Arial"/>
          <w:b w:val="false"/>
          <w:bCs w:val="false"/>
          <w:i w:val="false"/>
          <w:iCs w:val="false"/>
          <w:caps w:val="false"/>
          <w:sz w:val="20"/>
          <w:szCs w:val="20"/>
        </w:rPr>
        <w:t xml:space="preserve">Figura 6 – Modelo entidade-relacionamento do sistema</w:t>
      </w:r>
    </w:p>
    <w:p>
      <w:pPr>
        <w:spacing w:after="80" w:lineRule="auto"/>
        <w:jc w:val="center"/>
      </w:pPr>
      <w:r>
        <w:drawing>
          <wp:inline distT="0" distB="0" distL="0" distR="0">
            <wp:extent cx="5762625" cy="708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708660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7.4 Modelagem física</w:t>
      </w:r>
    </w:p>
    <w:p>
      <w:pPr>
        <w:spacing w:after="0" w:before="0" w:line="360"/>
        <w:ind w:firstLine="708"/>
        <w:jc w:val="both"/>
      </w:pPr>
      <w:r>
        <w:rPr>
          <w:rFonts w:ascii="Arial" w:cs="Arial" w:eastAsia="Arial" w:hAnsi="Arial"/>
          <w:b w:val="false"/>
          <w:bCs w:val="false"/>
          <w:i w:val="false"/>
          <w:iCs w:val="false"/>
          <w:caps w:val="false"/>
          <w:sz w:val="24"/>
          <w:szCs w:val="24"/>
        </w:rPr>
        <w:t xml:space="preserve">A modelagem física materializa o modelo lógico em estruturas do PostgreSQL. O script de definição de dados é apresentado a seguir; sua versão integral, incluindo as visões auxiliares, consta do Apêndice C.</w:t>
      </w:r>
    </w:p>
    <w:p>
      <w:pPr>
        <w:spacing w:after="80" w:before="240" w:line="240"/>
        <w:jc w:val="left"/>
      </w:pPr>
      <w:r>
        <w:rPr>
          <w:rFonts w:ascii="Arial" w:cs="Arial" w:eastAsia="Arial" w:hAnsi="Arial"/>
          <w:b w:val="false"/>
          <w:bCs w:val="false"/>
          <w:i w:val="false"/>
          <w:iCs w:val="false"/>
          <w:caps w:val="false"/>
          <w:sz w:val="20"/>
          <w:szCs w:val="20"/>
        </w:rPr>
        <w:t xml:space="preserve">Quadro 12 – Script de criação das tabelas principais</w:t>
      </w:r>
    </w:p>
    <w:p>
      <w:pPr>
        <w:spacing w:after="0" w:line="240"/>
        <w:jc w:val="left"/>
      </w:pPr>
      <w:r>
        <w:rPr>
          <w:rFonts w:ascii="Courier New" w:cs="Courier New" w:eastAsia="Courier New" w:hAnsi="Courier New"/>
          <w:sz w:val="18"/>
          <w:szCs w:val="18"/>
        </w:rPr>
        <w:t xml:space="preserve">CREATE TABLE residencia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nome            VARCHAR(80)  NOT NULL,</w:t>
      </w:r>
    </w:p>
    <w:p>
      <w:pPr>
        <w:spacing w:after="0" w:line="240"/>
        <w:jc w:val="left"/>
      </w:pPr>
      <w:r>
        <w:rPr>
          <w:rFonts w:ascii="Courier New" w:cs="Courier New" w:eastAsia="Courier New" w:hAnsi="Courier New"/>
          <w:sz w:val="18"/>
          <w:szCs w:val="18"/>
        </w:rPr>
        <w:t xml:space="preserve">    num_moradores   SMALLINT     CHECK (num_moradores &gt; 0),</w:t>
      </w:r>
    </w:p>
    <w:p>
      <w:pPr>
        <w:spacing w:after="0" w:line="240"/>
        <w:jc w:val="left"/>
      </w:pPr>
      <w:r>
        <w:rPr>
          <w:rFonts w:ascii="Courier New" w:cs="Courier New" w:eastAsia="Courier New" w:hAnsi="Courier New"/>
          <w:sz w:val="18"/>
          <w:szCs w:val="18"/>
        </w:rPr>
        <w:t xml:space="preserve">    area_m2         NUMERIC(6,2),</w:t>
      </w:r>
    </w:p>
    <w:p>
      <w:pPr>
        <w:spacing w:after="0" w:line="240"/>
        <w:jc w:val="left"/>
      </w:pPr>
      <w:r>
        <w:rPr>
          <w:rFonts w:ascii="Courier New" w:cs="Courier New" w:eastAsia="Courier New" w:hAnsi="Courier New"/>
          <w:sz w:val="18"/>
          <w:szCs w:val="18"/>
        </w:rPr>
        <w:t xml:space="preserve">    tarifa_kwh      NUMERIC(8,5) NOT NULL DEFAULT 0.00000,</w:t>
      </w:r>
    </w:p>
    <w:p>
      <w:pPr>
        <w:spacing w:after="0" w:line="240"/>
        <w:jc w:val="left"/>
      </w:pPr>
      <w:r>
        <w:rPr>
          <w:rFonts w:ascii="Courier New" w:cs="Courier New" w:eastAsia="Courier New" w:hAnsi="Courier New"/>
          <w:sz w:val="18"/>
          <w:szCs w:val="18"/>
        </w:rPr>
        <w:t xml:space="preserve">    criado_em       TIMESTAMPTZ  NOT NULL DEFAULT now()</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dispositivo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identificador   VARCHAR(60)  NOT NULL UNIQUE,</w:t>
      </w:r>
    </w:p>
    <w:p>
      <w:pPr>
        <w:spacing w:after="0" w:line="240"/>
        <w:jc w:val="left"/>
      </w:pPr>
      <w:r>
        <w:rPr>
          <w:rFonts w:ascii="Courier New" w:cs="Courier New" w:eastAsia="Courier New" w:hAnsi="Courier New"/>
          <w:sz w:val="18"/>
          <w:szCs w:val="18"/>
        </w:rPr>
        <w:t xml:space="preserve">    tipo_sensor     VARCHAR(30)  NOT NULL,</w:t>
      </w:r>
    </w:p>
    <w:p>
      <w:pPr>
        <w:spacing w:after="0" w:line="240"/>
        <w:jc w:val="left"/>
      </w:pPr>
      <w:r>
        <w:rPr>
          <w:rFonts w:ascii="Courier New" w:cs="Courier New" w:eastAsia="Courier New" w:hAnsi="Courier New"/>
          <w:sz w:val="18"/>
          <w:szCs w:val="18"/>
        </w:rPr>
        <w:t xml:space="preserve">    ponto_medicao   VARCHAR(60)  NOT NULL,</w:t>
      </w:r>
    </w:p>
    <w:p>
      <w:pPr>
        <w:spacing w:after="0" w:line="240"/>
        <w:jc w:val="left"/>
      </w:pPr>
      <w:r>
        <w:rPr>
          <w:rFonts w:ascii="Courier New" w:cs="Courier New" w:eastAsia="Courier New" w:hAnsi="Courier New"/>
          <w:sz w:val="18"/>
          <w:szCs w:val="18"/>
        </w:rPr>
        <w:t xml:space="preserve">    ativo           BOOLEAN      NOT NULL DEFAULT TRUE,</w:t>
      </w:r>
    </w:p>
    <w:p>
      <w:pPr>
        <w:spacing w:after="0" w:line="240"/>
        <w:jc w:val="left"/>
      </w:pPr>
      <w:r>
        <w:rPr>
          <w:rFonts w:ascii="Courier New" w:cs="Courier New" w:eastAsia="Courier New" w:hAnsi="Courier New"/>
          <w:sz w:val="18"/>
          <w:szCs w:val="18"/>
        </w:rPr>
        <w:t xml:space="preserve">    ultima_conexao  TIMESTAMPTZ</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leitura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dispositivo_id  INT          NOT NULL REFERENCES dispositivo(id),</w:t>
      </w:r>
    </w:p>
    <w:p>
      <w:pPr>
        <w:spacing w:after="0" w:line="240"/>
        <w:jc w:val="left"/>
      </w:pPr>
      <w:r>
        <w:rPr>
          <w:rFonts w:ascii="Courier New" w:cs="Courier New" w:eastAsia="Courier New" w:hAnsi="Courier New"/>
          <w:sz w:val="18"/>
          <w:szCs w:val="18"/>
        </w:rPr>
        <w:t xml:space="preserve">    medido_em       TIMESTAMPTZ  NOT NULL,</w:t>
      </w:r>
    </w:p>
    <w:p>
      <w:pPr>
        <w:spacing w:after="0" w:line="240"/>
        <w:jc w:val="left"/>
      </w:pPr>
      <w:r>
        <w:rPr>
          <w:rFonts w:ascii="Courier New" w:cs="Courier New" w:eastAsia="Courier New" w:hAnsi="Courier New"/>
          <w:sz w:val="18"/>
          <w:szCs w:val="18"/>
        </w:rPr>
        <w:t xml:space="preserve">    tensao_v        NUMERIC(7,3),</w:t>
      </w:r>
    </w:p>
    <w:p>
      <w:pPr>
        <w:spacing w:after="0" w:line="240"/>
        <w:jc w:val="left"/>
      </w:pPr>
      <w:r>
        <w:rPr>
          <w:rFonts w:ascii="Courier New" w:cs="Courier New" w:eastAsia="Courier New" w:hAnsi="Courier New"/>
          <w:sz w:val="18"/>
          <w:szCs w:val="18"/>
        </w:rPr>
        <w:t xml:space="preserve">    corrente_a      NUMERIC(8,4),</w:t>
      </w:r>
    </w:p>
    <w:p>
      <w:pPr>
        <w:spacing w:after="0" w:line="240"/>
        <w:jc w:val="left"/>
      </w:pPr>
      <w:r>
        <w:rPr>
          <w:rFonts w:ascii="Courier New" w:cs="Courier New" w:eastAsia="Courier New" w:hAnsi="Courier New"/>
          <w:sz w:val="18"/>
          <w:szCs w:val="18"/>
        </w:rPr>
        <w:t xml:space="preserve">    potencia_w      NUMERIC(10,3) NOT NULL,</w:t>
      </w:r>
    </w:p>
    <w:p>
      <w:pPr>
        <w:spacing w:after="0" w:line="240"/>
        <w:jc w:val="left"/>
      </w:pPr>
      <w:r>
        <w:rPr>
          <w:rFonts w:ascii="Courier New" w:cs="Courier New" w:eastAsia="Courier New" w:hAnsi="Courier New"/>
          <w:sz w:val="18"/>
          <w:szCs w:val="18"/>
        </w:rPr>
        <w:t xml:space="preserve">    energia_wh      NUMERIC(12,4),</w:t>
      </w:r>
    </w:p>
    <w:p>
      <w:pPr>
        <w:spacing w:after="0" w:line="240"/>
        <w:jc w:val="left"/>
      </w:pPr>
      <w:r>
        <w:rPr>
          <w:rFonts w:ascii="Courier New" w:cs="Courier New" w:eastAsia="Courier New" w:hAnsi="Courier New"/>
          <w:sz w:val="18"/>
          <w:szCs w:val="18"/>
        </w:rPr>
        <w:t xml:space="preserve">    qualidade       SMALLINT     NOT NULL DEFAULT 0,</w:t>
      </w:r>
    </w:p>
    <w:p>
      <w:pPr>
        <w:spacing w:after="0" w:line="240"/>
        <w:jc w:val="left"/>
      </w:pPr>
      <w:r>
        <w:rPr>
          <w:rFonts w:ascii="Courier New" w:cs="Courier New" w:eastAsia="Courier New" w:hAnsi="Courier New"/>
          <w:sz w:val="18"/>
          <w:szCs w:val="18"/>
        </w:rPr>
        <w:t xml:space="preserve">    CONSTRAINT uq_leitura UNIQUE (dispositivo_id, medido_em)</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idx_leitura_disp_tempo</w:t>
      </w:r>
    </w:p>
    <w:p>
      <w:pPr>
        <w:spacing w:after="0" w:line="240"/>
        <w:jc w:val="left"/>
      </w:pPr>
      <w:r>
        <w:rPr>
          <w:rFonts w:ascii="Courier New" w:cs="Courier New" w:eastAsia="Courier New" w:hAnsi="Courier New"/>
          <w:sz w:val="18"/>
          <w:szCs w:val="18"/>
        </w:rPr>
        <w:t xml:space="preserve">    ON leitura (dispositivo_id, 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consumo_horario (</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hora              TIMESTAMPTZ NOT NULL,</w:t>
      </w:r>
    </w:p>
    <w:p>
      <w:pPr>
        <w:spacing w:after="0" w:line="240"/>
        <w:jc w:val="left"/>
      </w:pPr>
      <w:r>
        <w:rPr>
          <w:rFonts w:ascii="Courier New" w:cs="Courier New" w:eastAsia="Courier New" w:hAnsi="Courier New"/>
          <w:sz w:val="18"/>
          <w:szCs w:val="18"/>
        </w:rPr>
        <w:t xml:space="preserve">    energia_wh        NUMERIC(12,4) NOT NULL,</w:t>
      </w:r>
    </w:p>
    <w:p>
      <w:pPr>
        <w:spacing w:after="0" w:line="240"/>
        <w:jc w:val="left"/>
      </w:pPr>
      <w:r>
        <w:rPr>
          <w:rFonts w:ascii="Courier New" w:cs="Courier New" w:eastAsia="Courier New" w:hAnsi="Courier New"/>
          <w:sz w:val="18"/>
          <w:szCs w:val="18"/>
        </w:rPr>
        <w:t xml:space="preserve">    potencia_media_w  NUMERIC(10,3),</w:t>
      </w:r>
    </w:p>
    <w:p>
      <w:pPr>
        <w:spacing w:after="0" w:line="240"/>
        <w:jc w:val="left"/>
      </w:pPr>
      <w:r>
        <w:rPr>
          <w:rFonts w:ascii="Courier New" w:cs="Courier New" w:eastAsia="Courier New" w:hAnsi="Courier New"/>
          <w:sz w:val="18"/>
          <w:szCs w:val="18"/>
        </w:rPr>
        <w:t xml:space="preserve">    potencia_pico_w   NUMERIC(10,3),</w:t>
      </w:r>
    </w:p>
    <w:p>
      <w:pPr>
        <w:spacing w:after="0" w:line="240"/>
        <w:jc w:val="left"/>
      </w:pPr>
      <w:r>
        <w:rPr>
          <w:rFonts w:ascii="Courier New" w:cs="Courier New" w:eastAsia="Courier New" w:hAnsi="Courier New"/>
          <w:sz w:val="18"/>
          <w:szCs w:val="18"/>
        </w:rPr>
        <w:t xml:space="preserve">    n_amostras        INT         NOT NULL,</w:t>
      </w:r>
    </w:p>
    <w:p>
      <w:pPr>
        <w:spacing w:after="0" w:line="240"/>
        <w:jc w:val="left"/>
      </w:pPr>
      <w:r>
        <w:rPr>
          <w:rFonts w:ascii="Courier New" w:cs="Courier New" w:eastAsia="Courier New" w:hAnsi="Courier New"/>
          <w:sz w:val="18"/>
          <w:szCs w:val="18"/>
        </w:rPr>
        <w:t xml:space="preserve">    PRIMARY KEY (residencia_id, hora)</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modelo_treinado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algoritmo            VARCHAR(40) NOT NULL,</w:t>
      </w:r>
    </w:p>
    <w:p>
      <w:pPr>
        <w:spacing w:after="0" w:line="240"/>
        <w:jc w:val="left"/>
      </w:pPr>
      <w:r>
        <w:rPr>
          <w:rFonts w:ascii="Courier New" w:cs="Courier New" w:eastAsia="Courier New" w:hAnsi="Courier New"/>
          <w:sz w:val="18"/>
          <w:szCs w:val="18"/>
        </w:rPr>
        <w:t xml:space="preserve">    versao               VARCHAR(20) NOT NULL,</w:t>
      </w:r>
    </w:p>
    <w:p>
      <w:pPr>
        <w:spacing w:after="0" w:line="240"/>
        <w:jc w:val="left"/>
      </w:pPr>
      <w:r>
        <w:rPr>
          <w:rFonts w:ascii="Courier New" w:cs="Courier New" w:eastAsia="Courier New" w:hAnsi="Courier New"/>
          <w:sz w:val="18"/>
          <w:szCs w:val="18"/>
        </w:rPr>
        <w:t xml:space="preserve">    treinado_em          TIMESTAMPTZ NOT NULL DEFAULT now(),</w:t>
      </w:r>
    </w:p>
    <w:p>
      <w:pPr>
        <w:spacing w:after="0" w:line="240"/>
        <w:jc w:val="left"/>
      </w:pPr>
      <w:r>
        <w:rPr>
          <w:rFonts w:ascii="Courier New" w:cs="Courier New" w:eastAsia="Courier New" w:hAnsi="Courier New"/>
          <w:sz w:val="18"/>
          <w:szCs w:val="18"/>
        </w:rPr>
        <w:t xml:space="preserve">    janela_treino_inicio TIMESTAMPTZ,</w:t>
      </w:r>
    </w:p>
    <w:p>
      <w:pPr>
        <w:spacing w:after="0" w:line="240"/>
        <w:jc w:val="left"/>
      </w:pPr>
      <w:r>
        <w:rPr>
          <w:rFonts w:ascii="Courier New" w:cs="Courier New" w:eastAsia="Courier New" w:hAnsi="Courier New"/>
          <w:sz w:val="18"/>
          <w:szCs w:val="18"/>
        </w:rPr>
        <w:t xml:space="preserve">    janela_treino_fim    TIMESTAMPTZ,</w:t>
      </w:r>
    </w:p>
    <w:p>
      <w:pPr>
        <w:spacing w:after="0" w:line="240"/>
        <w:jc w:val="left"/>
      </w:pPr>
      <w:r>
        <w:rPr>
          <w:rFonts w:ascii="Courier New" w:cs="Courier New" w:eastAsia="Courier New" w:hAnsi="Courier New"/>
          <w:sz w:val="18"/>
          <w:szCs w:val="18"/>
        </w:rPr>
        <w:t xml:space="preserve">    mae                  NUMERIC(12,5),</w:t>
      </w:r>
    </w:p>
    <w:p>
      <w:pPr>
        <w:spacing w:after="0" w:line="240"/>
        <w:jc w:val="left"/>
      </w:pPr>
      <w:r>
        <w:rPr>
          <w:rFonts w:ascii="Courier New" w:cs="Courier New" w:eastAsia="Courier New" w:hAnsi="Courier New"/>
          <w:sz w:val="18"/>
          <w:szCs w:val="18"/>
        </w:rPr>
        <w:t xml:space="preserve">    rmse                 NUMERIC(12,5),</w:t>
      </w:r>
    </w:p>
    <w:p>
      <w:pPr>
        <w:spacing w:after="0" w:line="240"/>
        <w:jc w:val="left"/>
      </w:pPr>
      <w:r>
        <w:rPr>
          <w:rFonts w:ascii="Courier New" w:cs="Courier New" w:eastAsia="Courier New" w:hAnsi="Courier New"/>
          <w:sz w:val="18"/>
          <w:szCs w:val="18"/>
        </w:rPr>
        <w:t xml:space="preserve">    mape                 NUMERIC(8,4),</w:t>
      </w:r>
    </w:p>
    <w:p>
      <w:pPr>
        <w:spacing w:after="0" w:line="240"/>
        <w:jc w:val="left"/>
      </w:pPr>
      <w:r>
        <w:rPr>
          <w:rFonts w:ascii="Courier New" w:cs="Courier New" w:eastAsia="Courier New" w:hAnsi="Courier New"/>
          <w:sz w:val="18"/>
          <w:szCs w:val="18"/>
        </w:rPr>
        <w:t xml:space="preserve">    caminho_artefato     TEXT,</w:t>
      </w:r>
    </w:p>
    <w:p>
      <w:pPr>
        <w:spacing w:after="0" w:line="240"/>
        <w:jc w:val="left"/>
      </w:pPr>
      <w:r>
        <w:rPr>
          <w:rFonts w:ascii="Courier New" w:cs="Courier New" w:eastAsia="Courier New" w:hAnsi="Courier New"/>
          <w:sz w:val="18"/>
          <w:szCs w:val="18"/>
        </w:rPr>
        <w:t xml:space="preserve">    vigente              BOOLEAN NOT NULL DEFAULT FALSE</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previsao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modelo_id           INT         NOT NULL REFERENCES modelo_treinado(id),</w:t>
      </w:r>
    </w:p>
    <w:p>
      <w:pPr>
        <w:spacing w:after="0" w:line="240"/>
        <w:jc w:val="left"/>
      </w:pPr>
      <w:r>
        <w:rPr>
          <w:rFonts w:ascii="Courier New" w:cs="Courier New" w:eastAsia="Courier New" w:hAnsi="Courier New"/>
          <w:sz w:val="18"/>
          <w:szCs w:val="18"/>
        </w:rPr>
        <w:t xml:space="preserve">    gerada_em           TIMESTAMPTZ NOT NULL DEFAULT now(),</w:t>
      </w:r>
    </w:p>
    <w:p>
      <w:pPr>
        <w:spacing w:after="0" w:line="240"/>
        <w:jc w:val="left"/>
      </w:pPr>
      <w:r>
        <w:rPr>
          <w:rFonts w:ascii="Courier New" w:cs="Courier New" w:eastAsia="Courier New" w:hAnsi="Courier New"/>
          <w:sz w:val="18"/>
          <w:szCs w:val="18"/>
        </w:rPr>
        <w:t xml:space="preserve">    hora_alvo           TIMESTAMPTZ NOT NULL,</w:t>
      </w:r>
    </w:p>
    <w:p>
      <w:pPr>
        <w:spacing w:after="0" w:line="240"/>
        <w:jc w:val="left"/>
      </w:pPr>
      <w:r>
        <w:rPr>
          <w:rFonts w:ascii="Courier New" w:cs="Courier New" w:eastAsia="Courier New" w:hAnsi="Courier New"/>
          <w:sz w:val="18"/>
          <w:szCs w:val="18"/>
        </w:rPr>
        <w:t xml:space="preserve">    energia_prevista_wh NUMERIC(12,4) NOT NULL,</w:t>
      </w:r>
    </w:p>
    <w:p>
      <w:pPr>
        <w:spacing w:after="0" w:line="240"/>
        <w:jc w:val="left"/>
      </w:pPr>
      <w:r>
        <w:rPr>
          <w:rFonts w:ascii="Courier New" w:cs="Courier New" w:eastAsia="Courier New" w:hAnsi="Courier New"/>
          <w:sz w:val="18"/>
          <w:szCs w:val="18"/>
        </w:rPr>
        <w:t xml:space="preserve">    limite_inferior_wh  NUMERIC(12,4),</w:t>
      </w:r>
    </w:p>
    <w:p>
      <w:pPr>
        <w:spacing w:after="0" w:line="240"/>
        <w:jc w:val="left"/>
      </w:pPr>
      <w:r>
        <w:rPr>
          <w:rFonts w:ascii="Courier New" w:cs="Courier New" w:eastAsia="Courier New" w:hAnsi="Courier New"/>
          <w:sz w:val="18"/>
          <w:szCs w:val="18"/>
        </w:rPr>
        <w:t xml:space="preserve">    limite_superior_wh  NUMERIC(12,4)</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idx_previsao_alvo ON previsao (residencia_id, hora_alvo);</w:t>
      </w:r>
    </w:p>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7.5 Justificativa das decisões de modelagem</w:t>
      </w:r>
    </w:p>
    <w:p>
      <w:pPr>
        <w:spacing w:after="0" w:before="0" w:line="360"/>
        <w:ind w:firstLine="708"/>
        <w:jc w:val="both"/>
      </w:pPr>
      <w:r>
        <w:rPr>
          <w:rFonts w:ascii="Arial" w:cs="Arial" w:eastAsia="Arial" w:hAnsi="Arial"/>
          <w:b w:val="false"/>
          <w:bCs w:val="false"/>
          <w:i w:val="false"/>
          <w:iCs w:val="false"/>
          <w:caps w:val="false"/>
          <w:sz w:val="24"/>
          <w:szCs w:val="24"/>
        </w:rPr>
        <w:t xml:space="preserve">As principais decisões de modelagem e suas motivações são as seguintes.</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do tipo TIMESTAMPTZ, que armazena o instante com informação de fuso horário, em vez de TIMESTAMP simples, elimina a ambiguidade que ocorreria em transições de horário de verão e permite a operação de dispositivos situados em fusos distintos.</w:t>
      </w:r>
    </w:p>
    <w:p>
      <w:pPr>
        <w:spacing w:after="0" w:before="0" w:line="360"/>
        <w:ind w:firstLine="708"/>
        <w:jc w:val="both"/>
      </w:pPr>
      <w:r>
        <w:rPr>
          <w:rFonts w:ascii="Arial" w:cs="Arial" w:eastAsia="Arial" w:hAnsi="Arial"/>
          <w:b w:val="false"/>
          <w:bCs w:val="false"/>
          <w:i w:val="false"/>
          <w:iCs w:val="false"/>
          <w:caps w:val="false"/>
          <w:sz w:val="24"/>
          <w:szCs w:val="24"/>
        </w:rPr>
        <w:t xml:space="preserve">A restrição de unicidade sobre a combinação de dispositivo e instante de medição implementa a idempotência da operação de inserção, tratando no nível do banco a possibilidade de reentrega de mensagens inerente ao nível 1 de qualidade de serviço do MQTT.</w:t>
      </w:r>
    </w:p>
    <w:p>
      <w:pPr>
        <w:spacing w:after="0" w:before="0" w:line="360"/>
        <w:ind w:firstLine="708"/>
        <w:jc w:val="both"/>
      </w:pPr>
      <w:r>
        <w:rPr>
          <w:rFonts w:ascii="Arial" w:cs="Arial" w:eastAsia="Arial" w:hAnsi="Arial"/>
          <w:b w:val="false"/>
          <w:bCs w:val="false"/>
          <w:i w:val="false"/>
          <w:iCs w:val="false"/>
          <w:caps w:val="false"/>
          <w:sz w:val="24"/>
          <w:szCs w:val="24"/>
        </w:rPr>
        <w:t xml:space="preserve">O índice composto sobre dispositivo e instante em ordem decrescente atende diretamente ao padrão de consulta predominante do sistema, que solicita as leituras mais recentes de um dispositivo específico. A ordenação decrescente evita a operação de ordenação em tempo de consulta.</w:t>
      </w:r>
    </w:p>
    <w:p>
      <w:pPr>
        <w:spacing w:after="0" w:before="0" w:line="360"/>
        <w:ind w:firstLine="708"/>
        <w:jc w:val="both"/>
      </w:pPr>
      <w:r>
        <w:rPr>
          <w:rFonts w:ascii="Arial" w:cs="Arial" w:eastAsia="Arial" w:hAnsi="Arial"/>
          <w:b w:val="false"/>
          <w:bCs w:val="false"/>
          <w:i w:val="false"/>
          <w:iCs w:val="false"/>
          <w:caps w:val="false"/>
          <w:sz w:val="24"/>
          <w:szCs w:val="24"/>
        </w:rPr>
        <w:t xml:space="preserve">A chave primária composta da tabela de agregados horários, formada por residência e hora, dispensa chave substituta e impede por construção a existência de dois agregados para o mesmo intervalo da mesma residência.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de qualidade na tabela de leituras permite sinalizar medições suspeitas — obtidas durante reinicialização do dispositivo, com valores fora da faixa esperada ou com registro temporal anterior à sincronização do relógio — sem removê-las da base. A preservação do dado sinalizado, em vez de sua exclusão, mantém a auditabilidade e permite que a decisão sobre seu uso seja tomada na etapa de análise.</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indicador de modelo vigente permite que múltiplas versões coexistam no repositório, com apenas uma ativa para inferência, viabilizando a reversão imediata em caso de degradação de desempenho após um retreinamento.</w:t>
      </w:r>
    </w:p>
    <w:p>
      <w:pPr>
        <w:pStyle w:val="Heading2"/>
        <w:spacing w:after="200" w:before="360" w:line="360"/>
        <w:jc w:val="left"/>
      </w:pPr>
      <w:r>
        <w:rPr>
          <w:rFonts w:ascii="Arial" w:cs="Arial" w:eastAsia="Arial" w:hAnsi="Arial"/>
          <w:b/>
          <w:bCs/>
          <w:i w:val="false"/>
          <w:iCs w:val="false"/>
          <w:caps w:val="false"/>
          <w:sz w:val="24"/>
          <w:szCs w:val="24"/>
        </w:rPr>
        <w:t xml:space="preserve">7.6 Utilização pelo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ocupa posição central na arquitetura, sendo acessado por quatro fluxos distintos. O serviço de ingestão realiza inserções na tabela de leituras a cada mensagem recebida. A rotina de consolidação lê o intervalo de leituras da hora encerrada e insere o registro correspondente na tabela de agregados. A rotina de treinamento lê a série consolidada completa e grava o registro do modelo produzido. A interface de programação executa consultas de leitura sobre as tabelas de agregados, previsões e dispositivos para atender às requisições da camada de apresentação.</w:t>
      </w:r>
    </w:p>
    <w:p>
      <w:r>
        <w:br w:type="page"/>
      </w:r>
    </w:p>
    <w:p>
      <w:pPr>
        <w:pStyle w:val="Heading1"/>
        <w:spacing w:after="240" w:before="480" w:line="360"/>
        <w:jc w:val="left"/>
      </w:pPr>
      <w:r>
        <w:rPr>
          <w:rFonts w:ascii="Arial" w:cs="Arial" w:eastAsia="Arial" w:hAnsi="Arial"/>
          <w:b/>
          <w:bCs/>
          <w:i w:val="false"/>
          <w:iCs w:val="false"/>
          <w:caps/>
          <w:sz w:val="24"/>
          <w:szCs w:val="24"/>
        </w:rPr>
        <w:t xml:space="preserve">8 RELATÓRIO DE TESTES DO SOFTWARE</w:t>
      </w:r>
    </w:p>
    <w:p>
      <w:pPr>
        <w:pStyle w:val="Heading2"/>
        <w:spacing w:after="200" w:before="360" w:line="360"/>
        <w:jc w:val="left"/>
      </w:pPr>
      <w:r>
        <w:rPr>
          <w:rFonts w:ascii="Arial" w:cs="Arial" w:eastAsia="Arial" w:hAnsi="Arial"/>
          <w:b/>
          <w:bCs/>
          <w:i w:val="false"/>
          <w:iCs w:val="false"/>
          <w:caps w:val="false"/>
          <w:sz w:val="24"/>
          <w:szCs w:val="24"/>
        </w:rPr>
        <w:t xml:space="preserve">8.1 Estratégia de teste</w:t>
      </w:r>
    </w:p>
    <w:p>
      <w:pPr>
        <w:spacing w:after="0" w:before="0" w:line="360"/>
        <w:ind w:firstLine="708"/>
        <w:jc w:val="both"/>
      </w:pPr>
      <w:r>
        <w:rPr>
          <w:rFonts w:ascii="Arial" w:cs="Arial" w:eastAsia="Arial" w:hAnsi="Arial"/>
          <w:b w:val="false"/>
          <w:bCs w:val="false"/>
          <w:i w:val="false"/>
          <w:iCs w:val="false"/>
          <w:caps w:val="false"/>
          <w:sz w:val="24"/>
          <w:szCs w:val="24"/>
        </w:rPr>
        <w:t xml:space="preserve">A estratégia de teste adotada contempla quatro níveis. Os testes de unidade verificam funções isoladas, notadamente as rotinas de cálculo de potência e energia no firmware e as funções de construção de atributos no módulo analítico. Os testes de integração verificam a comunicação entre componentes adjacentes da arquitetura. Os testes de sistema verificam o comportamento da cadeia completa sob condições de operação. Os testes de aceitação verificam o atendimento aos requisitos do ponto de vista do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Adicionalmente, foram definidos testes específicos para a camada preditiva, cuja verificação não se resume à ausência de defeitos de execução, mas exige a comprovação de desempenho superior ao de uma referência trivial.</w:t>
      </w:r>
    </w:p>
    <w:p>
      <w:pPr>
        <w:pStyle w:val="Heading2"/>
        <w:spacing w:after="200" w:before="360" w:line="360"/>
        <w:jc w:val="left"/>
      </w:pPr>
      <w:r>
        <w:rPr>
          <w:rFonts w:ascii="Arial" w:cs="Arial" w:eastAsia="Arial" w:hAnsi="Arial"/>
          <w:b/>
          <w:bCs/>
          <w:i w:val="false"/>
          <w:iCs w:val="false"/>
          <w:caps w:val="false"/>
          <w:sz w:val="24"/>
          <w:szCs w:val="24"/>
        </w:rPr>
        <w:t xml:space="preserve">8.2 Casos de teste especificados</w:t>
      </w:r>
    </w:p>
    <w:p>
      <w:pPr>
        <w:spacing w:after="80" w:before="240" w:line="240"/>
        <w:jc w:val="left"/>
      </w:pPr>
      <w:r>
        <w:rPr>
          <w:rFonts w:ascii="Arial" w:cs="Arial" w:eastAsia="Arial" w:hAnsi="Arial"/>
          <w:b w:val="false"/>
          <w:bCs w:val="false"/>
          <w:i w:val="false"/>
          <w:iCs w:val="false"/>
          <w:caps w:val="false"/>
          <w:sz w:val="20"/>
          <w:szCs w:val="20"/>
        </w:rPr>
        <w:t xml:space="preserve">Quadro 13 – Especificação dos casos de teste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700"/>
        <w:gridCol w:w="3000"/>
        <w:gridCol w:w="1200"/>
      </w:tblGrid>
      <w:tr>
        <w:trPr>
          <w:tblHeader/>
        </w:trPr>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1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Nível</w:t>
            </w:r>
          </w:p>
        </w:tc>
        <w:tc>
          <w:tcPr>
            <w:tcW w:type="dxa" w:w="3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 do cenário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Critério de aceitação</w:t>
            </w:r>
          </w:p>
        </w:tc>
        <w:tc>
          <w:tcPr>
            <w:tcW w:type="dxa" w:w="1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Resultado</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Cálculo da potência a partir de tensão e corrente conhecidas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calculado analiticamente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Acumulação de energia em intervalo de tempo conhecido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esperado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Construção dos atributos de defasagem sem uso de informação futura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 atributo contém valor posterior ao instante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Publicação MQTT do ESP32 até persistência no banco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presente na tabela com instante correto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Recebimento de mensagem com esquema inválido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Mensagem rejeitada e registrada em log; nenhuma inserção realizada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CT06</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Reentrega de mensagem já processada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duplicidade criada na tabela de leituras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CT07</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de carga residencial de potência conhecida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Erro relativo inferior a 10% em relação ao instrumento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CT08</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Interrupção do enlace Wi-Fi por dez minutos durante a coleta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Dados retidos em buffer e retransmitidos; série sem lacuna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CT09</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Operação contínua do nó de medição por sete dias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perda de mensagem; latência p95 inferior a cinco segundos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CT10</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Consolidação horária sobre intervalo com leituras faltantes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registra corretamente o número de amostras do intervalo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Comparação entre Random Forest e baseline de persistência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MAE do modelo inferior ao MAE do baseline no conjunto de teste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Auditoria da partição temporal dos dados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amostra de teste anterior ao término do conjunto de treino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Exibição da previsão de 24 horas na interface web</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Gráfico renderizado em menos de dois segundos com dados atualizados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Identificação do horário de pico por usuário sem instrução prévia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Tarefa concluída sem auxílio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Exportação da série histórica em CSV</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íntegro e legível em software de planilha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resultado dos casos de teste]</w:t>
      </w:r>
    </w:p>
    <w:p>
      <w:pPr>
        <w:pStyle w:val="Heading2"/>
        <w:spacing w:after="200" w:before="360" w:line="360"/>
        <w:jc w:val="left"/>
      </w:pPr>
      <w:r>
        <w:rPr>
          <w:rFonts w:ascii="Arial" w:cs="Arial" w:eastAsia="Arial" w:hAnsi="Arial"/>
          <w:b/>
          <w:bCs/>
          <w:i w:val="false"/>
          <w:iCs w:val="false"/>
          <w:caps w:val="false"/>
          <w:sz w:val="24"/>
          <w:szCs w:val="24"/>
        </w:rPr>
        <w:t xml:space="preserve">8.3 Execução e resultados dos testes</w:t>
      </w:r>
    </w:p>
    <w:p>
      <w:pPr>
        <w:spacing w:after="240" w:before="240" w:line="360"/>
        <w:jc w:val="center"/>
      </w:pPr>
      <w:r>
        <w:rPr>
          <w:rFonts w:ascii="Arial" w:cs="Arial" w:eastAsia="Arial" w:hAnsi="Arial"/>
          <w:b/>
          <w:bCs/>
          <w:i w:val="false"/>
          <w:iCs w:val="false"/>
          <w:caps w:val="false"/>
          <w:sz w:val="24"/>
          <w:szCs w:val="24"/>
        </w:rPr>
        <w:t xml:space="preserve">[A PREENCHER: execução e resultados dos testes]</w:t>
      </w:r>
    </w:p>
    <w:p>
      <w:r>
        <w:br w:type="page"/>
      </w:r>
    </w:p>
    <w:p>
      <w:pPr>
        <w:pStyle w:val="Heading1"/>
        <w:spacing w:after="240" w:before="480" w:line="360"/>
        <w:jc w:val="left"/>
      </w:pPr>
      <w:r>
        <w:rPr>
          <w:rFonts w:ascii="Arial" w:cs="Arial" w:eastAsia="Arial" w:hAnsi="Arial"/>
          <w:b/>
          <w:bCs/>
          <w:i w:val="false"/>
          <w:iCs w:val="false"/>
          <w:caps/>
          <w:sz w:val="24"/>
          <w:szCs w:val="24"/>
        </w:rPr>
        <w:t xml:space="preserve">9 RESULTADOS E ANÁLISE</w:t>
      </w:r>
    </w:p>
    <w:p>
      <w:pPr>
        <w:pStyle w:val="Heading2"/>
        <w:spacing w:after="200" w:before="360" w:line="360"/>
        <w:jc w:val="left"/>
      </w:pPr>
      <w:r>
        <w:rPr>
          <w:rFonts w:ascii="Arial" w:cs="Arial" w:eastAsia="Arial" w:hAnsi="Arial"/>
          <w:b/>
          <w:bCs/>
          <w:i w:val="false"/>
          <w:iCs w:val="false"/>
          <w:caps w:val="false"/>
          <w:sz w:val="24"/>
          <w:szCs w:val="24"/>
        </w:rPr>
        <w:t xml:space="preserve">9.1 Protótipo construído</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o protótipo físico resultante do desenvolvimento, sua configuração de bancada e o comportamento observado durante os ensaios.</w:t>
      </w:r>
    </w:p>
    <w:p>
      <w:pPr>
        <w:spacing w:after="240" w:before="240" w:line="360"/>
        <w:jc w:val="center"/>
      </w:pPr>
      <w:r>
        <w:rPr>
          <w:rFonts w:ascii="Arial" w:cs="Arial" w:eastAsia="Arial" w:hAnsi="Arial"/>
          <w:b/>
          <w:bCs/>
          <w:i w:val="false"/>
          <w:iCs w:val="false"/>
          <w:caps w:val="false"/>
          <w:sz w:val="24"/>
          <w:szCs w:val="24"/>
        </w:rPr>
        <w:t xml:space="preserve">[A PREENCHER: Figura 7 – fotografia do protótipo montado]</w:t>
      </w:r>
    </w:p>
    <w:p>
      <w:pPr>
        <w:pStyle w:val="Heading2"/>
        <w:spacing w:after="200" w:before="360" w:line="360"/>
        <w:jc w:val="left"/>
      </w:pPr>
      <w:r>
        <w:rPr>
          <w:rFonts w:ascii="Arial" w:cs="Arial" w:eastAsia="Arial" w:hAnsi="Arial"/>
          <w:b/>
          <w:bCs/>
          <w:i w:val="false"/>
          <w:iCs w:val="false"/>
          <w:caps w:val="false"/>
          <w:sz w:val="24"/>
          <w:szCs w:val="24"/>
        </w:rPr>
        <w:t xml:space="preserve">9.2 Caracterização da série coletada</w:t>
      </w:r>
    </w:p>
    <w:p>
      <w:pPr>
        <w:spacing w:after="240" w:before="240" w:line="360"/>
        <w:jc w:val="center"/>
      </w:pPr>
      <w:r>
        <w:rPr>
          <w:rFonts w:ascii="Arial" w:cs="Arial" w:eastAsia="Arial" w:hAnsi="Arial"/>
          <w:b/>
          <w:bCs/>
          <w:i w:val="false"/>
          <w:iCs w:val="false"/>
          <w:caps w:val="false"/>
          <w:sz w:val="24"/>
          <w:szCs w:val="24"/>
        </w:rPr>
        <w:t xml:space="preserve">[A PREENCHER: caracterização da série coletada]</w:t>
      </w:r>
    </w:p>
    <w:p>
      <w:pPr>
        <w:pStyle w:val="Heading2"/>
        <w:spacing w:after="200" w:before="360" w:line="360"/>
        <w:jc w:val="left"/>
      </w:pPr>
      <w:r>
        <w:rPr>
          <w:rFonts w:ascii="Arial" w:cs="Arial" w:eastAsia="Arial" w:hAnsi="Arial"/>
          <w:b/>
          <w:bCs/>
          <w:i w:val="false"/>
          <w:iCs w:val="false"/>
          <w:caps w:val="false"/>
          <w:sz w:val="24"/>
          <w:szCs w:val="24"/>
        </w:rPr>
        <w:t xml:space="preserve">9.3 Validação da instrumentação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verificação da exatidão das medições foi conduzida mediante o confronto entre o valor reportado pelo sistema e o valor de referência de cargas de consumo conhecido.</w:t>
      </w:r>
    </w:p>
    <w:p>
      <w:pPr>
        <w:spacing w:after="80" w:before="240" w:line="240"/>
        <w:jc w:val="left"/>
      </w:pPr>
      <w:r>
        <w:rPr>
          <w:rFonts w:ascii="Arial" w:cs="Arial" w:eastAsia="Arial" w:hAnsi="Arial"/>
          <w:b w:val="false"/>
          <w:bCs w:val="false"/>
          <w:i w:val="false"/>
          <w:iCs w:val="false"/>
          <w:caps w:val="false"/>
          <w:sz w:val="20"/>
          <w:szCs w:val="20"/>
        </w:rPr>
        <w:t xml:space="preserve">Quadro 14 – Confronto entre valor medido e valor de referência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000"/>
        <w:gridCol w:w="1700"/>
        <w:gridCol w:w="16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Configuração ensaiada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de referência (W)</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medido (W)</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absoluto (W)</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relativo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Cargas combinadas</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Ausência de carga (valor de repouso)</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medições de validação da instrumentação]</w:t>
      </w:r>
    </w:p>
    <w:p>
      <w:pPr>
        <w:pStyle w:val="Heading2"/>
        <w:spacing w:after="200" w:before="360" w:line="360"/>
        <w:jc w:val="left"/>
      </w:pPr>
      <w:r>
        <w:rPr>
          <w:rFonts w:ascii="Arial" w:cs="Arial" w:eastAsia="Arial" w:hAnsi="Arial"/>
          <w:b/>
          <w:bCs/>
          <w:i w:val="false"/>
          <w:iCs w:val="false"/>
          <w:caps w:val="false"/>
          <w:sz w:val="24"/>
          <w:szCs w:val="24"/>
        </w:rPr>
        <w:t xml:space="preserve">9.4 Efeito do fator de potência sobre a estimativa</w:t>
      </w:r>
    </w:p>
    <w:p>
      <w:pPr>
        <w:spacing w:after="0" w:before="0" w:line="360"/>
        <w:ind w:firstLine="708"/>
        <w:jc w:val="both"/>
      </w:pPr>
      <w:r>
        <w:rPr>
          <w:rFonts w:ascii="Arial" w:cs="Arial" w:eastAsia="Arial" w:hAnsi="Arial"/>
          <w:b w:val="false"/>
          <w:bCs w:val="false"/>
          <w:i w:val="false"/>
          <w:iCs w:val="false"/>
          <w:caps w:val="false"/>
          <w:sz w:val="24"/>
          <w:szCs w:val="24"/>
        </w:rPr>
        <w:t xml:space="preserve">Uma vez que o sistema estima a potência a partir da corrente eficaz e da tensão nominal, o valor por ele fornecido corresponde à potência aparente. O instrumento de referência adotado indica simultaneamente a potência ativa e o fator de potência de cada carga, o que permite quantificar o desvio decorrente dessa aproximação em vez de apenas declará-lo.</w:t>
      </w:r>
    </w:p>
    <w:p>
      <w:pPr>
        <w:spacing w:after="80" w:before="240" w:line="240"/>
        <w:jc w:val="left"/>
      </w:pPr>
      <w:r>
        <w:rPr>
          <w:rFonts w:ascii="Arial" w:cs="Arial" w:eastAsia="Arial" w:hAnsi="Arial"/>
          <w:b w:val="false"/>
          <w:bCs w:val="false"/>
          <w:i w:val="false"/>
          <w:iCs w:val="false"/>
          <w:caps w:val="false"/>
          <w:sz w:val="20"/>
          <w:szCs w:val="20"/>
        </w:rPr>
        <w:t xml:space="preserve">Quadro 15 – Desvio entre potência aparente estimada e potência ativa medida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1900"/>
        <w:gridCol w:w="2400"/>
        <w:gridCol w:w="10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Fator de potência medido</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ativa (W)</w:t>
            </w:r>
          </w:p>
        </w:tc>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aparente estimada (VA)</w:t>
            </w:r>
          </w:p>
        </w:tc>
        <w:tc>
          <w:tcPr>
            <w:tcW w:type="dxa" w:w="1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Desvio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telefone celular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Espera-se que cargas de natureza predominantemente resistiva apresentem fator de potência próximo da unidade e, consequentemente, desvio reduzido, ao passo que cargas dotadas de motor ou de fonte chaveada apresentem fator de potência inferior e desvio proporcionalmente maior. A quantificação desse comportamento converte uma limitação declarada do método em resultado mensurado, permitindo delimitar com precisão as condições sob as quais a estimativa por tensão nominal é adequada.</w:t>
      </w:r>
    </w:p>
    <w:p>
      <w:r>
        <w:br w:type="page"/>
      </w:r>
    </w:p>
    <w:p>
      <w:pPr>
        <w:pStyle w:val="Heading2"/>
        <w:spacing w:after="200" w:before="360" w:line="360"/>
        <w:jc w:val="left"/>
      </w:pPr>
      <w:r>
        <w:rPr>
          <w:rFonts w:ascii="Arial" w:cs="Arial" w:eastAsia="Arial" w:hAnsi="Arial"/>
          <w:b/>
          <w:bCs/>
          <w:i w:val="false"/>
          <w:iCs w:val="false"/>
          <w:caps w:val="false"/>
          <w:sz w:val="24"/>
          <w:szCs w:val="24"/>
        </w:rPr>
        <w:t xml:space="preserve">9.5 Desempenho dos modelos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Os três modelos descritos na seção 3.7.2 foram treinados e avaliados sobre o conjunto de teste, respeitando a partição temporal definida. O Quadro 16 apresenta as métricas obtidas.</w:t>
      </w:r>
    </w:p>
    <w:p>
      <w:pPr>
        <w:spacing w:after="80" w:before="240" w:line="240"/>
        <w:jc w:val="left"/>
      </w:pPr>
      <w:r>
        <w:rPr>
          <w:rFonts w:ascii="Arial" w:cs="Arial" w:eastAsia="Arial" w:hAnsi="Arial"/>
          <w:b w:val="false"/>
          <w:bCs w:val="false"/>
          <w:i w:val="false"/>
          <w:iCs w:val="false"/>
          <w:caps w:val="false"/>
          <w:sz w:val="20"/>
          <w:szCs w:val="20"/>
        </w:rPr>
        <w:t xml:space="preserve">Quadro 16 – Desempenho comparativo dos modelos de previsão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500"/>
        <w:gridCol w:w="21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MAE (Wh)</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RMSE (Wh)</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MAPE (%)</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Redução do MAE frente ao baseline (%)</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Persistência sazonal (baseline)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Regressão Ridge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Random Forest</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métricas dos modelos e gráficos comparativos]</w:t>
      </w:r>
    </w:p>
    <w:p>
      <w:pPr>
        <w:pStyle w:val="Heading2"/>
        <w:spacing w:after="200" w:before="360" w:line="360"/>
        <w:jc w:val="left"/>
      </w:pPr>
      <w:r>
        <w:rPr>
          <w:rFonts w:ascii="Arial" w:cs="Arial" w:eastAsia="Arial" w:hAnsi="Arial"/>
          <w:b/>
          <w:bCs/>
          <w:i w:val="false"/>
          <w:iCs w:val="false"/>
          <w:caps w:val="false"/>
          <w:sz w:val="24"/>
          <w:szCs w:val="24"/>
        </w:rPr>
        <w:t xml:space="preserve">9.6 Análise dos resultados</w:t>
      </w:r>
    </w:p>
    <w:p>
      <w:pPr>
        <w:spacing w:after="240" w:before="240" w:line="360"/>
        <w:jc w:val="center"/>
      </w:pPr>
      <w:r>
        <w:rPr>
          <w:rFonts w:ascii="Arial" w:cs="Arial" w:eastAsia="Arial" w:hAnsi="Arial"/>
          <w:b/>
          <w:bCs/>
          <w:i w:val="false"/>
          <w:iCs w:val="false"/>
          <w:caps w:val="false"/>
          <w:sz w:val="24"/>
          <w:szCs w:val="24"/>
        </w:rPr>
        <w:t xml:space="preserve">[A PREENCHER: análise e discussão dos resultados]</w:t>
      </w:r>
    </w:p>
    <w:p>
      <w:pPr>
        <w:pStyle w:val="Heading2"/>
        <w:spacing w:after="200" w:before="360" w:line="360"/>
        <w:jc w:val="left"/>
      </w:pPr>
      <w:r>
        <w:rPr>
          <w:rFonts w:ascii="Arial" w:cs="Arial" w:eastAsia="Arial" w:hAnsi="Arial"/>
          <w:b/>
          <w:bCs/>
          <w:i w:val="false"/>
          <w:iCs w:val="false"/>
          <w:caps w:val="false"/>
          <w:sz w:val="24"/>
          <w:szCs w:val="24"/>
        </w:rPr>
        <w:t xml:space="preserve">9.7 Verificação das hipóteses</w:t>
      </w:r>
    </w:p>
    <w:p>
      <w:pPr>
        <w:spacing w:after="80" w:before="240" w:line="240"/>
        <w:jc w:val="left"/>
      </w:pPr>
      <w:r>
        <w:rPr>
          <w:rFonts w:ascii="Arial" w:cs="Arial" w:eastAsia="Arial" w:hAnsi="Arial"/>
          <w:b w:val="false"/>
          <w:bCs w:val="false"/>
          <w:i w:val="false"/>
          <w:iCs w:val="false"/>
          <w:caps w:val="false"/>
          <w:sz w:val="20"/>
          <w:szCs w:val="20"/>
        </w:rPr>
        <w:t xml:space="preserve">Quadro 17 – Síntese da verificação das hipóteses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2600"/>
      </w:tblGrid>
      <w:tr>
        <w:trPr>
          <w:tblHeader/>
        </w:trPr>
        <w:tc>
          <w:tcPr>
            <w:tcW w:type="dxa" w:w="3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Hipótese</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Evidência utilizada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H1 – Exatidão da estimativa com erro inferior a 10%</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Quadros 14 e 15 e caso de teste CT07</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H2 – Ingestão contínua sem perda de mensagens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Casos de teste CT08 e CT09</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H3 – Modelo supervisionado superior ao baseline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 16 e caso de teste CT11</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H4 – Interface permite identificar padrões acionáveis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 de teste CT14</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verificação de cada hipótese]</w:t>
      </w:r>
    </w:p>
    <w:p>
      <w:pPr>
        <w:pStyle w:val="Heading2"/>
        <w:spacing w:after="200" w:before="360" w:line="360"/>
        <w:jc w:val="left"/>
      </w:pPr>
      <w:r>
        <w:rPr>
          <w:rFonts w:ascii="Arial" w:cs="Arial" w:eastAsia="Arial" w:hAnsi="Arial"/>
          <w:b/>
          <w:bCs/>
          <w:i w:val="false"/>
          <w:iCs w:val="false"/>
          <w:caps w:val="false"/>
          <w:sz w:val="24"/>
          <w:szCs w:val="24"/>
        </w:rPr>
        <w:t xml:space="preserve">9.8 Limitações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Os resultados apresentados devem ser interpretados à luz das seguintes limitações, decorrentes de restrições metodológicas e de escopo assumidas deliberadamente: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instrumentação é aplicada a um circuito derivado da unidade consumidora, e não ao condutor de entrada que totaliza o consumo da residência. A magnitude das correntes medidas é, portanto, inferior à do consumo domiciliar completo, ainda que a natureza do fenômeno, o sensor e o método de medição sejam os mesmos empregados na medição do circuito geral.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sensor adotado mede exclusivamente a corrente eficaz, sendo a potência estimada a partir da tensão nominal assumida como constante. O sistema fornece, portanto, potência aparente, o que introduz desvio proporcional ao fator de potência em cargas indutivas e em fontes chaveadas.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Não são medidas as variações reais da tensão de fornecimento, que na prática oscilam em torno do valor nominal ao longo do dia.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instrumentação restringe-se a um único ponto de medição agregado. O sistema não realiza submedição por equipamento nem desagregação de cargas a partir do sinal agregado, de modo que a atribuição do consumo a aparelhos específicos não integra os resultados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modelos preditivos foram treinados sobre base pública referente a uma única residência, situada em contexto climático, tarifário e cultural distinto do brasileiro, o que restringe a generalização direta dos coeficientes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série coletada pelo próprio protótipo possui extensão inferior à necessária para a captura confiável de sazonalidade semanal, tendo sido empregada na validação da instrumentação e não no treinamento dos modelos.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amostra corresponde a uma única unidade residencial, não permitindo inferência estatística sobre perfis distintos de domicílio.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sensores utilizados não foram submetidos a calibração laboratorial com padrão rastreável, sendo a exatidão verificada por comparação com instrumento de bancada.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sazonalidade anual não foi capturada, dada a duração do período de execução do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sistema depende da disponibilidade de conectividade Wi-Fi na residência monitorada.</w:t>
      </w:r>
    </w:p>
    <w:p>
      <w:r>
        <w:br w:type="page"/>
      </w:r>
    </w:p>
    <w:p>
      <w:pPr>
        <w:pStyle w:val="Heading1"/>
        <w:spacing w:after="240" w:before="480" w:line="360"/>
        <w:jc w:val="left"/>
      </w:pPr>
      <w:r>
        <w:rPr>
          <w:rFonts w:ascii="Arial" w:cs="Arial" w:eastAsia="Arial" w:hAnsi="Arial"/>
          <w:b/>
          <w:bCs/>
          <w:i w:val="false"/>
          <w:iCs w:val="false"/>
          <w:caps/>
          <w:sz w:val="24"/>
          <w:szCs w:val="24"/>
        </w:rPr>
        <w:t xml:space="preserve">10 CONCLUSÕES</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teve por objetivo desenvolver e validar experimentalmente um sistema integrado de monitoramento e previsão de consumo de energia elétrica residencial, baseado em Internet das Coisas, computação em nuvem e aprendizado de máquina. O percurso compreendeu a revisão da literatura pertinente, a especificação e construção de um protótipo físico de instrumentação, a implantação de uma infraestrutura em nuvem para ingestão e persistência de telemetria, a implementação comparativa de modelos preditivos e o desenvolvimento de uma interface de visualização.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 primeiro objetivo específico, a revisão da literatura permitiu identificar o estado da arte em sensoriamento energético e em previsão de carga residencial, bem como três lacunas recorrentes: a documentação fragmentada da cadeia completa, a ausência frequente de baselines de comparação e a omissão da camada de infraestrutura em nuvem. O trabalho posicionou-se explicitamente nessas lacunas.</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de construção do protótipo e da infraestrutura, verificou-se que a integração entre microcontrolador de baixo custo, sensoriamento digital, protocolo de mensageria leve e serviços gerenciados em nuvem constitui arranjo tecnicamente viável e economicamente acessível, operável integralmente dentro dos limites de camadas gratuitas de provedores públicos.</w:t>
      </w:r>
    </w:p>
    <w:p>
      <w:pPr>
        <w:spacing w:after="240" w:before="240" w:line="360"/>
        <w:jc w:val="center"/>
      </w:pPr>
      <w:r>
        <w:rPr>
          <w:rFonts w:ascii="Arial" w:cs="Arial" w:eastAsia="Arial" w:hAnsi="Arial"/>
          <w:b/>
          <w:bCs/>
          <w:i w:val="false"/>
          <w:iCs w:val="false"/>
          <w:caps w:val="false"/>
          <w:sz w:val="24"/>
          <w:szCs w:val="24"/>
        </w:rPr>
        <w:t xml:space="preserve">[A PREENCHER: conclusões sobre modelagem preditiva e interface]</w:t>
      </w:r>
    </w:p>
    <w:p>
      <w:pPr>
        <w:spacing w:after="0" w:before="0" w:line="360"/>
        <w:ind w:firstLine="708"/>
        <w:jc w:val="both"/>
      </w:pPr>
      <w:r>
        <w:rPr>
          <w:rFonts w:ascii="Arial" w:cs="Arial" w:eastAsia="Arial" w:hAnsi="Arial"/>
          <w:b w:val="false"/>
          <w:bCs w:val="false"/>
          <w:i w:val="false"/>
          <w:iCs w:val="false"/>
          <w:caps w:val="false"/>
          <w:sz w:val="24"/>
          <w:szCs w:val="24"/>
        </w:rPr>
        <w:t xml:space="preserve">De modo geral, os resultados obtidos sustentam a conclusão de que a instrumentação granular do consumo residencial, associada a técnicas de aprendizado supervisionado, é realizável com recursos modestos e produz informação de valor prático para o usuário final, constituindo base tecnológica compatível com iniciativas de eficiência energética no contexto de cidades inteligentes.</w:t>
      </w:r>
    </w:p>
    <w:p>
      <w:r>
        <w:br w:type="page"/>
      </w:r>
    </w:p>
    <w:p>
      <w:pPr>
        <w:pStyle w:val="Heading1"/>
        <w:spacing w:after="240" w:before="480" w:line="360"/>
        <w:jc w:val="left"/>
      </w:pPr>
      <w:r>
        <w:rPr>
          <w:rFonts w:ascii="Arial" w:cs="Arial" w:eastAsia="Arial" w:hAnsi="Arial"/>
          <w:b/>
          <w:bCs/>
          <w:i w:val="false"/>
          <w:iCs w:val="false"/>
          <w:caps/>
          <w:sz w:val="24"/>
          <w:szCs w:val="24"/>
        </w:rPr>
        <w:t xml:space="preserve">11 PROJETOS FUTUROS</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dos resultados e das limitações identificadas, propõem-se os seguintes desdobramentos para trabalhos subsequentes: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Reposicionamento do transformador de corrente para o condutor de entrada da unidade consumidora, permitindo a medição do consumo total da residência. A operação não demanda alteração de sensor, de firmware, de arquitetura ou de modelo de dados, requerendo apenas acesso ao quadro de distribuição, que deve ser conduzido por profissional habilitado.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sensor de tensão isolado ao nó de medição, permitindo o cálculo da potência ativa e do fator de potência em substituição à estimativa por tensão nominal adotada neste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Ampliação da amostra para múltiplas residências com perfis distintos de ocupação, área e composição familiar, viabilizando a análise da generalização dos modelos e a investigação de estratégias de aprendizado por transferência entre domicílios.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arquiteturas de aprendizado profundo para séries temporais, notadamente redes recorrentes do tipo LSTM e arquiteturas baseadas em mecanismos de atenção, com comparação sistemática frente aos modelos aqui avaliados.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variáveis exógenas ao conjunto de atributos, em especial dados meteorológicos de temperatura e umidade, cuja correlação com o acionamento de equipamentos de climatização é reconhecida na literatura.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Desenvolvimento de módulo de desagregação de cargas a partir do sinal agregado, na linha inaugurada por Hart (1992), dispensando a instrumentação individual de cada equipamento.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detecção de anomalias de consumo, com notificação ao usuário diante de desvios significativos em relação ao padrão previsto, aplicável à identificação de falhas em equipamentos.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Integração com estruturas tarifárias diferenciadas, incluindo a tarifa branca e o sistema de bandeiras tarifárias, permitindo a recomendação de deslocamento de cargas para horários de menor custo.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Evolução da arquitetura para processamento na borda, com execução da inferência no próprio dispositivo, reduzindo a dependência de conectividade e o volume de dados transmitidos.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REFERÊNCIAS</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14724: informação e documentação: trabalhos acadêmicos: apresentação. Rio de Janeiro: ABNT, 2011.</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6023: informação e documentação: referências: elaboração. Rio de Janeiro: ABNT, 2018.</w:t>
      </w:r>
    </w:p>
    <w:p>
      <w:pPr>
        <w:spacing w:after="240" w:line="240"/>
        <w:jc w:val="left"/>
      </w:pPr>
      <w:r>
        <w:rPr>
          <w:rFonts w:ascii="Arial" w:cs="Arial" w:eastAsia="Arial" w:hAnsi="Arial"/>
          <w:b w:val="false"/>
          <w:bCs w:val="false"/>
          <w:i w:val="false"/>
          <w:iCs w:val="false"/>
          <w:caps w:val="false"/>
          <w:sz w:val="24"/>
          <w:szCs w:val="24"/>
        </w:rPr>
        <w:t xml:space="preserve">ATZORI, Luigi; IERA, Antonio; MORABITO, Giacomo. The Internet of Things: a survey. Computer Networks, v. 54, n. 15, p. 2787-2805, 2010.</w:t>
      </w:r>
    </w:p>
    <w:p>
      <w:pPr>
        <w:spacing w:after="240" w:line="240"/>
        <w:jc w:val="left"/>
      </w:pPr>
      <w:r>
        <w:rPr>
          <w:rFonts w:ascii="Arial" w:cs="Arial" w:eastAsia="Arial" w:hAnsi="Arial"/>
          <w:b w:val="false"/>
          <w:bCs w:val="false"/>
          <w:i w:val="false"/>
          <w:iCs w:val="false"/>
          <w:caps w:val="false"/>
          <w:sz w:val="24"/>
          <w:szCs w:val="24"/>
        </w:rPr>
        <w:t xml:space="preserve">BRASIL. Conselho Nacional de Desenvolvimento Científico e Tecnológico. Portaria CNPq nº 2.664, de 6 de março de 2026. Institui a Política de Integridade na Atividade Científica do CNPq. Brasília: CNPq, 2026. Disponível em: http://memoria2.cnpq.br/web/guest/view/-/journal_content/56_INSTANCE_0oED/10157/23142775. Acesso em: [data de acesso].</w:t>
      </w:r>
    </w:p>
    <w:p>
      <w:pPr>
        <w:spacing w:after="240" w:line="240"/>
        <w:jc w:val="left"/>
      </w:pPr>
      <w:r>
        <w:rPr>
          <w:rFonts w:ascii="Arial" w:cs="Arial" w:eastAsia="Arial" w:hAnsi="Arial"/>
          <w:b w:val="false"/>
          <w:bCs w:val="false"/>
          <w:i w:val="false"/>
          <w:iCs w:val="false"/>
          <w:caps w:val="false"/>
          <w:sz w:val="24"/>
          <w:szCs w:val="24"/>
        </w:rPr>
        <w:t xml:space="preserve">BREIMAN, Leo. Random forests. Machine Learning, v. 45, n. 1, p. 5-32, 2001.</w:t>
      </w:r>
    </w:p>
    <w:p>
      <w:pPr>
        <w:spacing w:after="240" w:line="240"/>
        <w:jc w:val="left"/>
      </w:pPr>
      <w:r>
        <w:rPr>
          <w:rFonts w:ascii="Arial" w:cs="Arial" w:eastAsia="Arial" w:hAnsi="Arial"/>
          <w:b w:val="false"/>
          <w:bCs w:val="false"/>
          <w:i w:val="false"/>
          <w:iCs w:val="false"/>
          <w:caps w:val="false"/>
          <w:sz w:val="24"/>
          <w:szCs w:val="24"/>
        </w:rPr>
        <w:t xml:space="preserve">CAO, Wei; LIU, Hao; ZHANG, Xin; ZENG, Yang; LING, Xiang. Short-term residential load forecasting based on the fusion of customer load uncertainty feature extraction and meteorological factors. Sustainability, v. 17, n. 3, art. 1033, 2025. DOI: 10.3390/su17031033.</w:t>
      </w:r>
    </w:p>
    <w:p>
      <w:pPr>
        <w:spacing w:after="240" w:line="240"/>
        <w:jc w:val="left"/>
      </w:pPr>
      <w:r>
        <w:rPr>
          <w:rFonts w:ascii="Arial" w:cs="Arial" w:eastAsia="Arial" w:hAnsi="Arial"/>
          <w:b w:val="false"/>
          <w:bCs w:val="false"/>
          <w:i w:val="false"/>
          <w:iCs w:val="false"/>
          <w:caps w:val="false"/>
          <w:sz w:val="24"/>
          <w:szCs w:val="24"/>
        </w:rPr>
        <w:t xml:space="preserve">DONG, Qi; HUANG, Rubing; CUI, Chenhui; TOWEY, Dave; ZHOU, Ling; TIAN, Jinyu; WANG, Jianzhou. Short-term electricity-load forecasting by deep learning: a comprehensive survey. Engineering Applications of Artificial Intelligence, v. 154, art. 110980, 2025. DOI: 10.1016/j.engappai.2025.110980.</w:t>
      </w:r>
    </w:p>
    <w:p>
      <w:pPr>
        <w:spacing w:after="240" w:line="240"/>
        <w:jc w:val="left"/>
      </w:pPr>
      <w:r>
        <w:rPr>
          <w:rFonts w:ascii="Arial" w:cs="Arial" w:eastAsia="Arial" w:hAnsi="Arial"/>
          <w:b w:val="false"/>
          <w:bCs w:val="false"/>
          <w:i w:val="false"/>
          <w:iCs w:val="false"/>
          <w:caps w:val="false"/>
          <w:sz w:val="24"/>
          <w:szCs w:val="24"/>
        </w:rPr>
        <w:t xml:space="preserve">ELMASRI, Ramez; NAVATHE, Shamkant B. Sistemas de banco de dados. 7. ed. São Paulo: Pearson, 2018.</w:t>
      </w:r>
    </w:p>
    <w:p>
      <w:pPr>
        <w:spacing w:after="240" w:line="240"/>
        <w:jc w:val="left"/>
      </w:pPr>
      <w:r>
        <w:rPr>
          <w:rFonts w:ascii="Arial" w:cs="Arial" w:eastAsia="Arial" w:hAnsi="Arial"/>
          <w:b w:val="false"/>
          <w:bCs w:val="false"/>
          <w:i w:val="false"/>
          <w:iCs w:val="false"/>
          <w:caps w:val="false"/>
          <w:sz w:val="24"/>
          <w:szCs w:val="24"/>
        </w:rPr>
        <w:t xml:space="preserve">EMPRESA DE PESQUISA ENERGÉTICA. Anuário estatístico de energia elétrica 2025. Rio de Janeiro: EPE, 2025. Disponível em: https://www.epe.gov.br/pt/publicacoes-dados-abertos/publicacoes/anuario-estatistico-de-energia-eletrica. Acesso em: [data de acesso].</w:t>
      </w:r>
    </w:p>
    <w:p>
      <w:pPr>
        <w:spacing w:after="240" w:line="240"/>
        <w:jc w:val="left"/>
      </w:pPr>
      <w:r>
        <w:rPr>
          <w:rFonts w:ascii="Arial" w:cs="Arial" w:eastAsia="Arial" w:hAnsi="Arial"/>
          <w:b w:val="false"/>
          <w:bCs w:val="false"/>
          <w:i w:val="false"/>
          <w:iCs w:val="false"/>
          <w:caps w:val="false"/>
          <w:sz w:val="24"/>
          <w:szCs w:val="24"/>
        </w:rPr>
        <w:t xml:space="preserve">ESPRESSIF SYSTEMS. ESP32 series datasheet. Versão 4.3. Xangai: Espressif Systems, 2023.</w:t>
      </w:r>
    </w:p>
    <w:p>
      <w:pPr>
        <w:spacing w:after="240" w:line="240"/>
        <w:jc w:val="left"/>
      </w:pPr>
      <w:r>
        <w:rPr>
          <w:rFonts w:ascii="Arial" w:cs="Arial" w:eastAsia="Arial" w:hAnsi="Arial"/>
          <w:b w:val="false"/>
          <w:bCs w:val="false"/>
          <w:i w:val="false"/>
          <w:iCs w:val="false"/>
          <w:caps w:val="false"/>
          <w:sz w:val="24"/>
          <w:szCs w:val="24"/>
        </w:rPr>
        <w:t xml:space="preserve">FARHANGI, Hassan. The path of the smart grid. IEEE Power and Energy Magazine, v. 8, n. 1, p. 18-28, 2010.</w:t>
      </w:r>
    </w:p>
    <w:p>
      <w:pPr>
        <w:spacing w:after="240" w:line="240"/>
        <w:jc w:val="left"/>
      </w:pPr>
      <w:r>
        <w:rPr>
          <w:rFonts w:ascii="Arial" w:cs="Arial" w:eastAsia="Arial" w:hAnsi="Arial"/>
          <w:b w:val="false"/>
          <w:bCs w:val="false"/>
          <w:i w:val="false"/>
          <w:iCs w:val="false"/>
          <w:caps w:val="false"/>
          <w:sz w:val="24"/>
          <w:szCs w:val="24"/>
        </w:rPr>
        <w:t xml:space="preserve">GELLINGS, Clark W. The smart grid: enabling energy efficiency and demand response. Boca Raton: CRC Press, 2009.</w:t>
      </w:r>
    </w:p>
    <w:p>
      <w:pPr>
        <w:spacing w:after="240" w:line="240"/>
        <w:jc w:val="left"/>
      </w:pPr>
      <w:r>
        <w:rPr>
          <w:rFonts w:ascii="Arial" w:cs="Arial" w:eastAsia="Arial" w:hAnsi="Arial"/>
          <w:b w:val="false"/>
          <w:bCs w:val="false"/>
          <w:i w:val="false"/>
          <w:iCs w:val="false"/>
          <w:caps w:val="false"/>
          <w:sz w:val="24"/>
          <w:szCs w:val="24"/>
        </w:rPr>
        <w:t xml:space="preserve">GOODFELLOW, Ian; BENGIO, Yoshua; COURVILLE, Aaron. Deep learning. Cambridge: MIT Press, 2016.</w:t>
      </w:r>
    </w:p>
    <w:p>
      <w:pPr>
        <w:spacing w:after="240" w:line="240"/>
        <w:jc w:val="left"/>
      </w:pPr>
      <w:r>
        <w:rPr>
          <w:rFonts w:ascii="Arial" w:cs="Arial" w:eastAsia="Arial" w:hAnsi="Arial"/>
          <w:b w:val="false"/>
          <w:bCs w:val="false"/>
          <w:i w:val="false"/>
          <w:iCs w:val="false"/>
          <w:caps w:val="false"/>
          <w:sz w:val="24"/>
          <w:szCs w:val="24"/>
        </w:rPr>
        <w:t xml:space="preserve">HART, George W. Nonintrusive appliance load monitoring. Proceedings of the IEEE, v. 80, n. 12, p. 1870-1891, 1992.</w:t>
      </w:r>
    </w:p>
    <w:p>
      <w:pPr>
        <w:spacing w:after="240" w:line="240"/>
        <w:jc w:val="left"/>
      </w:pPr>
      <w:r>
        <w:rPr>
          <w:rFonts w:ascii="Arial" w:cs="Arial" w:eastAsia="Arial" w:hAnsi="Arial"/>
          <w:b w:val="false"/>
          <w:bCs w:val="false"/>
          <w:i w:val="false"/>
          <w:iCs w:val="false"/>
          <w:caps w:val="false"/>
          <w:sz w:val="24"/>
          <w:szCs w:val="24"/>
        </w:rPr>
        <w:t xml:space="preserve">HEBRAIL, Georges; BERARD, Alice. Individual household electric power consumption. UCI Machine Learning Repository, 2012. Disponível em: https://archive.ics.uci.edu/dataset/235/individual+household+electric+power+consumption. Acesso em: [data de acesso].</w:t>
      </w:r>
    </w:p>
    <w:p>
      <w:pPr>
        <w:spacing w:after="240" w:line="240"/>
        <w:jc w:val="left"/>
      </w:pPr>
      <w:r>
        <w:rPr>
          <w:rFonts w:ascii="Arial" w:cs="Arial" w:eastAsia="Arial" w:hAnsi="Arial"/>
          <w:b w:val="false"/>
          <w:bCs w:val="false"/>
          <w:i w:val="false"/>
          <w:iCs w:val="false"/>
          <w:caps w:val="false"/>
          <w:sz w:val="24"/>
          <w:szCs w:val="24"/>
        </w:rPr>
        <w:t xml:space="preserve">HOCHREITER, Sepp; SCHMIDHUBER, Jürgen. Long short-term memory. Neural Computation, v. 9, n. 8, p. 1735-1780, 1997.</w:t>
      </w:r>
    </w:p>
    <w:p>
      <w:pPr>
        <w:spacing w:after="240" w:line="240"/>
        <w:jc w:val="left"/>
      </w:pPr>
      <w:r>
        <w:rPr>
          <w:rFonts w:ascii="Arial" w:cs="Arial" w:eastAsia="Arial" w:hAnsi="Arial"/>
          <w:b w:val="false"/>
          <w:bCs w:val="false"/>
          <w:i w:val="false"/>
          <w:iCs w:val="false"/>
          <w:caps w:val="false"/>
          <w:sz w:val="24"/>
          <w:szCs w:val="24"/>
        </w:rPr>
        <w:t xml:space="preserve">HYNDMAN, Rob J.; ATHANASOPOULOS, George. Forecasting: principles and practice. 3. ed. Melbourne: OTexts, 2021. Disponível em: https://otexts.com/fpp3/. Acesso em: [data de acesso].</w:t>
      </w:r>
    </w:p>
    <w:p>
      <w:pPr>
        <w:spacing w:after="240" w:line="240"/>
        <w:jc w:val="left"/>
      </w:pPr>
      <w:r>
        <w:rPr>
          <w:rFonts w:ascii="Arial" w:cs="Arial" w:eastAsia="Arial" w:hAnsi="Arial"/>
          <w:b w:val="false"/>
          <w:bCs w:val="false"/>
          <w:i w:val="false"/>
          <w:iCs w:val="false"/>
          <w:caps w:val="false"/>
          <w:sz w:val="24"/>
          <w:szCs w:val="24"/>
        </w:rPr>
        <w:t xml:space="preserve">JAIME, Herman Cristiano; SOUZA, Adler Diniz de; MACHADO, Raphael Carlos Santos; GOMES, Otávio de Souza Martins. Machine learning models for non-intrusive load monitoring: a systematic review and meta-analysis. Inventions, v. 11, n. 2, art. 29, 2026. DOI: 10.3390/inventions11020029.</w:t>
      </w:r>
    </w:p>
    <w:p>
      <w:pPr>
        <w:spacing w:after="240" w:line="240"/>
        <w:jc w:val="left"/>
      </w:pPr>
      <w:r>
        <w:rPr>
          <w:rFonts w:ascii="Arial" w:cs="Arial" w:eastAsia="Arial" w:hAnsi="Arial"/>
          <w:b w:val="false"/>
          <w:bCs w:val="false"/>
          <w:i w:val="false"/>
          <w:iCs w:val="false"/>
          <w:caps w:val="false"/>
          <w:sz w:val="24"/>
          <w:szCs w:val="24"/>
        </w:rPr>
        <w:t xml:space="preserve">KELLY, Jack; KNOTTENBELT, William. Neural NILM: deep neural networks applied to energy disaggregation. In: ACM INTERNATIONAL CONFERENCE ON EMBEDDED SYSTEMS FOR ENERGY-EFFICIENT BUILT ENVIRONMENTS, 2., 2015, Seul. Proceedings [...]. Nova York: ACM, 2015a. p. 55-64.</w:t>
      </w:r>
    </w:p>
    <w:p>
      <w:pPr>
        <w:spacing w:after="240" w:line="240"/>
        <w:jc w:val="left"/>
      </w:pPr>
      <w:r>
        <w:rPr>
          <w:rFonts w:ascii="Arial" w:cs="Arial" w:eastAsia="Arial" w:hAnsi="Arial"/>
          <w:b w:val="false"/>
          <w:bCs w:val="false"/>
          <w:i w:val="false"/>
          <w:iCs w:val="false"/>
          <w:caps w:val="false"/>
          <w:sz w:val="24"/>
          <w:szCs w:val="24"/>
        </w:rPr>
        <w:t xml:space="preserve">KELLY, Jack; KNOTTENBELT, William. The UK-DALE dataset, domestic appliance-level electricity demand and whole-house demand from five UK homes. Scientific Data, v. 2, art. 150007, 2015b.</w:t>
      </w:r>
    </w:p>
    <w:p>
      <w:pPr>
        <w:spacing w:after="240" w:line="240"/>
        <w:jc w:val="left"/>
      </w:pPr>
      <w:r>
        <w:rPr>
          <w:rFonts w:ascii="Arial" w:cs="Arial" w:eastAsia="Arial" w:hAnsi="Arial"/>
          <w:b w:val="false"/>
          <w:bCs w:val="false"/>
          <w:i w:val="false"/>
          <w:iCs w:val="false"/>
          <w:caps w:val="false"/>
          <w:sz w:val="24"/>
          <w:szCs w:val="24"/>
        </w:rPr>
        <w:t xml:space="preserve">KONG, Weicong; DONG, Zhao Yang; JIA, Youwei; HILL, David J.; XU, Yan; ZHANG, Yuan. Short-term residential load forecasting based on LSTM recurrent neural network. IEEE Transactions on Smart Grid, v. 10, n. 1, p. 841-851, 2019.</w:t>
      </w:r>
    </w:p>
    <w:p>
      <w:pPr>
        <w:spacing w:after="240" w:line="240"/>
        <w:jc w:val="left"/>
      </w:pPr>
      <w:r>
        <w:rPr>
          <w:rFonts w:ascii="Arial" w:cs="Arial" w:eastAsia="Arial" w:hAnsi="Arial"/>
          <w:b w:val="false"/>
          <w:bCs w:val="false"/>
          <w:i w:val="false"/>
          <w:iCs w:val="false"/>
          <w:caps w:val="false"/>
          <w:sz w:val="24"/>
          <w:szCs w:val="24"/>
        </w:rPr>
        <w:t xml:space="preserve">OASIS. MQTT Version 5.0: OASIS Standard. Burlington: OASIS Open, 2019. Disponível em: https://docs.oasis-open.org/mqtt/mqtt/v5.0/mqtt-v5.0.html. Acesso em: [data de acesso].</w:t>
      </w:r>
    </w:p>
    <w:p>
      <w:pPr>
        <w:spacing w:after="240" w:line="240"/>
        <w:jc w:val="left"/>
      </w:pPr>
      <w:r>
        <w:rPr>
          <w:rFonts w:ascii="Arial" w:cs="Arial" w:eastAsia="Arial" w:hAnsi="Arial"/>
          <w:b w:val="false"/>
          <w:bCs w:val="false"/>
          <w:i w:val="false"/>
          <w:iCs w:val="false"/>
          <w:caps w:val="false"/>
          <w:sz w:val="24"/>
          <w:szCs w:val="24"/>
        </w:rPr>
        <w:t xml:space="preserve">OPENENERGYMONITOR. CT sensors: introduction. Documentação técnica do projeto OpenEnergyMonitor, 2024. Disponível em: https://docs.openenergymonitor.org/electricity-monitoring/ct-sensors/introduction.html. Acesso em: [data de acesso].</w:t>
      </w:r>
    </w:p>
    <w:p>
      <w:pPr>
        <w:spacing w:after="240" w:line="240"/>
        <w:jc w:val="left"/>
      </w:pPr>
      <w:r>
        <w:rPr>
          <w:rFonts w:ascii="Arial" w:cs="Arial" w:eastAsia="Arial" w:hAnsi="Arial"/>
          <w:b w:val="false"/>
          <w:bCs w:val="false"/>
          <w:i w:val="false"/>
          <w:iCs w:val="false"/>
          <w:caps w:val="false"/>
          <w:sz w:val="24"/>
          <w:szCs w:val="24"/>
        </w:rPr>
        <w:t xml:space="preserve">PEDREGOSA, Fabian et al. Scikit-learn: machine learning in Python. Journal of Machine Learning Research, v. 12, p. 2825-2830, 2011.</w:t>
      </w:r>
    </w:p>
    <w:p>
      <w:pPr>
        <w:spacing w:after="240" w:line="240"/>
        <w:jc w:val="left"/>
      </w:pPr>
      <w:r>
        <w:rPr>
          <w:rFonts w:ascii="Arial" w:cs="Arial" w:eastAsia="Arial" w:hAnsi="Arial"/>
          <w:b w:val="false"/>
          <w:bCs w:val="false"/>
          <w:i w:val="false"/>
          <w:iCs w:val="false"/>
          <w:caps w:val="false"/>
          <w:sz w:val="24"/>
          <w:szCs w:val="24"/>
        </w:rPr>
        <w:t xml:space="preserve">PRESSMAN, Roger S.; MAXIM, Bruce R. Engenharia de software: uma abordagem profissional. 9. ed. Porto Alegre: AMGH, 2021.</w:t>
      </w:r>
    </w:p>
    <w:p>
      <w:pPr>
        <w:spacing w:after="240" w:line="240"/>
        <w:jc w:val="left"/>
      </w:pPr>
      <w:r>
        <w:rPr>
          <w:rFonts w:ascii="Arial" w:cs="Arial" w:eastAsia="Arial" w:hAnsi="Arial"/>
          <w:b w:val="false"/>
          <w:bCs w:val="false"/>
          <w:i w:val="false"/>
          <w:iCs w:val="false"/>
          <w:caps w:val="false"/>
          <w:sz w:val="24"/>
          <w:szCs w:val="24"/>
        </w:rPr>
        <w:t xml:space="preserve">RUSSELL, Stuart; NORVIG, Peter. Inteligência artificial: uma abordagem moderna. 4. ed. Rio de Janeiro: GEN LTC, 2022.</w:t>
      </w:r>
    </w:p>
    <w:p>
      <w:pPr>
        <w:spacing w:after="240" w:line="240"/>
        <w:jc w:val="left"/>
      </w:pPr>
      <w:r>
        <w:rPr>
          <w:rFonts w:ascii="Arial" w:cs="Arial" w:eastAsia="Arial" w:hAnsi="Arial"/>
          <w:b w:val="false"/>
          <w:bCs w:val="false"/>
          <w:i w:val="false"/>
          <w:iCs w:val="false"/>
          <w:caps w:val="false"/>
          <w:sz w:val="24"/>
          <w:szCs w:val="24"/>
        </w:rPr>
        <w:t xml:space="preserve">SEREPAS, Fotios; PAPIAS, Ioannis; CHRISTAKIS, Konstantinos; DIMITROPOULOS, Nikos; MARINAKIS, Vangelis. Lightweight embedded IoT gateway for smart homes based on an ESP32 microcontroller. Computers, v. 14, n. 9, art. 391, 2025. DOI: 10.3390/computers14090391.</w:t>
      </w:r>
    </w:p>
    <w:p>
      <w:pPr>
        <w:spacing w:after="240" w:line="240"/>
        <w:jc w:val="left"/>
      </w:pPr>
      <w:r>
        <w:rPr>
          <w:rFonts w:ascii="Arial" w:cs="Arial" w:eastAsia="Arial" w:hAnsi="Arial"/>
          <w:b w:val="false"/>
          <w:bCs w:val="false"/>
          <w:i w:val="false"/>
          <w:iCs w:val="false"/>
          <w:caps w:val="false"/>
          <w:sz w:val="24"/>
          <w:szCs w:val="24"/>
        </w:rPr>
        <w:t xml:space="preserve">SIERRA, Jhonatan et al. Assessing computational resources and performance of non-intrusive load monitoring algorithms on edge computing devices. Energies, v. 18, n. 22, art. 5991, 2025. DOI: 10.3390/en18225991.</w:t>
      </w:r>
    </w:p>
    <w:p>
      <w:pPr>
        <w:spacing w:after="240" w:line="240"/>
        <w:jc w:val="left"/>
      </w:pPr>
      <w:r>
        <w:rPr>
          <w:rFonts w:ascii="Arial" w:cs="Arial" w:eastAsia="Arial" w:hAnsi="Arial"/>
          <w:b w:val="false"/>
          <w:bCs w:val="false"/>
          <w:i w:val="false"/>
          <w:iCs w:val="false"/>
          <w:caps w:val="false"/>
          <w:sz w:val="24"/>
          <w:szCs w:val="24"/>
        </w:rPr>
        <w:t xml:space="preserve">SOMMERVILLE, Ian. Engenharia de software. 10. ed. São Paulo: Pearson, 2019.</w:t>
      </w:r>
    </w:p>
    <w:p>
      <w:pPr>
        <w:spacing w:after="240" w:line="240"/>
        <w:jc w:val="left"/>
      </w:pPr>
      <w:r>
        <w:rPr>
          <w:rFonts w:ascii="Arial" w:cs="Arial" w:eastAsia="Arial" w:hAnsi="Arial"/>
          <w:b w:val="false"/>
          <w:bCs w:val="false"/>
          <w:i w:val="false"/>
          <w:iCs w:val="false"/>
          <w:caps w:val="false"/>
          <w:sz w:val="24"/>
          <w:szCs w:val="24"/>
        </w:rPr>
        <w:t xml:space="preserve">TEXAS INSTRUMENTS. INA219: zero-drift, bidirectional current/power monitor with I2C interface. Datasheet SBOS448G. Dallas: Texas Instruments, 2015.</w:t>
      </w:r>
    </w:p>
    <w:p>
      <w:pPr>
        <w:spacing w:after="240" w:line="240"/>
        <w:jc w:val="left"/>
      </w:pPr>
      <w:r>
        <w:rPr>
          <w:rFonts w:ascii="Arial" w:cs="Arial" w:eastAsia="Arial" w:hAnsi="Arial"/>
          <w:b w:val="false"/>
          <w:bCs w:val="false"/>
          <w:i w:val="false"/>
          <w:iCs w:val="false"/>
          <w:caps w:val="false"/>
          <w:sz w:val="24"/>
          <w:szCs w:val="24"/>
        </w:rPr>
        <w:t xml:space="preserve">XIANG, Hao; SU, Wencong; ZONG, Yi. Non-intrusive load monitoring: a systematic review of methods, scenario-specific challenges, and pathways to practical deployment. Energies, v. 19, n. 8, art. 1883, 2026. DOI: 10.3390/en19081883.</w:t>
      </w:r>
    </w:p>
    <w:p>
      <w:pPr>
        <w:spacing w:after="240" w:line="240"/>
        <w:jc w:val="left"/>
      </w:pPr>
      <w:r>
        <w:rPr>
          <w:rFonts w:ascii="Arial" w:cs="Arial" w:eastAsia="Arial" w:hAnsi="Arial"/>
          <w:b w:val="false"/>
          <w:bCs w:val="false"/>
          <w:i w:val="false"/>
          <w:iCs w:val="false"/>
          <w:caps w:val="false"/>
          <w:sz w:val="24"/>
          <w:szCs w:val="24"/>
        </w:rPr>
        <w:t xml:space="preserve">YHDC. SCT-013 series split core current transformer: datasheet. Pequim: Beijing YaoHuaDeChang Electronic Co., [s.d.]. Disponível em: https://www.poweruc.pl/blogs/news/split-core-current-transformer-sct-013-series. Acesso em: [data de acesso].</w:t>
      </w:r>
    </w:p>
    <w:p>
      <w:pPr>
        <w:spacing w:after="240" w:before="240" w:line="360"/>
        <w:jc w:val="center"/>
      </w:pPr>
      <w:r>
        <w:rPr>
          <w:rFonts w:ascii="Arial" w:cs="Arial" w:eastAsia="Arial" w:hAnsi="Arial"/>
          <w:b/>
          <w:bCs/>
          <w:i w:val="false"/>
          <w:iCs w:val="false"/>
          <w:caps w:val="false"/>
          <w:sz w:val="24"/>
          <w:szCs w:val="24"/>
        </w:rPr>
        <w:t xml:space="preserve">[A PREENCHER: datas de acesso das fontes eletrônicas]</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A – FIRMWARE DO NÓ SENSOR</w:t>
      </w:r>
    </w:p>
    <w:p>
      <w:pPr>
        <w:spacing w:after="0" w:before="0" w:line="360"/>
        <w:ind w:firstLine="708"/>
        <w:jc w:val="both"/>
      </w:pPr>
      <w:r>
        <w:rPr>
          <w:rFonts w:ascii="Arial" w:cs="Arial" w:eastAsia="Arial" w:hAnsi="Arial"/>
          <w:b w:val="false"/>
          <w:bCs w:val="false"/>
          <w:i w:val="false"/>
          <w:iCs w:val="false"/>
          <w:caps w:val="false"/>
          <w:sz w:val="24"/>
          <w:szCs w:val="24"/>
        </w:rPr>
        <w:t xml:space="preserve">Código-fonte de referência do firmware embarcado no ESP32, responsável pela aquisição do sinal do transformador de corrente, pelo cálculo do valor eficaz e pela publicação das medições no broker MQTT. As credenciais foram substituídas por marcadores.</w:t>
      </w:r>
    </w:p>
    <w:p>
      <w:pPr>
        <w:spacing w:after="0" w:line="240"/>
        <w:jc w:val="left"/>
      </w:pPr>
      <w:r>
        <w:rPr>
          <w:rFonts w:ascii="Courier New" w:cs="Courier New" w:eastAsia="Courier New" w:hAnsi="Courier New"/>
          <w:sz w:val="18"/>
          <w:szCs w:val="18"/>
        </w:rPr>
        <w:t xml:space="preserve">#include &lt;WiFi.h&gt;</w:t>
      </w:r>
    </w:p>
    <w:p>
      <w:pPr>
        <w:spacing w:after="0" w:line="240"/>
        <w:jc w:val="left"/>
      </w:pPr>
      <w:r>
        <w:rPr>
          <w:rFonts w:ascii="Courier New" w:cs="Courier New" w:eastAsia="Courier New" w:hAnsi="Courier New"/>
          <w:sz w:val="18"/>
          <w:szCs w:val="18"/>
        </w:rPr>
        <w:t xml:space="preserve">#include &lt;WiFiClientSecure.h&gt;</w:t>
      </w:r>
    </w:p>
    <w:p>
      <w:pPr>
        <w:spacing w:after="0" w:line="240"/>
        <w:jc w:val="left"/>
      </w:pPr>
      <w:r>
        <w:rPr>
          <w:rFonts w:ascii="Courier New" w:cs="Courier New" w:eastAsia="Courier New" w:hAnsi="Courier New"/>
          <w:sz w:val="18"/>
          <w:szCs w:val="18"/>
        </w:rPr>
        <w:t xml:space="preserve">#include &lt;PubSubClient.h&gt;</w:t>
      </w:r>
    </w:p>
    <w:p>
      <w:pPr>
        <w:spacing w:after="0" w:line="240"/>
        <w:jc w:val="left"/>
      </w:pPr>
      <w:r>
        <w:rPr>
          <w:rFonts w:ascii="Courier New" w:cs="Courier New" w:eastAsia="Courier New" w:hAnsi="Courier New"/>
          <w:sz w:val="18"/>
          <w:szCs w:val="18"/>
        </w:rPr>
        <w:t xml:space="preserve">#include &lt;EmonLib.h&gt;          // biblioteca do projeto OpenEnergyMonitor</w:t>
      </w:r>
    </w:p>
    <w:p>
      <w:pPr>
        <w:spacing w:after="0" w:line="240"/>
        <w:jc w:val="left"/>
      </w:pPr>
      <w:r>
        <w:rPr>
          <w:rFonts w:ascii="Courier New" w:cs="Courier New" w:eastAsia="Courier New" w:hAnsi="Courier New"/>
          <w:sz w:val="18"/>
          <w:szCs w:val="18"/>
        </w:rPr>
        <w:t xml:space="preserve">#include &lt;ArduinoJson.h&gt;</w:t>
      </w:r>
    </w:p>
    <w:p>
      <w:pPr>
        <w:spacing w:after="0" w:line="240"/>
        <w:jc w:val="left"/>
      </w:pPr>
      <w:r>
        <w:rPr>
          <w:rFonts w:ascii="Courier New" w:cs="Courier New" w:eastAsia="Courier New" w:hAnsi="Courier New"/>
          <w:sz w:val="18"/>
          <w:szCs w:val="18"/>
        </w:rPr>
        <w:t xml:space="preserve">#include &lt;time.h&gt;</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char* WIFI_SSID   = "&lt;SSID&gt;";</w:t>
      </w:r>
    </w:p>
    <w:p>
      <w:pPr>
        <w:spacing w:after="0" w:line="240"/>
        <w:jc w:val="left"/>
      </w:pPr>
      <w:r>
        <w:rPr>
          <w:rFonts w:ascii="Courier New" w:cs="Courier New" w:eastAsia="Courier New" w:hAnsi="Courier New"/>
          <w:sz w:val="18"/>
          <w:szCs w:val="18"/>
        </w:rPr>
        <w:t xml:space="preserve">const char* WIFI_PASS   = "&lt;SENHA&gt;";</w:t>
      </w:r>
    </w:p>
    <w:p>
      <w:pPr>
        <w:spacing w:after="0" w:line="240"/>
        <w:jc w:val="left"/>
      </w:pPr>
      <w:r>
        <w:rPr>
          <w:rFonts w:ascii="Courier New" w:cs="Courier New" w:eastAsia="Courier New" w:hAnsi="Courier New"/>
          <w:sz w:val="18"/>
          <w:szCs w:val="18"/>
        </w:rPr>
        <w:t xml:space="preserve">const char* MQTT_HOST   = "&lt;host&gt;.hivemq.cloud";</w:t>
      </w:r>
    </w:p>
    <w:p>
      <w:pPr>
        <w:spacing w:after="0" w:line="240"/>
        <w:jc w:val="left"/>
      </w:pPr>
      <w:r>
        <w:rPr>
          <w:rFonts w:ascii="Courier New" w:cs="Courier New" w:eastAsia="Courier New" w:hAnsi="Courier New"/>
          <w:sz w:val="18"/>
          <w:szCs w:val="18"/>
        </w:rPr>
        <w:t xml:space="preserve">const int   MQTT_PORT   = 8883;</w:t>
      </w:r>
    </w:p>
    <w:p>
      <w:pPr>
        <w:spacing w:after="0" w:line="240"/>
        <w:jc w:val="left"/>
      </w:pPr>
      <w:r>
        <w:rPr>
          <w:rFonts w:ascii="Courier New" w:cs="Courier New" w:eastAsia="Courier New" w:hAnsi="Courier New"/>
          <w:sz w:val="18"/>
          <w:szCs w:val="18"/>
        </w:rPr>
        <w:t xml:space="preserve">const char* MQTT_USER   = "&lt;usuario&gt;";</w:t>
      </w:r>
    </w:p>
    <w:p>
      <w:pPr>
        <w:spacing w:after="0" w:line="240"/>
        <w:jc w:val="left"/>
      </w:pPr>
      <w:r>
        <w:rPr>
          <w:rFonts w:ascii="Courier New" w:cs="Courier New" w:eastAsia="Courier New" w:hAnsi="Courier New"/>
          <w:sz w:val="18"/>
          <w:szCs w:val="18"/>
        </w:rPr>
        <w:t xml:space="preserve">const char* MQTT_PASS   = "&lt;senha&gt;";</w:t>
      </w:r>
    </w:p>
    <w:p>
      <w:pPr>
        <w:spacing w:after="0" w:line="240"/>
        <w:jc w:val="left"/>
      </w:pPr>
      <w:r>
        <w:rPr>
          <w:rFonts w:ascii="Courier New" w:cs="Courier New" w:eastAsia="Courier New" w:hAnsi="Courier New"/>
          <w:sz w:val="18"/>
          <w:szCs w:val="18"/>
        </w:rPr>
        <w:t xml:space="preserve">const char* DEVICE_ID   = "no-01";</w:t>
      </w:r>
    </w:p>
    <w:p>
      <w:pPr>
        <w:spacing w:after="0" w:line="240"/>
        <w:jc w:val="left"/>
      </w:pPr>
      <w:r>
        <w:rPr>
          <w:rFonts w:ascii="Courier New" w:cs="Courier New" w:eastAsia="Courier New" w:hAnsi="Courier New"/>
          <w:sz w:val="18"/>
          <w:szCs w:val="18"/>
        </w:rPr>
        <w:t xml:space="preserve">const char* TOPIC       = "residencia/1/dispositivo/no-01/telemetria";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int    PINO_SCT      = 34;      // entrada analogica (somente leitura)</w:t>
      </w:r>
    </w:p>
    <w:p>
      <w:pPr>
        <w:spacing w:after="0" w:line="240"/>
        <w:jc w:val="left"/>
      </w:pPr>
      <w:r>
        <w:rPr>
          <w:rFonts w:ascii="Courier New" w:cs="Courier New" w:eastAsia="Courier New" w:hAnsi="Courier New"/>
          <w:sz w:val="18"/>
          <w:szCs w:val="18"/>
        </w:rPr>
        <w:t xml:space="preserve">const double CALIBRACAO    = 30.0;    // ajustar conforme a secao 9.3</w:t>
      </w:r>
    </w:p>
    <w:p>
      <w:pPr>
        <w:spacing w:after="0" w:line="240"/>
        <w:jc w:val="left"/>
      </w:pPr>
      <w:r>
        <w:rPr>
          <w:rFonts w:ascii="Courier New" w:cs="Courier New" w:eastAsia="Courier New" w:hAnsi="Courier New"/>
          <w:sz w:val="18"/>
          <w:szCs w:val="18"/>
        </w:rPr>
        <w:t xml:space="preserve">const double TENSAO_NOMINAL= 127.0;   // tensao assumida constante</w:t>
      </w:r>
    </w:p>
    <w:p>
      <w:pPr>
        <w:spacing w:after="0" w:line="240"/>
        <w:jc w:val="left"/>
      </w:pPr>
      <w:r>
        <w:rPr>
          <w:rFonts w:ascii="Courier New" w:cs="Courier New" w:eastAsia="Courier New" w:hAnsi="Courier New"/>
          <w:sz w:val="18"/>
          <w:szCs w:val="18"/>
        </w:rPr>
        <w:t xml:space="preserve">const int    ESPIRAS       = 3;       // voltas do condutor na janela do sensor</w:t>
      </w:r>
    </w:p>
    <w:p>
      <w:pPr>
        <w:spacing w:after="0" w:line="240"/>
        <w:jc w:val="left"/>
      </w:pPr>
      <w:r>
        <w:rPr>
          <w:rFonts w:ascii="Courier New" w:cs="Courier New" w:eastAsia="Courier New" w:hAnsi="Courier New"/>
          <w:sz w:val="18"/>
          <w:szCs w:val="18"/>
        </w:rPr>
        <w:t xml:space="preserve">const unsigned long INTERVALO_MS = 5000;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EnergyMonitor emon;</w:t>
      </w:r>
    </w:p>
    <w:p>
      <w:pPr>
        <w:spacing w:after="0" w:line="240"/>
        <w:jc w:val="left"/>
      </w:pPr>
      <w:r>
        <w:rPr>
          <w:rFonts w:ascii="Courier New" w:cs="Courier New" w:eastAsia="Courier New" w:hAnsi="Courier New"/>
          <w:sz w:val="18"/>
          <w:szCs w:val="18"/>
        </w:rPr>
        <w:t xml:space="preserve">WiFiClientSecure net;</w:t>
      </w:r>
    </w:p>
    <w:p>
      <w:pPr>
        <w:spacing w:after="0" w:line="240"/>
        <w:jc w:val="left"/>
      </w:pPr>
      <w:r>
        <w:rPr>
          <w:rFonts w:ascii="Courier New" w:cs="Courier New" w:eastAsia="Courier New" w:hAnsi="Courier New"/>
          <w:sz w:val="18"/>
          <w:szCs w:val="18"/>
        </w:rPr>
        <w:t xml:space="preserve">PubSubClient mqtt(net);</w:t>
      </w:r>
    </w:p>
    <w:p>
      <w:pPr>
        <w:spacing w:after="0" w:line="240"/>
        <w:jc w:val="left"/>
      </w:pPr>
      <w:r>
        <w:rPr>
          <w:rFonts w:ascii="Courier New" w:cs="Courier New" w:eastAsia="Courier New" w:hAnsi="Courier New"/>
          <w:sz w:val="18"/>
          <w:szCs w:val="18"/>
        </w:rPr>
        <w:t xml:space="preserve">unsigned long ultimaLeitura = 0;</w:t>
      </w:r>
    </w:p>
    <w:p>
      <w:pPr>
        <w:spacing w:after="0" w:line="240"/>
        <w:jc w:val="left"/>
      </w:pPr>
      <w:r>
        <w:rPr>
          <w:rFonts w:ascii="Courier New" w:cs="Courier New" w:eastAsia="Courier New" w:hAnsi="Courier New"/>
          <w:sz w:val="18"/>
          <w:szCs w:val="18"/>
        </w:rPr>
        <w:t xml:space="preserve">double energiaAcumuladaWh = 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conectarWiFi() {</w:t>
      </w:r>
    </w:p>
    <w:p>
      <w:pPr>
        <w:spacing w:after="0" w:line="240"/>
        <w:jc w:val="left"/>
      </w:pPr>
      <w:r>
        <w:rPr>
          <w:rFonts w:ascii="Courier New" w:cs="Courier New" w:eastAsia="Courier New" w:hAnsi="Courier New"/>
          <w:sz w:val="18"/>
          <w:szCs w:val="18"/>
        </w:rPr>
        <w:t xml:space="preserve">  WiFi.begin(WIFI_SSID, WIFI_PASS);</w:t>
      </w:r>
    </w:p>
    <w:p>
      <w:pPr>
        <w:spacing w:after="0" w:line="240"/>
        <w:jc w:val="left"/>
      </w:pPr>
      <w:r>
        <w:rPr>
          <w:rFonts w:ascii="Courier New" w:cs="Courier New" w:eastAsia="Courier New" w:hAnsi="Courier New"/>
          <w:sz w:val="18"/>
          <w:szCs w:val="18"/>
        </w:rPr>
        <w:t xml:space="preserve">  while (WiFi.status() != WL_CONNECTED) { delay(500); }</w:t>
      </w:r>
    </w:p>
    <w:p>
      <w:pPr>
        <w:spacing w:after="0" w:line="240"/>
        <w:jc w:val="left"/>
      </w:pPr>
      <w:r>
        <w:rPr>
          <w:rFonts w:ascii="Courier New" w:cs="Courier New" w:eastAsia="Courier New" w:hAnsi="Courier New"/>
          <w:sz w:val="18"/>
          <w:szCs w:val="18"/>
        </w:rPr>
        <w:t xml:space="preserve">  configTime(0, 0, "pool.ntp.org", "time.nist.gov");</w:t>
      </w:r>
    </w:p>
    <w:p>
      <w:pPr>
        <w:spacing w:after="0" w:line="240"/>
        <w:jc w:val="left"/>
      </w:pPr>
      <w:r>
        <w:rPr>
          <w:rFonts w:ascii="Courier New" w:cs="Courier New" w:eastAsia="Courier New" w:hAnsi="Courier New"/>
          <w:sz w:val="18"/>
          <w:szCs w:val="18"/>
        </w:rPr>
        <w:t xml:space="preserve">  struct tm t;</w:t>
      </w:r>
    </w:p>
    <w:p>
      <w:pPr>
        <w:spacing w:after="0" w:line="240"/>
        <w:jc w:val="left"/>
      </w:pPr>
      <w:r>
        <w:rPr>
          <w:rFonts w:ascii="Courier New" w:cs="Courier New" w:eastAsia="Courier New" w:hAnsi="Courier New"/>
          <w:sz w:val="18"/>
          <w:szCs w:val="18"/>
        </w:rPr>
        <w:t xml:space="preserve">  while (!getLocalTime(&amp;t)) { delay(500); }   // aguarda sincronismo</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conectarMQTT() {</w:t>
      </w:r>
    </w:p>
    <w:p>
      <w:pPr>
        <w:spacing w:after="0" w:line="240"/>
        <w:jc w:val="left"/>
      </w:pPr>
      <w:r>
        <w:rPr>
          <w:rFonts w:ascii="Courier New" w:cs="Courier New" w:eastAsia="Courier New" w:hAnsi="Courier New"/>
          <w:sz w:val="18"/>
          <w:szCs w:val="18"/>
        </w:rPr>
        <w:t xml:space="preserve">  net.setInsecure();   // em producao: carregar o certificado da CA</w:t>
      </w:r>
    </w:p>
    <w:p>
      <w:pPr>
        <w:spacing w:after="0" w:line="240"/>
        <w:jc w:val="left"/>
      </w:pPr>
      <w:r>
        <w:rPr>
          <w:rFonts w:ascii="Courier New" w:cs="Courier New" w:eastAsia="Courier New" w:hAnsi="Courier New"/>
          <w:sz w:val="18"/>
          <w:szCs w:val="18"/>
        </w:rPr>
        <w:t xml:space="preserve">  mqtt.setServer(MQTT_HOST, MQTT_PORT);</w:t>
      </w:r>
    </w:p>
    <w:p>
      <w:pPr>
        <w:spacing w:after="0" w:line="240"/>
        <w:jc w:val="left"/>
      </w:pPr>
      <w:r>
        <w:rPr>
          <w:rFonts w:ascii="Courier New" w:cs="Courier New" w:eastAsia="Courier New" w:hAnsi="Courier New"/>
          <w:sz w:val="18"/>
          <w:szCs w:val="18"/>
        </w:rPr>
        <w:t xml:space="preserve">  while (!mqtt.connected()) {</w:t>
      </w:r>
    </w:p>
    <w:p>
      <w:pPr>
        <w:spacing w:after="0" w:line="240"/>
        <w:jc w:val="left"/>
      </w:pPr>
      <w:r>
        <w:rPr>
          <w:rFonts w:ascii="Courier New" w:cs="Courier New" w:eastAsia="Courier New" w:hAnsi="Courier New"/>
          <w:sz w:val="18"/>
          <w:szCs w:val="18"/>
        </w:rPr>
        <w:t xml:space="preserve">    if (!mqtt.connect(DEVICE_ID, MQTT_USER, MQTT_PASS)) { delay(2000); }</w:t>
      </w:r>
    </w:p>
    <w:p>
      <w:pPr>
        <w:spacing w:after="0" w:line="240"/>
        <w:jc w:val="left"/>
      </w:pPr>
      <w:r>
        <w:rPr>
          <w:rFonts w:ascii="Courier New" w:cs="Courier New" w:eastAsia="Courier New" w:hAnsi="Courier New"/>
          <w:sz w:val="18"/>
          <w:szCs w:val="18"/>
        </w:rPr>
        <w:t xml:space="preserve">  }</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String horarioISO() {</w:t>
      </w:r>
    </w:p>
    <w:p>
      <w:pPr>
        <w:spacing w:after="0" w:line="240"/>
        <w:jc w:val="left"/>
      </w:pPr>
      <w:r>
        <w:rPr>
          <w:rFonts w:ascii="Courier New" w:cs="Courier New" w:eastAsia="Courier New" w:hAnsi="Courier New"/>
          <w:sz w:val="18"/>
          <w:szCs w:val="18"/>
        </w:rPr>
        <w:t xml:space="preserve">  time_t agora = time(nullptr);</w:t>
      </w:r>
    </w:p>
    <w:p>
      <w:pPr>
        <w:spacing w:after="0" w:line="240"/>
        <w:jc w:val="left"/>
      </w:pPr>
      <w:r>
        <w:rPr>
          <w:rFonts w:ascii="Courier New" w:cs="Courier New" w:eastAsia="Courier New" w:hAnsi="Courier New"/>
          <w:sz w:val="18"/>
          <w:szCs w:val="18"/>
        </w:rPr>
        <w:t xml:space="preserve">  struct tm tmUTC;</w:t>
      </w:r>
    </w:p>
    <w:p>
      <w:pPr>
        <w:spacing w:after="0" w:line="240"/>
        <w:jc w:val="left"/>
      </w:pPr>
      <w:r>
        <w:rPr>
          <w:rFonts w:ascii="Courier New" w:cs="Courier New" w:eastAsia="Courier New" w:hAnsi="Courier New"/>
          <w:sz w:val="18"/>
          <w:szCs w:val="18"/>
        </w:rPr>
        <w:t xml:space="preserve">  gmtime_r(&amp;agora, &amp;tmUTC);</w:t>
      </w:r>
    </w:p>
    <w:p>
      <w:pPr>
        <w:spacing w:after="0" w:line="240"/>
        <w:jc w:val="left"/>
      </w:pPr>
      <w:r>
        <w:rPr>
          <w:rFonts w:ascii="Courier New" w:cs="Courier New" w:eastAsia="Courier New" w:hAnsi="Courier New"/>
          <w:sz w:val="18"/>
          <w:szCs w:val="18"/>
        </w:rPr>
        <w:t xml:space="preserve">  char buf[25];</w:t>
      </w:r>
    </w:p>
    <w:p>
      <w:pPr>
        <w:spacing w:after="0" w:line="240"/>
        <w:jc w:val="left"/>
      </w:pPr>
      <w:r>
        <w:rPr>
          <w:rFonts w:ascii="Courier New" w:cs="Courier New" w:eastAsia="Courier New" w:hAnsi="Courier New"/>
          <w:sz w:val="18"/>
          <w:szCs w:val="18"/>
        </w:rPr>
        <w:t xml:space="preserve">  strftime(buf, sizeof(buf), "%Y-%m-%dT%H:%M:%SZ", &amp;tmUTC);</w:t>
      </w:r>
    </w:p>
    <w:p>
      <w:pPr>
        <w:spacing w:after="0" w:line="240"/>
        <w:jc w:val="left"/>
      </w:pPr>
      <w:r>
        <w:rPr>
          <w:rFonts w:ascii="Courier New" w:cs="Courier New" w:eastAsia="Courier New" w:hAnsi="Courier New"/>
          <w:sz w:val="18"/>
          <w:szCs w:val="18"/>
        </w:rPr>
        <w:t xml:space="preserve">  return String(buf);</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setup() {</w:t>
      </w:r>
    </w:p>
    <w:p>
      <w:pPr>
        <w:spacing w:after="0" w:line="240"/>
        <w:jc w:val="left"/>
      </w:pPr>
      <w:r>
        <w:rPr>
          <w:rFonts w:ascii="Courier New" w:cs="Courier New" w:eastAsia="Courier New" w:hAnsi="Courier New"/>
          <w:sz w:val="18"/>
          <w:szCs w:val="18"/>
        </w:rPr>
        <w:t xml:space="preserve">  Serial.begin(115200);</w:t>
      </w:r>
    </w:p>
    <w:p>
      <w:pPr>
        <w:spacing w:after="0" w:line="240"/>
        <w:jc w:val="left"/>
      </w:pPr>
      <w:r>
        <w:rPr>
          <w:rFonts w:ascii="Courier New" w:cs="Courier New" w:eastAsia="Courier New" w:hAnsi="Courier New"/>
          <w:sz w:val="18"/>
          <w:szCs w:val="18"/>
        </w:rPr>
        <w:t xml:space="preserve">  analogReadResolution(12);</w:t>
      </w:r>
    </w:p>
    <w:p>
      <w:pPr>
        <w:spacing w:after="0" w:line="240"/>
        <w:jc w:val="left"/>
      </w:pPr>
      <w:r>
        <w:rPr>
          <w:rFonts w:ascii="Courier New" w:cs="Courier New" w:eastAsia="Courier New" w:hAnsi="Courier New"/>
          <w:sz w:val="18"/>
          <w:szCs w:val="18"/>
        </w:rPr>
        <w:t xml:space="preserve">  emon.current(PINO_SCT, CALIBRACAO);   // associa o pino e o fator</w:t>
      </w:r>
    </w:p>
    <w:p>
      <w:pPr>
        <w:spacing w:after="0" w:line="240"/>
        <w:jc w:val="left"/>
      </w:pPr>
      <w:r>
        <w:rPr>
          <w:rFonts w:ascii="Courier New" w:cs="Courier New" w:eastAsia="Courier New" w:hAnsi="Courier New"/>
          <w:sz w:val="18"/>
          <w:szCs w:val="18"/>
        </w:rPr>
        <w:t xml:space="preserve">  conectarWiFi();</w:t>
      </w:r>
    </w:p>
    <w:p>
      <w:pPr>
        <w:spacing w:after="0" w:line="240"/>
        <w:jc w:val="left"/>
      </w:pPr>
      <w:r>
        <w:rPr>
          <w:rFonts w:ascii="Courier New" w:cs="Courier New" w:eastAsia="Courier New" w:hAnsi="Courier New"/>
          <w:sz w:val="18"/>
          <w:szCs w:val="18"/>
        </w:rPr>
        <w:t xml:space="preserve">  conectarMQTT();</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loop() {</w:t>
      </w:r>
    </w:p>
    <w:p>
      <w:pPr>
        <w:spacing w:after="0" w:line="240"/>
        <w:jc w:val="left"/>
      </w:pPr>
      <w:r>
        <w:rPr>
          <w:rFonts w:ascii="Courier New" w:cs="Courier New" w:eastAsia="Courier New" w:hAnsi="Courier New"/>
          <w:sz w:val="18"/>
          <w:szCs w:val="18"/>
        </w:rPr>
        <w:t xml:space="preserve">  if (WiFi.status() != WL_CONNECTED) conectarWiFi();</w:t>
      </w:r>
    </w:p>
    <w:p>
      <w:pPr>
        <w:spacing w:after="0" w:line="240"/>
        <w:jc w:val="left"/>
      </w:pPr>
      <w:r>
        <w:rPr>
          <w:rFonts w:ascii="Courier New" w:cs="Courier New" w:eastAsia="Courier New" w:hAnsi="Courier New"/>
          <w:sz w:val="18"/>
          <w:szCs w:val="18"/>
        </w:rPr>
        <w:t xml:space="preserve">  if (!mqtt.connected())            conectarMQTT();</w:t>
      </w:r>
    </w:p>
    <w:p>
      <w:pPr>
        <w:spacing w:after="0" w:line="240"/>
        <w:jc w:val="left"/>
      </w:pPr>
      <w:r>
        <w:rPr>
          <w:rFonts w:ascii="Courier New" w:cs="Courier New" w:eastAsia="Courier New" w:hAnsi="Courier New"/>
          <w:sz w:val="18"/>
          <w:szCs w:val="18"/>
        </w:rPr>
        <w:t xml:space="preserve">  mqtt.loop();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unsigned long agora = millis();</w:t>
      </w:r>
    </w:p>
    <w:p>
      <w:pPr>
        <w:spacing w:after="0" w:line="240"/>
        <w:jc w:val="left"/>
      </w:pPr>
      <w:r>
        <w:rPr>
          <w:rFonts w:ascii="Courier New" w:cs="Courier New" w:eastAsia="Courier New" w:hAnsi="Courier New"/>
          <w:sz w:val="18"/>
          <w:szCs w:val="18"/>
        </w:rPr>
        <w:t xml:space="preserve">  if (agora - ultimaLeitura &lt; INTERVALO_MS) return;</w:t>
      </w:r>
    </w:p>
    <w:p>
      <w:pPr>
        <w:spacing w:after="0" w:line="240"/>
        <w:jc w:val="left"/>
      </w:pPr>
      <w:r>
        <w:rPr>
          <w:rFonts w:ascii="Courier New" w:cs="Courier New" w:eastAsia="Courier New" w:hAnsi="Courier New"/>
          <w:sz w:val="18"/>
          <w:szCs w:val="18"/>
        </w:rPr>
        <w:t xml:space="preserve">  double dt_h = (agora - ultimaLeitura) / 3600000.0;</w:t>
      </w:r>
    </w:p>
    <w:p>
      <w:pPr>
        <w:spacing w:after="0" w:line="240"/>
        <w:jc w:val="left"/>
      </w:pPr>
      <w:r>
        <w:rPr>
          <w:rFonts w:ascii="Courier New" w:cs="Courier New" w:eastAsia="Courier New" w:hAnsi="Courier New"/>
          <w:sz w:val="18"/>
          <w:szCs w:val="18"/>
        </w:rPr>
        <w:t xml:space="preserve">  ultimaLeitura = agora;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calcApparentPower amostra varios ciclos e devolve a corrente eficaz</w:t>
      </w:r>
    </w:p>
    <w:p>
      <w:pPr>
        <w:spacing w:after="0" w:line="240"/>
        <w:jc w:val="left"/>
      </w:pPr>
      <w:r>
        <w:rPr>
          <w:rFonts w:ascii="Courier New" w:cs="Courier New" w:eastAsia="Courier New" w:hAnsi="Courier New"/>
          <w:sz w:val="18"/>
          <w:szCs w:val="18"/>
        </w:rPr>
        <w:t xml:space="preserve">  double correnteRms = emon.calcIrms(1480) / ESPIRAS;</w:t>
      </w:r>
    </w:p>
    <w:p>
      <w:pPr>
        <w:spacing w:after="0" w:line="240"/>
        <w:jc w:val="left"/>
      </w:pPr>
      <w:r>
        <w:rPr>
          <w:rFonts w:ascii="Courier New" w:cs="Courier New" w:eastAsia="Courier New" w:hAnsi="Courier New"/>
          <w:sz w:val="18"/>
          <w:szCs w:val="18"/>
        </w:rPr>
        <w:t xml:space="preserve">  if (correnteRms &lt; 0.05) correnteRms = 0.0;   // limiar de ruido de fundo</w:t>
      </w:r>
    </w:p>
    <w:p>
      <w:pPr>
        <w:spacing w:after="0" w:line="240"/>
        <w:jc w:val="left"/>
      </w:pPr>
      <w:r>
        <w:rPr>
          <w:rFonts w:ascii="Courier New" w:cs="Courier New" w:eastAsia="Courier New" w:hAnsi="Courier New"/>
          <w:sz w:val="18"/>
          <w:szCs w:val="18"/>
        </w:rPr>
        <w:t xml:space="preserve">  double potencia = correnteRms * TENSAO_NOMINAL;   // potencia aparente (VA)</w:t>
      </w:r>
    </w:p>
    <w:p>
      <w:pPr>
        <w:spacing w:after="0" w:line="240"/>
        <w:jc w:val="left"/>
      </w:pPr>
      <w:r>
        <w:rPr>
          <w:rFonts w:ascii="Courier New" w:cs="Courier New" w:eastAsia="Courier New" w:hAnsi="Courier New"/>
          <w:sz w:val="18"/>
          <w:szCs w:val="18"/>
        </w:rPr>
        <w:t xml:space="preserve">  energiaAcumuladaWh += potencia * dt_h;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StaticJsonDocument&lt;256&gt; doc;</w:t>
      </w:r>
    </w:p>
    <w:p>
      <w:pPr>
        <w:spacing w:after="0" w:line="240"/>
        <w:jc w:val="left"/>
      </w:pPr>
      <w:r>
        <w:rPr>
          <w:rFonts w:ascii="Courier New" w:cs="Courier New" w:eastAsia="Courier New" w:hAnsi="Courier New"/>
          <w:sz w:val="18"/>
          <w:szCs w:val="18"/>
        </w:rPr>
        <w:t xml:space="preserve">  doc["device_id"]  = DEVICE_ID;</w:t>
      </w:r>
    </w:p>
    <w:p>
      <w:pPr>
        <w:spacing w:after="0" w:line="240"/>
        <w:jc w:val="left"/>
      </w:pPr>
      <w:r>
        <w:rPr>
          <w:rFonts w:ascii="Courier New" w:cs="Courier New" w:eastAsia="Courier New" w:hAnsi="Courier New"/>
          <w:sz w:val="18"/>
          <w:szCs w:val="18"/>
        </w:rPr>
        <w:t xml:space="preserve">  doc["medido_em"]  = horarioISO();</w:t>
      </w:r>
    </w:p>
    <w:p>
      <w:pPr>
        <w:spacing w:after="0" w:line="240"/>
        <w:jc w:val="left"/>
      </w:pPr>
      <w:r>
        <w:rPr>
          <w:rFonts w:ascii="Courier New" w:cs="Courier New" w:eastAsia="Courier New" w:hAnsi="Courier New"/>
          <w:sz w:val="18"/>
          <w:szCs w:val="18"/>
        </w:rPr>
        <w:t xml:space="preserve">  doc["tensao_v"]   = TENSAO_NOMINAL;   // valor nominal assumido</w:t>
      </w:r>
    </w:p>
    <w:p>
      <w:pPr>
        <w:spacing w:after="0" w:line="240"/>
        <w:jc w:val="left"/>
      </w:pPr>
      <w:r>
        <w:rPr>
          <w:rFonts w:ascii="Courier New" w:cs="Courier New" w:eastAsia="Courier New" w:hAnsi="Courier New"/>
          <w:sz w:val="18"/>
          <w:szCs w:val="18"/>
        </w:rPr>
        <w:t xml:space="preserve">  doc["corrente_a"] = correnteRms;</w:t>
      </w:r>
    </w:p>
    <w:p>
      <w:pPr>
        <w:spacing w:after="0" w:line="240"/>
        <w:jc w:val="left"/>
      </w:pPr>
      <w:r>
        <w:rPr>
          <w:rFonts w:ascii="Courier New" w:cs="Courier New" w:eastAsia="Courier New" w:hAnsi="Courier New"/>
          <w:sz w:val="18"/>
          <w:szCs w:val="18"/>
        </w:rPr>
        <w:t xml:space="preserve">  doc["potencia_w"] = potencia;</w:t>
      </w:r>
    </w:p>
    <w:p>
      <w:pPr>
        <w:spacing w:after="0" w:line="240"/>
        <w:jc w:val="left"/>
      </w:pPr>
      <w:r>
        <w:rPr>
          <w:rFonts w:ascii="Courier New" w:cs="Courier New" w:eastAsia="Courier New" w:hAnsi="Courier New"/>
          <w:sz w:val="18"/>
          <w:szCs w:val="18"/>
        </w:rPr>
        <w:t xml:space="preserve">  doc["energia_wh"] = energiaAcumuladaWh;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char payload[256];</w:t>
      </w:r>
    </w:p>
    <w:p>
      <w:pPr>
        <w:spacing w:after="0" w:line="240"/>
        <w:jc w:val="left"/>
      </w:pPr>
      <w:r>
        <w:rPr>
          <w:rFonts w:ascii="Courier New" w:cs="Courier New" w:eastAsia="Courier New" w:hAnsi="Courier New"/>
          <w:sz w:val="18"/>
          <w:szCs w:val="18"/>
        </w:rPr>
        <w:t xml:space="preserve">  size_t n = serializeJson(doc, payload);</w:t>
      </w:r>
    </w:p>
    <w:p>
      <w:pPr>
        <w:spacing w:after="0" w:line="240"/>
        <w:jc w:val="left"/>
      </w:pPr>
      <w:r>
        <w:rPr>
          <w:rFonts w:ascii="Courier New" w:cs="Courier New" w:eastAsia="Courier New" w:hAnsi="Courier New"/>
          <w:sz w:val="18"/>
          <w:szCs w:val="18"/>
        </w:rPr>
        <w:t xml:space="preserve">  mqtt.publish(TOPIC, payload, n);</w:t>
      </w:r>
    </w:p>
    <w:p>
      <w:pPr>
        <w:spacing w:after="0" w:line="240"/>
        <w:jc w:val="left"/>
      </w:pPr>
      <w:r>
        <w:rPr>
          <w:rFonts w:ascii="Courier New" w:cs="Courier New" w:eastAsia="Courier New" w:hAnsi="Courier New"/>
          <w:sz w:val="18"/>
          <w:szCs w:val="18"/>
        </w:rPr>
        <w:t xml:space="preserve">}</w:t>
      </w:r>
    </w:p>
    <w:p>
      <w:pPr>
        <w:spacing w:after="240" w:before="240" w:line="360"/>
        <w:jc w:val="center"/>
      </w:pPr>
      <w:r>
        <w:rPr>
          <w:rFonts w:ascii="Arial" w:cs="Arial" w:eastAsia="Arial" w:hAnsi="Arial"/>
          <w:b/>
          <w:bCs/>
          <w:i w:val="false"/>
          <w:iCs w:val="false"/>
          <w:caps w:val="false"/>
          <w:sz w:val="24"/>
          <w:szCs w:val="24"/>
        </w:rPr>
        <w:t xml:space="preserve">[A PREENCHER: validar o firmware no hardware e implementar o buffer local]</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B – SCRIPT DE TREINAMENTO E AVALIAÇÃO DOS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Script em Python responsável pela construção dos atributos, pelo treinamento dos modelos e pelo cálculo das métricas de avaliação sob validação temporal.</w:t>
      </w:r>
    </w:p>
    <w:p>
      <w:pPr>
        <w:spacing w:after="0" w:line="240"/>
        <w:jc w:val="left"/>
      </w:pPr>
      <w:r>
        <w:rPr>
          <w:rFonts w:ascii="Courier New" w:cs="Courier New" w:eastAsia="Courier New" w:hAnsi="Courier New"/>
          <w:sz w:val="18"/>
          <w:szCs w:val="18"/>
        </w:rPr>
        <w:t xml:space="preserve">import numpy as np</w:t>
      </w:r>
    </w:p>
    <w:p>
      <w:pPr>
        <w:spacing w:after="0" w:line="240"/>
        <w:jc w:val="left"/>
      </w:pPr>
      <w:r>
        <w:rPr>
          <w:rFonts w:ascii="Courier New" w:cs="Courier New" w:eastAsia="Courier New" w:hAnsi="Courier New"/>
          <w:sz w:val="18"/>
          <w:szCs w:val="18"/>
        </w:rPr>
        <w:t xml:space="preserve">import pandas as pd</w:t>
      </w:r>
    </w:p>
    <w:p>
      <w:pPr>
        <w:spacing w:after="0" w:line="240"/>
        <w:jc w:val="left"/>
      </w:pPr>
      <w:r>
        <w:rPr>
          <w:rFonts w:ascii="Courier New" w:cs="Courier New" w:eastAsia="Courier New" w:hAnsi="Courier New"/>
          <w:sz w:val="18"/>
          <w:szCs w:val="18"/>
        </w:rPr>
        <w:t xml:space="preserve">from sklearn.linear_model import Ridge</w:t>
      </w:r>
    </w:p>
    <w:p>
      <w:pPr>
        <w:spacing w:after="0" w:line="240"/>
        <w:jc w:val="left"/>
      </w:pPr>
      <w:r>
        <w:rPr>
          <w:rFonts w:ascii="Courier New" w:cs="Courier New" w:eastAsia="Courier New" w:hAnsi="Courier New"/>
          <w:sz w:val="18"/>
          <w:szCs w:val="18"/>
        </w:rPr>
        <w:t xml:space="preserve">from sklearn.ensemble import RandomForestRegressor</w:t>
      </w:r>
    </w:p>
    <w:p>
      <w:pPr>
        <w:spacing w:after="0" w:line="240"/>
        <w:jc w:val="left"/>
      </w:pPr>
      <w:r>
        <w:rPr>
          <w:rFonts w:ascii="Courier New" w:cs="Courier New" w:eastAsia="Courier New" w:hAnsi="Courier New"/>
          <w:sz w:val="18"/>
          <w:szCs w:val="18"/>
        </w:rPr>
        <w:t xml:space="preserve">from sklearn.preprocessing import StandardScaler</w:t>
      </w:r>
    </w:p>
    <w:p>
      <w:pPr>
        <w:spacing w:after="0" w:line="240"/>
        <w:jc w:val="left"/>
      </w:pPr>
      <w:r>
        <w:rPr>
          <w:rFonts w:ascii="Courier New" w:cs="Courier New" w:eastAsia="Courier New" w:hAnsi="Courier New"/>
          <w:sz w:val="18"/>
          <w:szCs w:val="18"/>
        </w:rPr>
        <w:t xml:space="preserve">from sklearn.metrics import mean_absolute_error, mean_squared_error</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carregar_serie(caminho_csv):</w:t>
      </w:r>
    </w:p>
    <w:p>
      <w:pPr>
        <w:spacing w:after="0" w:line="240"/>
        <w:jc w:val="left"/>
      </w:pPr>
      <w:r>
        <w:rPr>
          <w:rFonts w:ascii="Courier New" w:cs="Courier New" w:eastAsia="Courier New" w:hAnsi="Courier New"/>
          <w:sz w:val="18"/>
          <w:szCs w:val="18"/>
        </w:rPr>
        <w:t xml:space="preserve">    """Le a base UCI e devolve a serie de energia horaria em Wh."""</w:t>
      </w:r>
    </w:p>
    <w:p>
      <w:pPr>
        <w:spacing w:after="0" w:line="240"/>
        <w:jc w:val="left"/>
      </w:pPr>
      <w:r>
        <w:rPr>
          <w:rFonts w:ascii="Courier New" w:cs="Courier New" w:eastAsia="Courier New" w:hAnsi="Courier New"/>
          <w:sz w:val="18"/>
          <w:szCs w:val="18"/>
        </w:rPr>
        <w:t xml:space="preserve">    df = pd.read_csv(caminho_csv, sep=';', low_memory=False,</w:t>
      </w:r>
    </w:p>
    <w:p>
      <w:pPr>
        <w:spacing w:after="0" w:line="240"/>
        <w:jc w:val="left"/>
      </w:pPr>
      <w:r>
        <w:rPr>
          <w:rFonts w:ascii="Courier New" w:cs="Courier New" w:eastAsia="Courier New" w:hAnsi="Courier New"/>
          <w:sz w:val="18"/>
          <w:szCs w:val="18"/>
        </w:rPr>
        <w:t xml:space="preserve">                     na_values=['?'], parse_dates={'ts': ['Date', 'Time']},</w:t>
      </w:r>
    </w:p>
    <w:p>
      <w:pPr>
        <w:spacing w:after="0" w:line="240"/>
        <w:jc w:val="left"/>
      </w:pPr>
      <w:r>
        <w:rPr>
          <w:rFonts w:ascii="Courier New" w:cs="Courier New" w:eastAsia="Courier New" w:hAnsi="Courier New"/>
          <w:sz w:val="18"/>
          <w:szCs w:val="18"/>
        </w:rPr>
        <w:t xml:space="preserve">                     dayfirst=True)</w:t>
      </w:r>
    </w:p>
    <w:p>
      <w:pPr>
        <w:spacing w:after="0" w:line="240"/>
        <w:jc w:val="left"/>
      </w:pPr>
      <w:r>
        <w:rPr>
          <w:rFonts w:ascii="Courier New" w:cs="Courier New" w:eastAsia="Courier New" w:hAnsi="Courier New"/>
          <w:sz w:val="18"/>
          <w:szCs w:val="18"/>
        </w:rPr>
        <w:t xml:space="preserve">    df = df.set_index('ts').sort_index()</w:t>
      </w:r>
    </w:p>
    <w:p>
      <w:pPr>
        <w:spacing w:after="0" w:line="240"/>
        <w:jc w:val="left"/>
      </w:pPr>
      <w:r>
        <w:rPr>
          <w:rFonts w:ascii="Courier New" w:cs="Courier New" w:eastAsia="Courier New" w:hAnsi="Courier New"/>
          <w:sz w:val="18"/>
          <w:szCs w:val="18"/>
        </w:rPr>
        <w:t xml:space="preserve">    pot = pd.to_numeric(df['Global_active_power'], errors='coerce')  # kW</w:t>
      </w:r>
    </w:p>
    <w:p>
      <w:pPr>
        <w:spacing w:after="0" w:line="240"/>
        <w:jc w:val="left"/>
      </w:pPr>
      <w:r>
        <w:rPr>
          <w:rFonts w:ascii="Courier New" w:cs="Courier New" w:eastAsia="Courier New" w:hAnsi="Courier New"/>
          <w:sz w:val="18"/>
          <w:szCs w:val="18"/>
        </w:rPr>
        <w:t xml:space="preserve">    pot = pot.interpolate(limit=60)          # lacunas de ate 60 min</w:t>
      </w:r>
    </w:p>
    <w:p>
      <w:pPr>
        <w:spacing w:after="0" w:line="240"/>
        <w:jc w:val="left"/>
      </w:pPr>
      <w:r>
        <w:rPr>
          <w:rFonts w:ascii="Courier New" w:cs="Courier New" w:eastAsia="Courier New" w:hAnsi="Courier New"/>
          <w:sz w:val="18"/>
          <w:szCs w:val="18"/>
        </w:rPr>
        <w:t xml:space="preserve">    energia_min_wh = pot * 1000.0 / 60.0     # kW -&gt; Wh por minuto</w:t>
      </w:r>
    </w:p>
    <w:p>
      <w:pPr>
        <w:spacing w:after="0" w:line="240"/>
        <w:jc w:val="left"/>
      </w:pPr>
      <w:r>
        <w:rPr>
          <w:rFonts w:ascii="Courier New" w:cs="Courier New" w:eastAsia="Courier New" w:hAnsi="Courier New"/>
          <w:sz w:val="18"/>
          <w:szCs w:val="18"/>
        </w:rPr>
        <w:t xml:space="preserve">    return energia_min_wh.resample('1h').sum().dropna()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construir_atributos(s):</w:t>
      </w:r>
    </w:p>
    <w:p>
      <w:pPr>
        <w:spacing w:after="0" w:line="240"/>
        <w:jc w:val="left"/>
      </w:pPr>
      <w:r>
        <w:rPr>
          <w:rFonts w:ascii="Courier New" w:cs="Courier New" w:eastAsia="Courier New" w:hAnsi="Courier New"/>
          <w:sz w:val="18"/>
          <w:szCs w:val="18"/>
        </w:rPr>
        <w:t xml:space="preserve">    """Monta a matriz de atributos a partir da serie horaria."""</w:t>
      </w:r>
    </w:p>
    <w:p>
      <w:pPr>
        <w:spacing w:after="0" w:line="240"/>
        <w:jc w:val="left"/>
      </w:pPr>
      <w:r>
        <w:rPr>
          <w:rFonts w:ascii="Courier New" w:cs="Courier New" w:eastAsia="Courier New" w:hAnsi="Courier New"/>
          <w:sz w:val="18"/>
          <w:szCs w:val="18"/>
        </w:rPr>
        <w:t xml:space="preserve">    X = pd.DataFrame(index=s.index)</w:t>
      </w:r>
    </w:p>
    <w:p>
      <w:pPr>
        <w:spacing w:after="0" w:line="240"/>
        <w:jc w:val="left"/>
      </w:pPr>
      <w:r>
        <w:rPr>
          <w:rFonts w:ascii="Courier New" w:cs="Courier New" w:eastAsia="Courier New" w:hAnsi="Courier New"/>
          <w:sz w:val="18"/>
          <w:szCs w:val="18"/>
        </w:rPr>
        <w:t xml:space="preserve">    for lag in [1, 2, 3, 24, 168]:</w:t>
      </w:r>
    </w:p>
    <w:p>
      <w:pPr>
        <w:spacing w:after="0" w:line="240"/>
        <w:jc w:val="left"/>
      </w:pPr>
      <w:r>
        <w:rPr>
          <w:rFonts w:ascii="Courier New" w:cs="Courier New" w:eastAsia="Courier New" w:hAnsi="Courier New"/>
          <w:sz w:val="18"/>
          <w:szCs w:val="18"/>
        </w:rPr>
        <w:t xml:space="preserve">        X[f'lag_{lag}'] = s.shift(lag)</w:t>
      </w:r>
    </w:p>
    <w:p>
      <w:pPr>
        <w:spacing w:after="0" w:line="240"/>
        <w:jc w:val="left"/>
      </w:pPr>
      <w:r>
        <w:rPr>
          <w:rFonts w:ascii="Courier New" w:cs="Courier New" w:eastAsia="Courier New" w:hAnsi="Courier New"/>
          <w:sz w:val="18"/>
          <w:szCs w:val="18"/>
        </w:rPr>
        <w:t xml:space="preserve">    for jan in [3, 24, 168]:</w:t>
      </w:r>
    </w:p>
    <w:p>
      <w:pPr>
        <w:spacing w:after="0" w:line="240"/>
        <w:jc w:val="left"/>
      </w:pPr>
      <w:r>
        <w:rPr>
          <w:rFonts w:ascii="Courier New" w:cs="Courier New" w:eastAsia="Courier New" w:hAnsi="Courier New"/>
          <w:sz w:val="18"/>
          <w:szCs w:val="18"/>
        </w:rPr>
        <w:t xml:space="preserve">        X[f'media_{jan}'] = s.shift(1).rolling(jan).mean()</w:t>
      </w:r>
    </w:p>
    <w:p>
      <w:pPr>
        <w:spacing w:after="0" w:line="240"/>
        <w:jc w:val="left"/>
      </w:pPr>
      <w:r>
        <w:rPr>
          <w:rFonts w:ascii="Courier New" w:cs="Courier New" w:eastAsia="Courier New" w:hAnsi="Courier New"/>
          <w:sz w:val="18"/>
          <w:szCs w:val="18"/>
        </w:rPr>
        <w:t xml:space="preserve">        X[f'desvio_{jan}'] = s.shift(1).rolling(jan).std()</w:t>
      </w:r>
    </w:p>
    <w:p>
      <w:pPr>
        <w:spacing w:after="0" w:line="240"/>
        <w:jc w:val="left"/>
      </w:pPr>
      <w:r>
        <w:rPr>
          <w:rFonts w:ascii="Courier New" w:cs="Courier New" w:eastAsia="Courier New" w:hAnsi="Courier New"/>
          <w:sz w:val="18"/>
          <w:szCs w:val="18"/>
        </w:rPr>
        <w:t xml:space="preserve">    h  = X.index.hour</w:t>
      </w:r>
    </w:p>
    <w:p>
      <w:pPr>
        <w:spacing w:after="0" w:line="240"/>
        <w:jc w:val="left"/>
      </w:pPr>
      <w:r>
        <w:rPr>
          <w:rFonts w:ascii="Courier New" w:cs="Courier New" w:eastAsia="Courier New" w:hAnsi="Courier New"/>
          <w:sz w:val="18"/>
          <w:szCs w:val="18"/>
        </w:rPr>
        <w:t xml:space="preserve">    dw = X.index.dayofweek</w:t>
      </w:r>
    </w:p>
    <w:p>
      <w:pPr>
        <w:spacing w:after="0" w:line="240"/>
        <w:jc w:val="left"/>
      </w:pPr>
      <w:r>
        <w:rPr>
          <w:rFonts w:ascii="Courier New" w:cs="Courier New" w:eastAsia="Courier New" w:hAnsi="Courier New"/>
          <w:sz w:val="18"/>
          <w:szCs w:val="18"/>
        </w:rPr>
        <w:t xml:space="preserve">    X['hora_sen'] = np.sin(2 * np.pi * h / 24)</w:t>
      </w:r>
    </w:p>
    <w:p>
      <w:pPr>
        <w:spacing w:after="0" w:line="240"/>
        <w:jc w:val="left"/>
      </w:pPr>
      <w:r>
        <w:rPr>
          <w:rFonts w:ascii="Courier New" w:cs="Courier New" w:eastAsia="Courier New" w:hAnsi="Courier New"/>
          <w:sz w:val="18"/>
          <w:szCs w:val="18"/>
        </w:rPr>
        <w:t xml:space="preserve">    X['hora_cos'] = np.cos(2 * np.pi * h / 24)</w:t>
      </w:r>
    </w:p>
    <w:p>
      <w:pPr>
        <w:spacing w:after="0" w:line="240"/>
        <w:jc w:val="left"/>
      </w:pPr>
      <w:r>
        <w:rPr>
          <w:rFonts w:ascii="Courier New" w:cs="Courier New" w:eastAsia="Courier New" w:hAnsi="Courier New"/>
          <w:sz w:val="18"/>
          <w:szCs w:val="18"/>
        </w:rPr>
        <w:t xml:space="preserve">    X['dsem_sen'] = np.sin(2 * np.pi * dw / 7)</w:t>
      </w:r>
    </w:p>
    <w:p>
      <w:pPr>
        <w:spacing w:after="0" w:line="240"/>
        <w:jc w:val="left"/>
      </w:pPr>
      <w:r>
        <w:rPr>
          <w:rFonts w:ascii="Courier New" w:cs="Courier New" w:eastAsia="Courier New" w:hAnsi="Courier New"/>
          <w:sz w:val="18"/>
          <w:szCs w:val="18"/>
        </w:rPr>
        <w:t xml:space="preserve">    X['dsem_cos'] = np.cos(2 * np.pi * dw / 7)</w:t>
      </w:r>
    </w:p>
    <w:p>
      <w:pPr>
        <w:spacing w:after="0" w:line="240"/>
        <w:jc w:val="left"/>
      </w:pPr>
      <w:r>
        <w:rPr>
          <w:rFonts w:ascii="Courier New" w:cs="Courier New" w:eastAsia="Courier New" w:hAnsi="Courier New"/>
          <w:sz w:val="18"/>
          <w:szCs w:val="18"/>
        </w:rPr>
        <w:t xml:space="preserve">    X['fim_semana'] = (dw &gt;= 5).astype(int)</w:t>
      </w:r>
    </w:p>
    <w:p>
      <w:pPr>
        <w:spacing w:after="0" w:line="240"/>
        <w:jc w:val="left"/>
      </w:pPr>
      <w:r>
        <w:rPr>
          <w:rFonts w:ascii="Courier New" w:cs="Courier New" w:eastAsia="Courier New" w:hAnsi="Courier New"/>
          <w:sz w:val="18"/>
          <w:szCs w:val="18"/>
        </w:rPr>
        <w:t xml:space="preserve">    X['mes'] = X.index.month</w:t>
      </w:r>
    </w:p>
    <w:p>
      <w:pPr>
        <w:spacing w:after="0" w:line="240"/>
        <w:jc w:val="left"/>
      </w:pPr>
      <w:r>
        <w:rPr>
          <w:rFonts w:ascii="Courier New" w:cs="Courier New" w:eastAsia="Courier New" w:hAnsi="Courier New"/>
          <w:sz w:val="18"/>
          <w:szCs w:val="18"/>
        </w:rPr>
        <w:t xml:space="preserve">    y = s.copy()</w:t>
      </w:r>
    </w:p>
    <w:p>
      <w:pPr>
        <w:spacing w:after="0" w:line="240"/>
        <w:jc w:val="left"/>
      </w:pPr>
      <w:r>
        <w:rPr>
          <w:rFonts w:ascii="Courier New" w:cs="Courier New" w:eastAsia="Courier New" w:hAnsi="Courier New"/>
          <w:sz w:val="18"/>
          <w:szCs w:val="18"/>
        </w:rPr>
        <w:t xml:space="preserve">    valido = X.notna().all(axis=1)</w:t>
      </w:r>
    </w:p>
    <w:p>
      <w:pPr>
        <w:spacing w:after="0" w:line="240"/>
        <w:jc w:val="left"/>
      </w:pPr>
      <w:r>
        <w:rPr>
          <w:rFonts w:ascii="Courier New" w:cs="Courier New" w:eastAsia="Courier New" w:hAnsi="Courier New"/>
          <w:sz w:val="18"/>
          <w:szCs w:val="18"/>
        </w:rPr>
        <w:t xml:space="preserve">    return X[valido], y[valido]</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particionar(X, y, p_treino=0.70, p_val=0.15):</w:t>
      </w:r>
    </w:p>
    <w:p>
      <w:pPr>
        <w:spacing w:after="0" w:line="240"/>
        <w:jc w:val="left"/>
      </w:pPr>
      <w:r>
        <w:rPr>
          <w:rFonts w:ascii="Courier New" w:cs="Courier New" w:eastAsia="Courier New" w:hAnsi="Courier New"/>
          <w:sz w:val="18"/>
          <w:szCs w:val="18"/>
        </w:rPr>
        <w:t xml:space="preserve">    """Particao estritamente cronologica: sem embaralhamento."""</w:t>
      </w:r>
    </w:p>
    <w:p>
      <w:pPr>
        <w:spacing w:after="0" w:line="240"/>
        <w:jc w:val="left"/>
      </w:pPr>
      <w:r>
        <w:rPr>
          <w:rFonts w:ascii="Courier New" w:cs="Courier New" w:eastAsia="Courier New" w:hAnsi="Courier New"/>
          <w:sz w:val="18"/>
          <w:szCs w:val="18"/>
        </w:rPr>
        <w:t xml:space="preserve">    n = len(X)</w:t>
      </w:r>
    </w:p>
    <w:p>
      <w:pPr>
        <w:spacing w:after="0" w:line="240"/>
        <w:jc w:val="left"/>
      </w:pPr>
      <w:r>
        <w:rPr>
          <w:rFonts w:ascii="Courier New" w:cs="Courier New" w:eastAsia="Courier New" w:hAnsi="Courier New"/>
          <w:sz w:val="18"/>
          <w:szCs w:val="18"/>
        </w:rPr>
        <w:t xml:space="preserve">    i1, i2 = int(n * p_treino), int(n * (p_treino + p_val))</w:t>
      </w:r>
    </w:p>
    <w:p>
      <w:pPr>
        <w:spacing w:after="0" w:line="240"/>
        <w:jc w:val="left"/>
      </w:pPr>
      <w:r>
        <w:rPr>
          <w:rFonts w:ascii="Courier New" w:cs="Courier New" w:eastAsia="Courier New" w:hAnsi="Courier New"/>
          <w:sz w:val="18"/>
          <w:szCs w:val="18"/>
        </w:rPr>
        <w:t xml:space="preserve">    return (X.iloc[:i1], y.iloc[:i1],</w:t>
      </w:r>
    </w:p>
    <w:p>
      <w:pPr>
        <w:spacing w:after="0" w:line="240"/>
        <w:jc w:val="left"/>
      </w:pPr>
      <w:r>
        <w:rPr>
          <w:rFonts w:ascii="Courier New" w:cs="Courier New" w:eastAsia="Courier New" w:hAnsi="Courier New"/>
          <w:sz w:val="18"/>
          <w:szCs w:val="18"/>
        </w:rPr>
        <w:t xml:space="preserve">            X.iloc[i1:i2], y.iloc[i1:i2],</w:t>
      </w:r>
    </w:p>
    <w:p>
      <w:pPr>
        <w:spacing w:after="0" w:line="240"/>
        <w:jc w:val="left"/>
      </w:pPr>
      <w:r>
        <w:rPr>
          <w:rFonts w:ascii="Courier New" w:cs="Courier New" w:eastAsia="Courier New" w:hAnsi="Courier New"/>
          <w:sz w:val="18"/>
          <w:szCs w:val="18"/>
        </w:rPr>
        <w:t xml:space="preserve">            X.iloc[i2:],  y.iloc[i2:])</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metricas(y_true, y_pred):</w:t>
      </w:r>
    </w:p>
    <w:p>
      <w:pPr>
        <w:spacing w:after="0" w:line="240"/>
        <w:jc w:val="left"/>
      </w:pPr>
      <w:r>
        <w:rPr>
          <w:rFonts w:ascii="Courier New" w:cs="Courier New" w:eastAsia="Courier New" w:hAnsi="Courier New"/>
          <w:sz w:val="18"/>
          <w:szCs w:val="18"/>
        </w:rPr>
        <w:t xml:space="preserve">    mae  = mean_absolute_error(y_true, y_pred)</w:t>
      </w:r>
    </w:p>
    <w:p>
      <w:pPr>
        <w:spacing w:after="0" w:line="240"/>
        <w:jc w:val="left"/>
      </w:pPr>
      <w:r>
        <w:rPr>
          <w:rFonts w:ascii="Courier New" w:cs="Courier New" w:eastAsia="Courier New" w:hAnsi="Courier New"/>
          <w:sz w:val="18"/>
          <w:szCs w:val="18"/>
        </w:rPr>
        <w:t xml:space="preserve">    rmse = np.sqrt(mean_squared_error(y_true, y_pred))</w:t>
      </w:r>
    </w:p>
    <w:p>
      <w:pPr>
        <w:spacing w:after="0" w:line="240"/>
        <w:jc w:val="left"/>
      </w:pPr>
      <w:r>
        <w:rPr>
          <w:rFonts w:ascii="Courier New" w:cs="Courier New" w:eastAsia="Courier New" w:hAnsi="Courier New"/>
          <w:sz w:val="18"/>
          <w:szCs w:val="18"/>
        </w:rPr>
        <w:t xml:space="preserve">    mask = y_true &gt; 1e-6                      # evita divisao por zero no MAPE</w:t>
      </w:r>
    </w:p>
    <w:p>
      <w:pPr>
        <w:spacing w:after="0" w:line="240"/>
        <w:jc w:val="left"/>
      </w:pPr>
      <w:r>
        <w:rPr>
          <w:rFonts w:ascii="Courier New" w:cs="Courier New" w:eastAsia="Courier New" w:hAnsi="Courier New"/>
          <w:sz w:val="18"/>
          <w:szCs w:val="18"/>
        </w:rPr>
        <w:t xml:space="preserve">    mape = np.mean(np.abs((y_true[mask] - y_pred[mask]) / y_true[mask])) * 100</w:t>
      </w:r>
    </w:p>
    <w:p>
      <w:pPr>
        <w:spacing w:after="0" w:line="240"/>
        <w:jc w:val="left"/>
      </w:pPr>
      <w:r>
        <w:rPr>
          <w:rFonts w:ascii="Courier New" w:cs="Courier New" w:eastAsia="Courier New" w:hAnsi="Courier New"/>
          <w:sz w:val="18"/>
          <w:szCs w:val="18"/>
        </w:rPr>
        <w:t xml:space="preserve">    return {'MAE': mae, 'RMSE': rmse, 'MAPE': mape}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executar(caminho_csv):</w:t>
      </w:r>
    </w:p>
    <w:p>
      <w:pPr>
        <w:spacing w:after="0" w:line="240"/>
        <w:jc w:val="left"/>
      </w:pPr>
      <w:r>
        <w:rPr>
          <w:rFonts w:ascii="Courier New" w:cs="Courier New" w:eastAsia="Courier New" w:hAnsi="Courier New"/>
          <w:sz w:val="18"/>
          <w:szCs w:val="18"/>
        </w:rPr>
        <w:t xml:space="preserve">    s = carregar_serie(caminho_csv)</w:t>
      </w:r>
    </w:p>
    <w:p>
      <w:pPr>
        <w:spacing w:after="0" w:line="240"/>
        <w:jc w:val="left"/>
      </w:pPr>
      <w:r>
        <w:rPr>
          <w:rFonts w:ascii="Courier New" w:cs="Courier New" w:eastAsia="Courier New" w:hAnsi="Courier New"/>
          <w:sz w:val="18"/>
          <w:szCs w:val="18"/>
        </w:rPr>
        <w:t xml:space="preserve">    X, y = construir_atributos(s)</w:t>
      </w:r>
    </w:p>
    <w:p>
      <w:pPr>
        <w:spacing w:after="0" w:line="240"/>
        <w:jc w:val="left"/>
      </w:pPr>
      <w:r>
        <w:rPr>
          <w:rFonts w:ascii="Courier New" w:cs="Courier New" w:eastAsia="Courier New" w:hAnsi="Courier New"/>
          <w:sz w:val="18"/>
          <w:szCs w:val="18"/>
        </w:rPr>
        <w:t xml:space="preserve">    Xtr, ytr, Xva, yva, Xte, yte = particionar(X, y)</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resultados = {}</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1 - baseline de persistencia sazonal (consumo de 24h antes)</w:t>
      </w:r>
    </w:p>
    <w:p>
      <w:pPr>
        <w:spacing w:after="0" w:line="240"/>
        <w:jc w:val="left"/>
      </w:pPr>
      <w:r>
        <w:rPr>
          <w:rFonts w:ascii="Courier New" w:cs="Courier New" w:eastAsia="Courier New" w:hAnsi="Courier New"/>
          <w:sz w:val="18"/>
          <w:szCs w:val="18"/>
        </w:rPr>
        <w:t xml:space="preserve">    pred_base = Xte['lag_24'].values</w:t>
      </w:r>
    </w:p>
    <w:p>
      <w:pPr>
        <w:spacing w:after="0" w:line="240"/>
        <w:jc w:val="left"/>
      </w:pPr>
      <w:r>
        <w:rPr>
          <w:rFonts w:ascii="Courier New" w:cs="Courier New" w:eastAsia="Courier New" w:hAnsi="Courier New"/>
          <w:sz w:val="18"/>
          <w:szCs w:val="18"/>
        </w:rPr>
        <w:t xml:space="preserve">    resultados['Persistencia sazonal'] = metricas(yte.values, pred_base)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2 - regressao Ridge (escalonamento ajustado so no treino)</w:t>
      </w:r>
    </w:p>
    <w:p>
      <w:pPr>
        <w:spacing w:after="0" w:line="240"/>
        <w:jc w:val="left"/>
      </w:pPr>
      <w:r>
        <w:rPr>
          <w:rFonts w:ascii="Courier New" w:cs="Courier New" w:eastAsia="Courier New" w:hAnsi="Courier New"/>
          <w:sz w:val="18"/>
          <w:szCs w:val="18"/>
        </w:rPr>
        <w:t xml:space="preserve">    esc = StandardScaler().fit(Xtr)</w:t>
      </w:r>
    </w:p>
    <w:p>
      <w:pPr>
        <w:spacing w:after="0" w:line="240"/>
        <w:jc w:val="left"/>
      </w:pPr>
      <w:r>
        <w:rPr>
          <w:rFonts w:ascii="Courier New" w:cs="Courier New" w:eastAsia="Courier New" w:hAnsi="Courier New"/>
          <w:sz w:val="18"/>
          <w:szCs w:val="18"/>
        </w:rPr>
        <w:t xml:space="preserve">    ridge = Ridge(alpha=1.0).fit(esc.transform(Xtr), ytr)</w:t>
      </w:r>
    </w:p>
    <w:p>
      <w:pPr>
        <w:spacing w:after="0" w:line="240"/>
        <w:jc w:val="left"/>
      </w:pPr>
      <w:r>
        <w:rPr>
          <w:rFonts w:ascii="Courier New" w:cs="Courier New" w:eastAsia="Courier New" w:hAnsi="Courier New"/>
          <w:sz w:val="18"/>
          <w:szCs w:val="18"/>
        </w:rPr>
        <w:t xml:space="preserve">    resultados['Ridge'] = metricas(yte.values, ridge.predict(esc.transform(Xte)))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3 - Random Forest</w:t>
      </w:r>
    </w:p>
    <w:p>
      <w:pPr>
        <w:spacing w:after="0" w:line="240"/>
        <w:jc w:val="left"/>
      </w:pPr>
      <w:r>
        <w:rPr>
          <w:rFonts w:ascii="Courier New" w:cs="Courier New" w:eastAsia="Courier New" w:hAnsi="Courier New"/>
          <w:sz w:val="18"/>
          <w:szCs w:val="18"/>
        </w:rPr>
        <w:t xml:space="preserve">    rf = RandomForestRegressor(n_estimators=300, max_depth=18,</w:t>
      </w:r>
    </w:p>
    <w:p>
      <w:pPr>
        <w:spacing w:after="0" w:line="240"/>
        <w:jc w:val="left"/>
      </w:pPr>
      <w:r>
        <w:rPr>
          <w:rFonts w:ascii="Courier New" w:cs="Courier New" w:eastAsia="Courier New" w:hAnsi="Courier New"/>
          <w:sz w:val="18"/>
          <w:szCs w:val="18"/>
        </w:rPr>
        <w:t xml:space="preserve">                               min_samples_leaf=2, n_jobs=-1,</w:t>
      </w:r>
    </w:p>
    <w:p>
      <w:pPr>
        <w:spacing w:after="0" w:line="240"/>
        <w:jc w:val="left"/>
      </w:pPr>
      <w:r>
        <w:rPr>
          <w:rFonts w:ascii="Courier New" w:cs="Courier New" w:eastAsia="Courier New" w:hAnsi="Courier New"/>
          <w:sz w:val="18"/>
          <w:szCs w:val="18"/>
        </w:rPr>
        <w:t xml:space="preserve">                               random_state=42).fit(Xtr, ytr)</w:t>
      </w:r>
    </w:p>
    <w:p>
      <w:pPr>
        <w:spacing w:after="0" w:line="240"/>
        <w:jc w:val="left"/>
      </w:pPr>
      <w:r>
        <w:rPr>
          <w:rFonts w:ascii="Courier New" w:cs="Courier New" w:eastAsia="Courier New" w:hAnsi="Courier New"/>
          <w:sz w:val="18"/>
          <w:szCs w:val="18"/>
        </w:rPr>
        <w:t xml:space="preserve">    resultados['Random Forest'] = metricas(yte.values, rf.predict(Xte))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print(pd.DataFrame(resultados).T.round(3))</w:t>
      </w:r>
    </w:p>
    <w:p>
      <w:pPr>
        <w:spacing w:after="0" w:line="240"/>
        <w:jc w:val="left"/>
      </w:pPr>
      <w:r>
        <w:rPr>
          <w:rFonts w:ascii="Courier New" w:cs="Courier New" w:eastAsia="Courier New" w:hAnsi="Courier New"/>
          <w:sz w:val="18"/>
          <w:szCs w:val="18"/>
        </w:rPr>
        <w:t xml:space="preserve">    imp = pd.Series(rf.feature_importances_, index=X.columns)</w:t>
      </w:r>
    </w:p>
    <w:p>
      <w:pPr>
        <w:spacing w:after="0" w:line="240"/>
        <w:jc w:val="left"/>
      </w:pPr>
      <w:r>
        <w:rPr>
          <w:rFonts w:ascii="Courier New" w:cs="Courier New" w:eastAsia="Courier New" w:hAnsi="Courier New"/>
          <w:sz w:val="18"/>
          <w:szCs w:val="18"/>
        </w:rPr>
        <w:t xml:space="preserve">    print('\nImportancia dos atributos:')</w:t>
      </w:r>
    </w:p>
    <w:p>
      <w:pPr>
        <w:spacing w:after="0" w:line="240"/>
        <w:jc w:val="left"/>
      </w:pPr>
      <w:r>
        <w:rPr>
          <w:rFonts w:ascii="Courier New" w:cs="Courier New" w:eastAsia="Courier New" w:hAnsi="Courier New"/>
          <w:sz w:val="18"/>
          <w:szCs w:val="18"/>
        </w:rPr>
        <w:t xml:space="preserve">    print(imp.sort_values(ascending=False).head(10).round(4))</w:t>
      </w:r>
    </w:p>
    <w:p>
      <w:pPr>
        <w:spacing w:after="0" w:line="240"/>
        <w:jc w:val="left"/>
      </w:pPr>
      <w:r>
        <w:rPr>
          <w:rFonts w:ascii="Courier New" w:cs="Courier New" w:eastAsia="Courier New" w:hAnsi="Courier New"/>
          <w:sz w:val="18"/>
          <w:szCs w:val="18"/>
        </w:rPr>
        <w:t xml:space="preserve">    return resultados, rf, imp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if __name__ == '__main__':</w:t>
      </w:r>
    </w:p>
    <w:p>
      <w:pPr>
        <w:spacing w:after="0" w:line="240"/>
        <w:jc w:val="left"/>
      </w:pPr>
      <w:r>
        <w:rPr>
          <w:rFonts w:ascii="Courier New" w:cs="Courier New" w:eastAsia="Courier New" w:hAnsi="Courier New"/>
          <w:sz w:val="18"/>
          <w:szCs w:val="18"/>
        </w:rPr>
        <w:t xml:space="preserve">    executar('household_power_consumption.txt')</w:t>
      </w:r>
    </w:p>
    <w:p>
      <w:pPr>
        <w:spacing w:after="240" w:before="240" w:line="360"/>
        <w:jc w:val="center"/>
      </w:pPr>
      <w:r>
        <w:rPr>
          <w:rFonts w:ascii="Arial" w:cs="Arial" w:eastAsia="Arial" w:hAnsi="Arial"/>
          <w:b/>
          <w:bCs/>
          <w:i w:val="false"/>
          <w:iCs w:val="false"/>
          <w:caps w:val="false"/>
          <w:sz w:val="24"/>
          <w:szCs w:val="24"/>
        </w:rPr>
        <w:t xml:space="preserve">[A PREENCHER: saída do script de treinamento]</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C – ESQUEMA COMPLETO DO BANCO DE DADOS</w:t>
      </w:r>
    </w:p>
    <w:p>
      <w:pPr>
        <w:spacing w:after="0" w:before="0" w:line="360"/>
        <w:ind w:firstLine="708"/>
        <w:jc w:val="both"/>
      </w:pPr>
      <w:r>
        <w:rPr>
          <w:rFonts w:ascii="Arial" w:cs="Arial" w:eastAsia="Arial" w:hAnsi="Arial"/>
          <w:b w:val="false"/>
          <w:bCs w:val="false"/>
          <w:i w:val="false"/>
          <w:iCs w:val="false"/>
          <w:caps w:val="false"/>
          <w:sz w:val="24"/>
          <w:szCs w:val="24"/>
        </w:rPr>
        <w:t xml:space="preserve">Elementos complementares ao script apresentado na seção 7.4, compreendendo a rotina de consolidação horária e as visões auxiliares utilizadas pela interface de programação.</w:t>
      </w:r>
    </w:p>
    <w:p>
      <w:pPr>
        <w:spacing w:after="0" w:line="240"/>
        <w:jc w:val="left"/>
      </w:pPr>
      <w:r>
        <w:rPr>
          <w:rFonts w:ascii="Courier New" w:cs="Courier New" w:eastAsia="Courier New" w:hAnsi="Courier New"/>
          <w:sz w:val="18"/>
          <w:szCs w:val="18"/>
        </w:rPr>
        <w:t xml:space="preserve">-- Consolidacao horaria: agrega as leituras brutas da hora encerrada</w:t>
      </w:r>
    </w:p>
    <w:p>
      <w:pPr>
        <w:spacing w:after="0" w:line="240"/>
        <w:jc w:val="left"/>
      </w:pPr>
      <w:r>
        <w:rPr>
          <w:rFonts w:ascii="Courier New" w:cs="Courier New" w:eastAsia="Courier New" w:hAnsi="Courier New"/>
          <w:sz w:val="18"/>
          <w:szCs w:val="18"/>
        </w:rPr>
        <w:t xml:space="preserve">INSERT INTO consumo_horario</w:t>
      </w:r>
    </w:p>
    <w:p>
      <w:pPr>
        <w:spacing w:after="0" w:line="240"/>
        <w:jc w:val="left"/>
      </w:pPr>
      <w:r>
        <w:rPr>
          <w:rFonts w:ascii="Courier New" w:cs="Courier New" w:eastAsia="Courier New" w:hAnsi="Courier New"/>
          <w:sz w:val="18"/>
          <w:szCs w:val="18"/>
        </w:rPr>
        <w:t xml:space="preserve">    (residencia_id, hora, energia_wh, potencia_media_w,</w:t>
      </w:r>
    </w:p>
    <w:p>
      <w:pPr>
        <w:spacing w:after="0" w:line="240"/>
        <w:jc w:val="left"/>
      </w:pPr>
      <w:r>
        <w:rPr>
          <w:rFonts w:ascii="Courier New" w:cs="Courier New" w:eastAsia="Courier New" w:hAnsi="Courier New"/>
          <w:sz w:val="18"/>
          <w:szCs w:val="18"/>
        </w:rPr>
        <w:t xml:space="preserve">     potencia_pico_w, n_amostras)</w:t>
      </w:r>
    </w:p>
    <w:p>
      <w:pPr>
        <w:spacing w:after="0" w:line="240"/>
        <w:jc w:val="left"/>
      </w:pPr>
      <w:r>
        <w:rPr>
          <w:rFonts w:ascii="Courier New" w:cs="Courier New" w:eastAsia="Courier New" w:hAnsi="Courier New"/>
          <w:sz w:val="18"/>
          <w:szCs w:val="18"/>
        </w:rPr>
        <w:t xml:space="preserve">SELECT  d.residencia_id,</w:t>
      </w:r>
    </w:p>
    <w:p>
      <w:pPr>
        <w:spacing w:after="0" w:line="240"/>
        <w:jc w:val="left"/>
      </w:pPr>
      <w:r>
        <w:rPr>
          <w:rFonts w:ascii="Courier New" w:cs="Courier New" w:eastAsia="Courier New" w:hAnsi="Courier New"/>
          <w:sz w:val="18"/>
          <w:szCs w:val="18"/>
        </w:rPr>
        <w:t xml:space="preserve">        date_trunc('hour', l.medido_em)      AS hora,</w:t>
      </w:r>
    </w:p>
    <w:p>
      <w:pPr>
        <w:spacing w:after="0" w:line="240"/>
        <w:jc w:val="left"/>
      </w:pPr>
      <w:r>
        <w:rPr>
          <w:rFonts w:ascii="Courier New" w:cs="Courier New" w:eastAsia="Courier New" w:hAnsi="Courier New"/>
          <w:sz w:val="18"/>
          <w:szCs w:val="18"/>
        </w:rPr>
        <w:t xml:space="preserve">        SUM(l.potencia_w) * (5.0 / 3600.0)   AS energia_wh,</w:t>
      </w:r>
    </w:p>
    <w:p>
      <w:pPr>
        <w:spacing w:after="0" w:line="240"/>
        <w:jc w:val="left"/>
      </w:pPr>
      <w:r>
        <w:rPr>
          <w:rFonts w:ascii="Courier New" w:cs="Courier New" w:eastAsia="Courier New" w:hAnsi="Courier New"/>
          <w:sz w:val="18"/>
          <w:szCs w:val="18"/>
        </w:rPr>
        <w:t xml:space="preserve">        AVG(l.potencia_w)                    AS potencia_media_w,</w:t>
      </w:r>
    </w:p>
    <w:p>
      <w:pPr>
        <w:spacing w:after="0" w:line="240"/>
        <w:jc w:val="left"/>
      </w:pPr>
      <w:r>
        <w:rPr>
          <w:rFonts w:ascii="Courier New" w:cs="Courier New" w:eastAsia="Courier New" w:hAnsi="Courier New"/>
          <w:sz w:val="18"/>
          <w:szCs w:val="18"/>
        </w:rPr>
        <w:t xml:space="preserve">        MAX(l.potencia_w)                    AS potencia_pico_w,</w:t>
      </w:r>
    </w:p>
    <w:p>
      <w:pPr>
        <w:spacing w:after="0" w:line="240"/>
        <w:jc w:val="left"/>
      </w:pPr>
      <w:r>
        <w:rPr>
          <w:rFonts w:ascii="Courier New" w:cs="Courier New" w:eastAsia="Courier New" w:hAnsi="Courier New"/>
          <w:sz w:val="18"/>
          <w:szCs w:val="18"/>
        </w:rPr>
        <w:t xml:space="preserve">        COUNT(*)                             AS n_amostras</w:t>
      </w:r>
    </w:p>
    <w:p>
      <w:pPr>
        <w:spacing w:after="0" w:line="240"/>
        <w:jc w:val="left"/>
      </w:pPr>
      <w:r>
        <w:rPr>
          <w:rFonts w:ascii="Courier New" w:cs="Courier New" w:eastAsia="Courier New" w:hAnsi="Courier New"/>
          <w:sz w:val="18"/>
          <w:szCs w:val="18"/>
        </w:rPr>
        <w:t xml:space="preserve">FROM        leitura     l</w:t>
      </w:r>
    </w:p>
    <w:p>
      <w:pPr>
        <w:spacing w:after="0" w:line="240"/>
        <w:jc w:val="left"/>
      </w:pPr>
      <w:r>
        <w:rPr>
          <w:rFonts w:ascii="Courier New" w:cs="Courier New" w:eastAsia="Courier New" w:hAnsi="Courier New"/>
          <w:sz w:val="18"/>
          <w:szCs w:val="18"/>
        </w:rPr>
        <w:t xml:space="preserve">JOIN        dispositivo d ON d.id = l.dispositivo_id</w:t>
      </w:r>
    </w:p>
    <w:p>
      <w:pPr>
        <w:spacing w:after="0" w:line="240"/>
        <w:jc w:val="left"/>
      </w:pPr>
      <w:r>
        <w:rPr>
          <w:rFonts w:ascii="Courier New" w:cs="Courier New" w:eastAsia="Courier New" w:hAnsi="Courier New"/>
          <w:sz w:val="18"/>
          <w:szCs w:val="18"/>
        </w:rPr>
        <w:t xml:space="preserve">WHERE       l.qualidade = 0</w:t>
      </w:r>
    </w:p>
    <w:p>
      <w:pPr>
        <w:spacing w:after="0" w:line="240"/>
        <w:jc w:val="left"/>
      </w:pPr>
      <w:r>
        <w:rPr>
          <w:rFonts w:ascii="Courier New" w:cs="Courier New" w:eastAsia="Courier New" w:hAnsi="Courier New"/>
          <w:sz w:val="18"/>
          <w:szCs w:val="18"/>
        </w:rPr>
        <w:t xml:space="preserve">  AND       l.medido_em &gt;= date_trunc('hour', now()) - INTERVAL '1 hour'</w:t>
      </w:r>
    </w:p>
    <w:p>
      <w:pPr>
        <w:spacing w:after="0" w:line="240"/>
        <w:jc w:val="left"/>
      </w:pPr>
      <w:r>
        <w:rPr>
          <w:rFonts w:ascii="Courier New" w:cs="Courier New" w:eastAsia="Courier New" w:hAnsi="Courier New"/>
          <w:sz w:val="18"/>
          <w:szCs w:val="18"/>
        </w:rPr>
        <w:t xml:space="preserve">  AND       l.medido_em &lt;  date_trunc('hour', now())</w:t>
      </w:r>
    </w:p>
    <w:p>
      <w:pPr>
        <w:spacing w:after="0" w:line="240"/>
        <w:jc w:val="left"/>
      </w:pPr>
      <w:r>
        <w:rPr>
          <w:rFonts w:ascii="Courier New" w:cs="Courier New" w:eastAsia="Courier New" w:hAnsi="Courier New"/>
          <w:sz w:val="18"/>
          <w:szCs w:val="18"/>
        </w:rPr>
        <w:t xml:space="preserve">GROUP BY    d.residencia_id, date_trunc('hour', l.medido_em)</w:t>
      </w:r>
    </w:p>
    <w:p>
      <w:pPr>
        <w:spacing w:after="0" w:line="240"/>
        <w:jc w:val="left"/>
      </w:pPr>
      <w:r>
        <w:rPr>
          <w:rFonts w:ascii="Courier New" w:cs="Courier New" w:eastAsia="Courier New" w:hAnsi="Courier New"/>
          <w:sz w:val="18"/>
          <w:szCs w:val="18"/>
        </w:rPr>
        <w:t xml:space="preserve">ON CONFLICT (residencia_id, hora) DO UPDATE</w:t>
      </w:r>
    </w:p>
    <w:p>
      <w:pPr>
        <w:spacing w:after="0" w:line="240"/>
        <w:jc w:val="left"/>
      </w:pPr>
      <w:r>
        <w:rPr>
          <w:rFonts w:ascii="Courier New" w:cs="Courier New" w:eastAsia="Courier New" w:hAnsi="Courier New"/>
          <w:sz w:val="18"/>
          <w:szCs w:val="18"/>
        </w:rPr>
        <w:t xml:space="preserve">SET energia_wh       = EXCLUDED.energia_wh,</w:t>
      </w:r>
    </w:p>
    <w:p>
      <w:pPr>
        <w:spacing w:after="0" w:line="240"/>
        <w:jc w:val="left"/>
      </w:pPr>
      <w:r>
        <w:rPr>
          <w:rFonts w:ascii="Courier New" w:cs="Courier New" w:eastAsia="Courier New" w:hAnsi="Courier New"/>
          <w:sz w:val="18"/>
          <w:szCs w:val="18"/>
        </w:rPr>
        <w:t xml:space="preserve">    potencia_media_w = EXCLUDED.potencia_media_w,</w:t>
      </w:r>
    </w:p>
    <w:p>
      <w:pPr>
        <w:spacing w:after="0" w:line="240"/>
        <w:jc w:val="left"/>
      </w:pPr>
      <w:r>
        <w:rPr>
          <w:rFonts w:ascii="Courier New" w:cs="Courier New" w:eastAsia="Courier New" w:hAnsi="Courier New"/>
          <w:sz w:val="18"/>
          <w:szCs w:val="18"/>
        </w:rPr>
        <w:t xml:space="preserve">    potencia_pico_w  = EXCLUDED.potencia_pico_w,</w:t>
      </w:r>
    </w:p>
    <w:p>
      <w:pPr>
        <w:spacing w:after="0" w:line="240"/>
        <w:jc w:val="left"/>
      </w:pPr>
      <w:r>
        <w:rPr>
          <w:rFonts w:ascii="Courier New" w:cs="Courier New" w:eastAsia="Courier New" w:hAnsi="Courier New"/>
          <w:sz w:val="18"/>
          <w:szCs w:val="18"/>
        </w:rPr>
        <w:t xml:space="preserve">    n_amostras       = EXCLUDED.n_amostras;</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ultima leitura de cada dispositivo (painel de estado)</w:t>
      </w:r>
    </w:p>
    <w:p>
      <w:pPr>
        <w:spacing w:after="0" w:line="240"/>
        <w:jc w:val="left"/>
      </w:pPr>
      <w:r>
        <w:rPr>
          <w:rFonts w:ascii="Courier New" w:cs="Courier New" w:eastAsia="Courier New" w:hAnsi="Courier New"/>
          <w:sz w:val="18"/>
          <w:szCs w:val="18"/>
        </w:rPr>
        <w:t xml:space="preserve">CREATE OR REPLACE VIEW vw_estado_dispositivos AS</w:t>
      </w:r>
    </w:p>
    <w:p>
      <w:pPr>
        <w:spacing w:after="0" w:line="240"/>
        <w:jc w:val="left"/>
      </w:pPr>
      <w:r>
        <w:rPr>
          <w:rFonts w:ascii="Courier New" w:cs="Courier New" w:eastAsia="Courier New" w:hAnsi="Courier New"/>
          <w:sz w:val="18"/>
          <w:szCs w:val="18"/>
        </w:rPr>
        <w:t xml:space="preserve">SELECT DISTINCT ON (d.id)</w:t>
      </w:r>
    </w:p>
    <w:p>
      <w:pPr>
        <w:spacing w:after="0" w:line="240"/>
        <w:jc w:val="left"/>
      </w:pPr>
      <w:r>
        <w:rPr>
          <w:rFonts w:ascii="Courier New" w:cs="Courier New" w:eastAsia="Courier New" w:hAnsi="Courier New"/>
          <w:sz w:val="18"/>
          <w:szCs w:val="18"/>
        </w:rPr>
        <w:t xml:space="preserve">       d.id, d.identificador, d.ponto_medicao, d.ativo,</w:t>
      </w:r>
    </w:p>
    <w:p>
      <w:pPr>
        <w:spacing w:after="0" w:line="240"/>
        <w:jc w:val="left"/>
      </w:pPr>
      <w:r>
        <w:rPr>
          <w:rFonts w:ascii="Courier New" w:cs="Courier New" w:eastAsia="Courier New" w:hAnsi="Courier New"/>
          <w:sz w:val="18"/>
          <w:szCs w:val="18"/>
        </w:rPr>
        <w:t xml:space="preserve">       l.medido_em  AS ultima_medicao,</w:t>
      </w:r>
    </w:p>
    <w:p>
      <w:pPr>
        <w:spacing w:after="0" w:line="240"/>
        <w:jc w:val="left"/>
      </w:pPr>
      <w:r>
        <w:rPr>
          <w:rFonts w:ascii="Courier New" w:cs="Courier New" w:eastAsia="Courier New" w:hAnsi="Courier New"/>
          <w:sz w:val="18"/>
          <w:szCs w:val="18"/>
        </w:rPr>
        <w:t xml:space="preserve">       l.potencia_w AS ultima_potencia,</w:t>
      </w:r>
    </w:p>
    <w:p>
      <w:pPr>
        <w:spacing w:after="0" w:line="240"/>
        <w:jc w:val="left"/>
      </w:pPr>
      <w:r>
        <w:rPr>
          <w:rFonts w:ascii="Courier New" w:cs="Courier New" w:eastAsia="Courier New" w:hAnsi="Courier New"/>
          <w:sz w:val="18"/>
          <w:szCs w:val="18"/>
        </w:rPr>
        <w:t xml:space="preserve">       (now() - l.medido_em) &gt; INTERVAL '2 minutes' AS offline</w:t>
      </w:r>
    </w:p>
    <w:p>
      <w:pPr>
        <w:spacing w:after="0" w:line="240"/>
        <w:jc w:val="left"/>
      </w:pPr>
      <w:r>
        <w:rPr>
          <w:rFonts w:ascii="Courier New" w:cs="Courier New" w:eastAsia="Courier New" w:hAnsi="Courier New"/>
          <w:sz w:val="18"/>
          <w:szCs w:val="18"/>
        </w:rPr>
        <w:t xml:space="preserve">FROM        dispositivo d</w:t>
      </w:r>
    </w:p>
    <w:p>
      <w:pPr>
        <w:spacing w:after="0" w:line="240"/>
        <w:jc w:val="left"/>
      </w:pPr>
      <w:r>
        <w:rPr>
          <w:rFonts w:ascii="Courier New" w:cs="Courier New" w:eastAsia="Courier New" w:hAnsi="Courier New"/>
          <w:sz w:val="18"/>
          <w:szCs w:val="18"/>
        </w:rPr>
        <w:t xml:space="preserve">LEFT JOIN   leitura     l ON l.dispositivo_id = d.id</w:t>
      </w:r>
    </w:p>
    <w:p>
      <w:pPr>
        <w:spacing w:after="0" w:line="240"/>
        <w:jc w:val="left"/>
      </w:pPr>
      <w:r>
        <w:rPr>
          <w:rFonts w:ascii="Courier New" w:cs="Courier New" w:eastAsia="Courier New" w:hAnsi="Courier New"/>
          <w:sz w:val="18"/>
          <w:szCs w:val="18"/>
        </w:rPr>
        <w:t xml:space="preserve">ORDER BY    d.id, l.medido_em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confronto entre previsto e observado (avaliacao em operacao)</w:t>
      </w:r>
    </w:p>
    <w:p>
      <w:pPr>
        <w:spacing w:after="0" w:line="240"/>
        <w:jc w:val="left"/>
      </w:pPr>
      <w:r>
        <w:rPr>
          <w:rFonts w:ascii="Courier New" w:cs="Courier New" w:eastAsia="Courier New" w:hAnsi="Courier New"/>
          <w:sz w:val="18"/>
          <w:szCs w:val="18"/>
        </w:rPr>
        <w:t xml:space="preserve">CREATE OR REPLACE VIEW vw_previsto_vs_observado AS</w:t>
      </w:r>
    </w:p>
    <w:p>
      <w:pPr>
        <w:spacing w:after="0" w:line="240"/>
        <w:jc w:val="left"/>
      </w:pPr>
      <w:r>
        <w:rPr>
          <w:rFonts w:ascii="Courier New" w:cs="Courier New" w:eastAsia="Courier New" w:hAnsi="Courier New"/>
          <w:sz w:val="18"/>
          <w:szCs w:val="18"/>
        </w:rPr>
        <w:t xml:space="preserve">SELECT  p.residencia_id,</w:t>
      </w:r>
    </w:p>
    <w:p>
      <w:pPr>
        <w:spacing w:after="0" w:line="240"/>
        <w:jc w:val="left"/>
      </w:pPr>
      <w:r>
        <w:rPr>
          <w:rFonts w:ascii="Courier New" w:cs="Courier New" w:eastAsia="Courier New" w:hAnsi="Courier New"/>
          <w:sz w:val="18"/>
          <w:szCs w:val="18"/>
        </w:rPr>
        <w:t xml:space="preserve">        p.hora_alvo,</w:t>
      </w:r>
    </w:p>
    <w:p>
      <w:pPr>
        <w:spacing w:after="0" w:line="240"/>
        <w:jc w:val="left"/>
      </w:pPr>
      <w:r>
        <w:rPr>
          <w:rFonts w:ascii="Courier New" w:cs="Courier New" w:eastAsia="Courier New" w:hAnsi="Courier New"/>
          <w:sz w:val="18"/>
          <w:szCs w:val="18"/>
        </w:rPr>
        <w:t xml:space="preserve">        p.energia_prevista_wh,</w:t>
      </w:r>
    </w:p>
    <w:p>
      <w:pPr>
        <w:spacing w:after="0" w:line="240"/>
        <w:jc w:val="left"/>
      </w:pPr>
      <w:r>
        <w:rPr>
          <w:rFonts w:ascii="Courier New" w:cs="Courier New" w:eastAsia="Courier New" w:hAnsi="Courier New"/>
          <w:sz w:val="18"/>
          <w:szCs w:val="18"/>
        </w:rPr>
        <w:t xml:space="preserve">        c.energia_wh AS energia_observada_wh,</w:t>
      </w:r>
    </w:p>
    <w:p>
      <w:pPr>
        <w:spacing w:after="0" w:line="240"/>
        <w:jc w:val="left"/>
      </w:pPr>
      <w:r>
        <w:rPr>
          <w:rFonts w:ascii="Courier New" w:cs="Courier New" w:eastAsia="Courier New" w:hAnsi="Courier New"/>
          <w:sz w:val="18"/>
          <w:szCs w:val="18"/>
        </w:rPr>
        <w:t xml:space="preserve">        ABS(p.energia_prevista_wh - c.energia_wh) AS erro_absoluto_wh,</w:t>
      </w:r>
    </w:p>
    <w:p>
      <w:pPr>
        <w:spacing w:after="0" w:line="240"/>
        <w:jc w:val="left"/>
      </w:pPr>
      <w:r>
        <w:rPr>
          <w:rFonts w:ascii="Courier New" w:cs="Courier New" w:eastAsia="Courier New" w:hAnsi="Courier New"/>
          <w:sz w:val="18"/>
          <w:szCs w:val="18"/>
        </w:rPr>
        <w:t xml:space="preserve">        m.algoritmo, m.versao</w:t>
      </w:r>
    </w:p>
    <w:p>
      <w:pPr>
        <w:spacing w:after="0" w:line="240"/>
        <w:jc w:val="left"/>
      </w:pPr>
      <w:r>
        <w:rPr>
          <w:rFonts w:ascii="Courier New" w:cs="Courier New" w:eastAsia="Courier New" w:hAnsi="Courier New"/>
          <w:sz w:val="18"/>
          <w:szCs w:val="18"/>
        </w:rPr>
        <w:t xml:space="preserve">FROM        previsao        p</w:t>
      </w:r>
    </w:p>
    <w:p>
      <w:pPr>
        <w:spacing w:after="0" w:line="240"/>
        <w:jc w:val="left"/>
      </w:pPr>
      <w:r>
        <w:rPr>
          <w:rFonts w:ascii="Courier New" w:cs="Courier New" w:eastAsia="Courier New" w:hAnsi="Courier New"/>
          <w:sz w:val="18"/>
          <w:szCs w:val="18"/>
        </w:rPr>
        <w:t xml:space="preserve">JOIN        modelo_treinado m ON m.id = p.modelo_id</w:t>
      </w:r>
    </w:p>
    <w:p>
      <w:pPr>
        <w:spacing w:after="0" w:line="240"/>
        <w:jc w:val="left"/>
      </w:pPr>
      <w:r>
        <w:rPr>
          <w:rFonts w:ascii="Courier New" w:cs="Courier New" w:eastAsia="Courier New" w:hAnsi="Courier New"/>
          <w:sz w:val="18"/>
          <w:szCs w:val="18"/>
        </w:rPr>
        <w:t xml:space="preserve">LEFT JOIN   consumo_horario c ON c.residencia_id = p.residencia_id</w:t>
      </w:r>
    </w:p>
    <w:p>
      <w:pPr>
        <w:spacing w:after="0" w:line="240"/>
        <w:jc w:val="left"/>
      </w:pPr>
      <w:r>
        <w:rPr>
          <w:rFonts w:ascii="Courier New" w:cs="Courier New" w:eastAsia="Courier New" w:hAnsi="Courier New"/>
          <w:sz w:val="18"/>
          <w:szCs w:val="18"/>
        </w:rPr>
        <w:t xml:space="preserve">                             AND c.hora          = p.hora_alvo</w:t>
      </w:r>
    </w:p>
    <w:p>
      <w:pPr>
        <w:spacing w:after="0" w:line="240"/>
        <w:jc w:val="left"/>
      </w:pPr>
      <w:r>
        <w:rPr>
          <w:rFonts w:ascii="Courier New" w:cs="Courier New" w:eastAsia="Courier New" w:hAnsi="Courier New"/>
          <w:sz w:val="18"/>
          <w:szCs w:val="18"/>
        </w:rPr>
        <w:t xml:space="preserve">WHERE       c.energia_wh IS NOT NULL;</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D – LISTA DE MATERIAIS E CUSTO DO PROTÓTIPO</w:t>
      </w:r>
    </w:p>
    <w:p>
      <w:pPr>
        <w:spacing w:after="80" w:before="240" w:line="240"/>
        <w:jc w:val="left"/>
      </w:pPr>
      <w:r>
        <w:rPr>
          <w:rFonts w:ascii="Arial" w:cs="Arial" w:eastAsia="Arial" w:hAnsi="Arial"/>
          <w:b w:val="false"/>
          <w:bCs w:val="false"/>
          <w:i w:val="false"/>
          <w:iCs w:val="false"/>
          <w:caps w:val="false"/>
          <w:sz w:val="20"/>
          <w:szCs w:val="20"/>
        </w:rPr>
        <w:t xml:space="preserve">Quadro 18 – Lista de materiais do protótipo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700"/>
        <w:gridCol w:w="1900"/>
        <w:gridCol w:w="19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Item</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Especificação</w:t>
            </w:r>
          </w:p>
        </w:tc>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Qtd.</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unitário</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total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Microcontrolador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V1 (38 pinos)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Sensor de corrente</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SCT-013-030 (transformador de núcleo bipartido, 30 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Conector do sensor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Jack P2 fêmea 3,5 mm</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Condicionamento de sinal</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Resistores de 10 kΩ (2 un.) e capacitor de 10 µF</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Circuito instrumentado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Conjunto de tomadas com cabo paralelo</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motor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iluminação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 com potência declarada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Prototipagem</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Protoboard, jumpers e barra de pinos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Gravação e alimentação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Cabo micro-USB com vias de dados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Instrumento de referência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Medidor de consumo de tomada (wattímetro)</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Estrutura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Base de montagem e organização de cabos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Total</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valores de aquisição dos componentes]</w:t>
      </w:r>
    </w:p>
    <w:sectPr>
      <w:headerReference w:type="default" r:id="rId7"/>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134" w:hanging="283"/>
      </w:pPr>
      <w:rPr>
        <w:rFonts w:ascii="Arial" w:cs="Arial" w:eastAsia="Arial" w:hAnsi="Arial"/>
        <w:sz w:val="24"/>
        <w:szCs w:val="24"/>
      </w:rPr>
    </w:lvl>
  </w:abstractNum>
  <w:abstractNum w:abstractNumId="3" w15:restartNumberingAfterBreak="0">
    <w:multiLevelType w:val="hybridMultilevel"/>
    <w:lvl w:ilvl="0" w15:tentative="1">
      <w:start w:val="1"/>
      <w:numFmt w:val="lowerLetter"/>
      <w:lvlText w:val="%1)"/>
      <w:lvlJc w:val="left"/>
      <w:pPr>
        <w:ind w:left="1134" w:hanging="283"/>
      </w:pPr>
      <w:rPr>
        <w:rFonts w:ascii="Arial" w:cs="Arial" w:eastAsia="Arial" w:hAnsi="Aria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277727836df3a3366031ccdc981c8497dfad45a.png"/><Relationship Id="rId9" Type="http://schemas.openxmlformats.org/officeDocument/2006/relationships/image" Target="media/eda83b88549de3608d0b2abd7028ab9eeec8a04f.png"/><Relationship Id="rId10" Type="http://schemas.openxmlformats.org/officeDocument/2006/relationships/image" Target="media/ee6e5dfe876e3bde52e01dad4e13fe318a6ebd64.png"/><Relationship Id="rId11" Type="http://schemas.openxmlformats.org/officeDocument/2006/relationships/image" Target="media/3e637cf3bbc4811288caa02bb6c5b9d3524bbf8b.png"/><Relationship Id="rId12" Type="http://schemas.openxmlformats.org/officeDocument/2006/relationships/image" Target="media/564993c8d98b83a78d294a20869024faea8a4bf5.png"/><Relationship Id="rId13" Type="http://schemas.openxmlformats.org/officeDocument/2006/relationships/image" Target="media/4442182a3f6cb0f3c8180ede5c38e40b72f0f5d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e Previsão de Consumo Energético Residencial com Internet das Coisas e Aprendizado de Máquina em Nuvem</dc:title>
  <dc:creator>TCC - UNIP</dc:creator>
  <cp:lastModifiedBy>Un-named</cp:lastModifiedBy>
  <cp:revision>1</cp:revision>
  <dcterms:created xsi:type="dcterms:W3CDTF">2026-08-17T01:25:55.651Z</dcterms:created>
  <dcterms:modified xsi:type="dcterms:W3CDTF">2026-08-17T01:25:55.651Z</dcterms:modified>
</cp:coreProperties>
</file>

<file path=docProps/custom.xml><?xml version="1.0" encoding="utf-8"?>
<Properties xmlns="http://schemas.openxmlformats.org/officeDocument/2006/custom-properties" xmlns:vt="http://schemas.openxmlformats.org/officeDocument/2006/docPropsVTypes"/>
</file>