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 xml:space="preserve">Especificar o conjunto de variáveis do ambiente urbano pertinentes à decisão de iluminação e as faixas em que cada uma opera, </w:t>
      </w:r>
      <w:r>
        <w:rPr>
          <w:lang w:val="pt-BR"/>
        </w:rPr>
        <w:t xml:space="preserve">a partir do cadastro georreferenciado do município e de séries públicas de contagem de pedestres.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 xml:space="preserve">A revisão é narrativa, e não sistemática: as fontes foram reunidas a partir dos eixos que estruturam esta seção, e cada inclusão obedece aos critérios declarados a seguir, de modo que possa ser auditada pelo leitor.</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 xml:space="preserve">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w:t>
      </w:r>
      <w:r>
        <w:rPr>
          <w:lang w:val="pt-BR"/>
        </w:rPr>
        <w:t xml:space="preserve">Os autores registram ainda que a iluminação pública e a mobilidade aparecem como áreas de destaque dos projetos.</w:t>
      </w:r>
      <w:r>
        <w:rPr>
          <w:lang w:val="pt-BR"/>
        </w:rPr>
        <w:t xml:space="preserve">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w:t>
      </w:r>
      <w:r>
        <w:rPr>
          <w:lang w:val="pt-BR"/>
        </w:rPr>
        <w:t xml:space="preserve">aponta os sistemas isolados, sem padronização de interfaces, como obstáculo à integração,</w:t>
      </w:r>
      <w:r>
        <w:rPr>
          <w:lang w:val="pt-BR"/>
        </w:rPr>
        <w:t xml:space="preserve"> e que a especificação da interface é o instrumento pelo qual essa fragmentação se resolve. </w:t>
      </w:r>
      <w:r>
        <w:rPr>
          <w:lang w:val="pt-BR"/>
        </w:rPr>
        <w:t xml:space="preserve">Reia e Cruz (2023), examinando a agenda brasileira de cidades inteligentes, registram o peso de atores corporativos em sua condução, inclusive de consultorias privadas na elaboração de planos municipais.</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w:t>
      </w:r>
      <w:r>
        <w:rPr>
          <w:lang w:val="pt-BR"/>
        </w:rPr>
        <w:t xml:space="preserve">registram o deslocamento do campo dos modelos autorregressivos para procedimentos orientados por dados.</w:t>
      </w:r>
      <w:r>
        <w:rPr>
          <w:lang w:val="pt-BR"/>
        </w:rPr>
        <w:t xml:space="preserve">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t xml:space="preserve">A terceira é de governança. </w:t>
      </w:r>
      <w:r>
        <w:rPr>
          <w:lang w:val="pt-BR"/>
        </w:rPr>
        <w:t xml:space="preserve">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w:t>
      </w:r>
      <w:r>
        <w:rPr>
          <w:lang w:val="pt-BR"/>
        </w:rPr>
        <w:t xml:space="preserve">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sete já existem: </w:t>
      </w:r>
      <w:r>
        <w:rPr>
          <w:lang w:val="pt-BR"/>
        </w:rPr>
        <w:t xml:space="preserve">estão contratados ou normalizados,</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não iluminância;</w:t>
            </w:r>
            <w:r>
              <w:rPr>
                <w:sz w:val="20"/>
                <w:szCs w:val="20"/>
                <w:lang w:val="pt-BR"/>
              </w:rPr>
              <w:t xml:space="preserve">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com queda máxima</w:t>
            </w:r>
            <w:r>
              <w:rPr>
                <w:sz w:val="20"/>
                <w:szCs w:val="20"/>
              </w:rPr>
              <w:t xml:space="preserve">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cerca de 1 %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(6.3).</w:t>
      </w:r>
      <w:r>
        <w:rPr>
          <w:lang w:val="pt-BR"/>
        </w:rPr>
        <w:t xml:space="preserve"> A necessidade do critério decorre de uma lacuna da norma: a ABNT NBR 5101 condiciona a classe ao nível de atividade </w:t>
      </w:r>
      <w:r>
        <w:rPr>
          <w:lang w:val="pt-BR"/>
        </w:rPr>
        <w:t xml:space="preserve">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Mais recentemente, a troca da série de treino (3.6) mudou os tercis e a largura das rampas, sem mudar as sete regras.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máxima de 0,0083 do fluxo pleno por passo,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 xml:space="preserve">Limite inferior da faixa de 40 W a 440 W da tabela de distribuição de luz do Caderno, que admite outras potências</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10 min em cada um,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 xml:space="preserve">O acionamento é feito por modulação de largura de pulso sobre fita de LED com resistores de limitação integrados, e não por regulador de corrente constante, </w:t>
      </w:r>
      <w:r>
        <w:rPr>
          <w:lang w:val="pt-BR"/>
        </w:rPr>
        <w:t xml:space="preserve">por decisão dos autores.</w:t>
      </w:r>
      <w:r>
        <w:rPr>
          <w:lang w:val="pt-BR"/>
        </w:rPr>
        <w:t xml:space="preserve">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item 71 para a arquitetura de implantação e </w:t>
      </w:r>
      <w:r>
        <w:rPr>
          <w:lang w:val="pt-BR"/>
        </w:rPr>
        <w:t xml:space="preserve">item 72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