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86AF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b/>
          <w:bCs/>
          <w:lang w:val="pt-BR"/>
        </w:rPr>
        <w:t>UNIVERSIDADE PAULISTA – UNIP</w:t>
      </w:r>
    </w:p>
    <w:p w14:paraId="74E1D903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b/>
          <w:bCs/>
          <w:lang w:val="pt-BR"/>
        </w:rPr>
        <w:t>CIÊNCIA DA COMPUTAÇÃO – 8º SEMESTRE</w:t>
      </w:r>
    </w:p>
    <w:p w14:paraId="174F4898" w14:textId="77777777" w:rsidR="006B1E66" w:rsidRPr="000F5B8B" w:rsidRDefault="006B1E66">
      <w:pPr>
        <w:spacing w:line="360" w:lineRule="auto"/>
        <w:rPr>
          <w:lang w:val="pt-BR"/>
        </w:rPr>
      </w:pPr>
    </w:p>
    <w:p w14:paraId="57A0B679" w14:textId="77777777" w:rsidR="006B1E66" w:rsidRPr="000F5B8B" w:rsidRDefault="006B1E66">
      <w:pPr>
        <w:spacing w:line="360" w:lineRule="auto"/>
        <w:rPr>
          <w:lang w:val="pt-BR"/>
        </w:rPr>
      </w:pPr>
    </w:p>
    <w:p w14:paraId="4B853632" w14:textId="77777777" w:rsidR="006B1E66" w:rsidRPr="000F5B8B" w:rsidRDefault="006B1E66">
      <w:pPr>
        <w:spacing w:line="360" w:lineRule="auto"/>
        <w:rPr>
          <w:lang w:val="pt-BR"/>
        </w:rPr>
      </w:pPr>
    </w:p>
    <w:p w14:paraId="507CE7C4" w14:textId="77777777" w:rsidR="006B1E66" w:rsidRPr="000F5B8B" w:rsidRDefault="006B1E66">
      <w:pPr>
        <w:spacing w:line="360" w:lineRule="auto"/>
        <w:rPr>
          <w:lang w:val="pt-BR"/>
        </w:rPr>
      </w:pPr>
    </w:p>
    <w:p w14:paraId="62D42E9B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lang w:val="pt-BR"/>
        </w:rPr>
        <w:t>BRUNO BONAVIGO DACAL – N309EC4</w:t>
      </w:r>
    </w:p>
    <w:p w14:paraId="010CD970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lang w:val="pt-BR"/>
        </w:rPr>
        <w:t>LUCAS DE ARAUJO VERGARA – N090758</w:t>
      </w:r>
    </w:p>
    <w:p w14:paraId="64FE4B18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lang w:val="pt-BR"/>
        </w:rPr>
        <w:t>VITOR OLIVEIRA DOS SANTOS – N083DG1</w:t>
      </w:r>
    </w:p>
    <w:p w14:paraId="0A93B469" w14:textId="77777777" w:rsidR="006B1E66" w:rsidRPr="000F5B8B" w:rsidRDefault="006B1E66">
      <w:pPr>
        <w:spacing w:line="360" w:lineRule="auto"/>
        <w:rPr>
          <w:lang w:val="pt-BR"/>
        </w:rPr>
      </w:pPr>
    </w:p>
    <w:p w14:paraId="5F7CD32B" w14:textId="77777777" w:rsidR="006B1E66" w:rsidRPr="000F5B8B" w:rsidRDefault="006B1E66">
      <w:pPr>
        <w:spacing w:line="360" w:lineRule="auto"/>
        <w:rPr>
          <w:lang w:val="pt-BR"/>
        </w:rPr>
      </w:pPr>
    </w:p>
    <w:p w14:paraId="52BE0D35" w14:textId="77777777" w:rsidR="006B1E66" w:rsidRPr="000F5B8B" w:rsidRDefault="006B1E66">
      <w:pPr>
        <w:spacing w:line="360" w:lineRule="auto"/>
        <w:rPr>
          <w:lang w:val="pt-BR"/>
        </w:rPr>
      </w:pPr>
    </w:p>
    <w:p w14:paraId="600D9C5E" w14:textId="77777777" w:rsidR="006B1E66" w:rsidRPr="000F5B8B" w:rsidRDefault="006B1E66">
      <w:pPr>
        <w:spacing w:line="360" w:lineRule="auto"/>
        <w:rPr>
          <w:lang w:val="pt-BR"/>
        </w:rPr>
      </w:pPr>
    </w:p>
    <w:p w14:paraId="0534B47E" w14:textId="77777777" w:rsidR="006B1E66" w:rsidRPr="000F5B8B" w:rsidRDefault="006B1E66">
      <w:pPr>
        <w:spacing w:line="360" w:lineRule="auto"/>
        <w:rPr>
          <w:lang w:val="pt-BR"/>
        </w:rPr>
      </w:pPr>
    </w:p>
    <w:p w14:paraId="51FD004B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b/>
          <w:bCs/>
          <w:lang w:val="pt-BR"/>
        </w:rPr>
        <w:t>CONTROLE INTELIGENTE DA ILUMINAÇÃO PÚBLICA A PARTIR DE DADOS URBANOS JÁ EXISTENTES: PROPOSTA DE INTEGRAÇÃO ENTRE PLATAFORMA DE MONITORAMENTO E TELEGESTÃO NO MUNICÍPIO DE SÃO PAULO</w:t>
      </w:r>
    </w:p>
    <w:p w14:paraId="720111C3" w14:textId="77777777" w:rsidR="006B1E66" w:rsidRPr="000F5B8B" w:rsidRDefault="006B1E66">
      <w:pPr>
        <w:spacing w:line="360" w:lineRule="auto"/>
        <w:rPr>
          <w:lang w:val="pt-BR"/>
        </w:rPr>
      </w:pPr>
    </w:p>
    <w:p w14:paraId="2E1361D9" w14:textId="77777777" w:rsidR="006B1E66" w:rsidRPr="000F5B8B" w:rsidRDefault="006B1E66">
      <w:pPr>
        <w:spacing w:line="360" w:lineRule="auto"/>
        <w:rPr>
          <w:lang w:val="pt-BR"/>
        </w:rPr>
      </w:pPr>
    </w:p>
    <w:p w14:paraId="389D8CFC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lang w:val="pt-BR"/>
        </w:rPr>
        <w:t>TRABALHO DE CONCLUSÃO DE CURSO</w:t>
      </w:r>
    </w:p>
    <w:p w14:paraId="0F368082" w14:textId="77777777" w:rsidR="006B1E66" w:rsidRPr="000F5B8B" w:rsidRDefault="006B1E66">
      <w:pPr>
        <w:spacing w:line="360" w:lineRule="auto"/>
        <w:rPr>
          <w:lang w:val="pt-BR"/>
        </w:rPr>
      </w:pPr>
    </w:p>
    <w:p w14:paraId="38ECB05A" w14:textId="77777777" w:rsidR="006B1E66" w:rsidRPr="000F5B8B" w:rsidRDefault="006B1E66">
      <w:pPr>
        <w:spacing w:line="360" w:lineRule="auto"/>
        <w:rPr>
          <w:lang w:val="pt-BR"/>
        </w:rPr>
      </w:pPr>
    </w:p>
    <w:p w14:paraId="6B363E37" w14:textId="77777777" w:rsidR="006B1E66" w:rsidRPr="000F5B8B" w:rsidRDefault="006B1E66">
      <w:pPr>
        <w:spacing w:line="360" w:lineRule="auto"/>
        <w:rPr>
          <w:lang w:val="pt-BR"/>
        </w:rPr>
      </w:pPr>
    </w:p>
    <w:p w14:paraId="1AFDB5CD" w14:textId="77777777" w:rsidR="006B1E66" w:rsidRPr="000F5B8B" w:rsidRDefault="006B1E66">
      <w:pPr>
        <w:spacing w:line="360" w:lineRule="auto"/>
        <w:rPr>
          <w:lang w:val="pt-BR"/>
        </w:rPr>
      </w:pPr>
    </w:p>
    <w:p w14:paraId="123429A8" w14:textId="77777777" w:rsidR="006B1E66" w:rsidRPr="000F5B8B" w:rsidRDefault="006B1E66">
      <w:pPr>
        <w:spacing w:line="360" w:lineRule="auto"/>
        <w:rPr>
          <w:lang w:val="pt-BR"/>
        </w:rPr>
      </w:pPr>
    </w:p>
    <w:p w14:paraId="762EBDA3" w14:textId="77777777" w:rsidR="006B1E66" w:rsidRPr="000F5B8B" w:rsidRDefault="006B1E66">
      <w:pPr>
        <w:spacing w:line="360" w:lineRule="auto"/>
        <w:rPr>
          <w:lang w:val="pt-BR"/>
        </w:rPr>
      </w:pPr>
    </w:p>
    <w:p w14:paraId="7A2E0B79" w14:textId="77777777" w:rsidR="006B1E66" w:rsidRPr="000F5B8B" w:rsidRDefault="006B1E66">
      <w:pPr>
        <w:spacing w:line="360" w:lineRule="auto"/>
        <w:rPr>
          <w:lang w:val="pt-BR"/>
        </w:rPr>
      </w:pPr>
    </w:p>
    <w:p w14:paraId="537B2B80" w14:textId="77777777" w:rsidR="006B1E66" w:rsidRPr="000F5B8B" w:rsidRDefault="006B1E66">
      <w:pPr>
        <w:spacing w:line="360" w:lineRule="auto"/>
        <w:rPr>
          <w:lang w:val="pt-BR"/>
        </w:rPr>
      </w:pPr>
    </w:p>
    <w:p w14:paraId="3740A1CC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lang w:val="pt-BR"/>
        </w:rPr>
        <w:t>SÃO PAULO</w:t>
      </w:r>
    </w:p>
    <w:p w14:paraId="458BCFD9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lang w:val="pt-BR"/>
        </w:rPr>
        <w:t>2026</w:t>
      </w:r>
    </w:p>
    <w:p w14:paraId="1FB18F47" w14:textId="77777777" w:rsidR="006B1E66" w:rsidRPr="000F5B8B" w:rsidRDefault="00000000">
      <w:pPr>
        <w:rPr>
          <w:lang w:val="pt-BR"/>
        </w:rPr>
      </w:pPr>
      <w:r>
        <w:rPr>
          <w:lang w:val="pt-BR"/>
        </w:rPr>
        <w:br w:type="page"/>
      </w:r>
    </w:p>
    <w:p w14:paraId="79D2494B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lang w:val="pt-BR"/>
        </w:rPr>
        <w:lastRenderedPageBreak/>
        <w:t>BRUNO BONAVIGO DACAL – N309EC4</w:t>
      </w:r>
    </w:p>
    <w:p w14:paraId="1352AC6C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lang w:val="pt-BR"/>
        </w:rPr>
        <w:t>LUCAS DE ARAUJO VERGARA – N090758</w:t>
      </w:r>
    </w:p>
    <w:p w14:paraId="65AD6D8B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lang w:val="pt-BR"/>
        </w:rPr>
        <w:t>VITOR OLIVEIRA DOS SANTOS – N083DG1</w:t>
      </w:r>
    </w:p>
    <w:p w14:paraId="4950642F" w14:textId="77777777" w:rsidR="006B1E66" w:rsidRPr="000F5B8B" w:rsidRDefault="006B1E66">
      <w:pPr>
        <w:spacing w:line="360" w:lineRule="auto"/>
        <w:rPr>
          <w:lang w:val="pt-BR"/>
        </w:rPr>
      </w:pPr>
    </w:p>
    <w:p w14:paraId="2C202E20" w14:textId="77777777" w:rsidR="006B1E66" w:rsidRPr="000F5B8B" w:rsidRDefault="006B1E66">
      <w:pPr>
        <w:spacing w:line="360" w:lineRule="auto"/>
        <w:rPr>
          <w:lang w:val="pt-BR"/>
        </w:rPr>
      </w:pPr>
    </w:p>
    <w:p w14:paraId="69964D4D" w14:textId="77777777" w:rsidR="006B1E66" w:rsidRPr="000F5B8B" w:rsidRDefault="006B1E66">
      <w:pPr>
        <w:spacing w:line="360" w:lineRule="auto"/>
        <w:rPr>
          <w:lang w:val="pt-BR"/>
        </w:rPr>
      </w:pPr>
    </w:p>
    <w:p w14:paraId="46206E58" w14:textId="77777777" w:rsidR="006B1E66" w:rsidRPr="000F5B8B" w:rsidRDefault="006B1E66">
      <w:pPr>
        <w:spacing w:line="360" w:lineRule="auto"/>
        <w:rPr>
          <w:lang w:val="pt-BR"/>
        </w:rPr>
      </w:pPr>
    </w:p>
    <w:p w14:paraId="65360AF8" w14:textId="77777777" w:rsidR="006B1E66" w:rsidRPr="000F5B8B" w:rsidRDefault="006B1E66">
      <w:pPr>
        <w:spacing w:line="360" w:lineRule="auto"/>
        <w:rPr>
          <w:lang w:val="pt-BR"/>
        </w:rPr>
      </w:pPr>
    </w:p>
    <w:p w14:paraId="654FC699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b/>
          <w:bCs/>
          <w:lang w:val="pt-BR"/>
        </w:rPr>
        <w:t>CONTROLE INTELIGENTE DA ILUMINAÇÃO PÚBLICA A PARTIR DE DADOS URBANOS JÁ EXISTENTES: PROPOSTA DE INTEGRAÇÃO ENTRE PLATAFORMA DE MONITORAMENTO E TELEGESTÃO NO MUNICÍPIO DE SÃO PAULO</w:t>
      </w:r>
    </w:p>
    <w:p w14:paraId="4082DB1C" w14:textId="77777777" w:rsidR="006B1E66" w:rsidRPr="000F5B8B" w:rsidRDefault="006B1E66">
      <w:pPr>
        <w:spacing w:line="360" w:lineRule="auto"/>
        <w:rPr>
          <w:lang w:val="pt-BR"/>
        </w:rPr>
      </w:pPr>
    </w:p>
    <w:p w14:paraId="771CA0DA" w14:textId="77777777" w:rsidR="006B1E66" w:rsidRPr="000F5B8B" w:rsidRDefault="006B1E66">
      <w:pPr>
        <w:spacing w:line="360" w:lineRule="auto"/>
        <w:rPr>
          <w:lang w:val="pt-BR"/>
        </w:rPr>
      </w:pPr>
    </w:p>
    <w:p w14:paraId="2053C9AD" w14:textId="77777777" w:rsidR="006B1E66" w:rsidRPr="000F5B8B" w:rsidRDefault="006B1E66">
      <w:pPr>
        <w:spacing w:line="360" w:lineRule="auto"/>
        <w:rPr>
          <w:lang w:val="pt-BR"/>
        </w:rPr>
      </w:pPr>
    </w:p>
    <w:p w14:paraId="496CBCB3" w14:textId="77777777" w:rsidR="006B1E66" w:rsidRPr="000F5B8B" w:rsidRDefault="00000000">
      <w:pPr>
        <w:ind w:left="4536"/>
        <w:jc w:val="both"/>
        <w:rPr>
          <w:lang w:val="pt-BR"/>
        </w:rPr>
      </w:pPr>
      <w:r>
        <w:rPr>
          <w:lang w:val="pt-BR"/>
        </w:rPr>
        <w:t>Trabalho de Conclusão de Curso apresentado ao curso de Bacharelado em Ciência da Computação da Universidade Paulista – UNIP, como requisito parcial para a obtenção do título de Bacharel em Ciência da Computação.</w:t>
      </w:r>
    </w:p>
    <w:p w14:paraId="6B900A79" w14:textId="77777777" w:rsidR="006B1E66" w:rsidRPr="000F5B8B" w:rsidRDefault="006B1E66">
      <w:pPr>
        <w:spacing w:line="360" w:lineRule="auto"/>
        <w:rPr>
          <w:lang w:val="pt-BR"/>
        </w:rPr>
      </w:pPr>
    </w:p>
    <w:p w14:paraId="0FEEAFEF" w14:textId="77777777" w:rsidR="006B1E66" w:rsidRPr="000F5B8B" w:rsidRDefault="00000000">
      <w:pPr>
        <w:ind w:left="4536"/>
        <w:rPr>
          <w:lang w:val="pt-BR"/>
        </w:rPr>
      </w:pPr>
      <w:r>
        <w:rPr>
          <w:lang w:val="pt-BR"/>
        </w:rPr>
        <w:t>Orientador: Prof. Marco Gomes</w:t>
      </w:r>
    </w:p>
    <w:p w14:paraId="52E00D8F" w14:textId="77777777" w:rsidR="006B1E66" w:rsidRPr="000F5B8B" w:rsidRDefault="006B1E66">
      <w:pPr>
        <w:spacing w:line="360" w:lineRule="auto"/>
        <w:rPr>
          <w:lang w:val="pt-BR"/>
        </w:rPr>
      </w:pPr>
    </w:p>
    <w:p w14:paraId="78750774" w14:textId="77777777" w:rsidR="006B1E66" w:rsidRPr="000F5B8B" w:rsidRDefault="006B1E66">
      <w:pPr>
        <w:spacing w:line="360" w:lineRule="auto"/>
        <w:rPr>
          <w:lang w:val="pt-BR"/>
        </w:rPr>
      </w:pPr>
    </w:p>
    <w:p w14:paraId="3CABEB8C" w14:textId="77777777" w:rsidR="006B1E66" w:rsidRPr="000F5B8B" w:rsidRDefault="006B1E66">
      <w:pPr>
        <w:spacing w:line="360" w:lineRule="auto"/>
        <w:rPr>
          <w:lang w:val="pt-BR"/>
        </w:rPr>
      </w:pPr>
    </w:p>
    <w:p w14:paraId="2A781DD2" w14:textId="77777777" w:rsidR="006B1E66" w:rsidRPr="000F5B8B" w:rsidRDefault="006B1E66">
      <w:pPr>
        <w:spacing w:line="360" w:lineRule="auto"/>
        <w:rPr>
          <w:lang w:val="pt-BR"/>
        </w:rPr>
      </w:pPr>
    </w:p>
    <w:p w14:paraId="5D1CD176" w14:textId="77777777" w:rsidR="006B1E66" w:rsidRPr="000F5B8B" w:rsidRDefault="006B1E66">
      <w:pPr>
        <w:spacing w:line="360" w:lineRule="auto"/>
        <w:rPr>
          <w:lang w:val="pt-BR"/>
        </w:rPr>
      </w:pPr>
    </w:p>
    <w:p w14:paraId="359C8358" w14:textId="77777777" w:rsidR="006B1E66" w:rsidRPr="000F5B8B" w:rsidRDefault="006B1E66">
      <w:pPr>
        <w:spacing w:line="360" w:lineRule="auto"/>
        <w:rPr>
          <w:lang w:val="pt-BR"/>
        </w:rPr>
      </w:pPr>
    </w:p>
    <w:p w14:paraId="50679AE3" w14:textId="77777777" w:rsidR="006B1E66" w:rsidRPr="000F5B8B" w:rsidRDefault="006B1E66">
      <w:pPr>
        <w:spacing w:line="360" w:lineRule="auto"/>
        <w:rPr>
          <w:lang w:val="pt-BR"/>
        </w:rPr>
      </w:pPr>
    </w:p>
    <w:p w14:paraId="31ADE117" w14:textId="77777777" w:rsidR="006B1E66" w:rsidRPr="000F5B8B" w:rsidRDefault="006B1E66">
      <w:pPr>
        <w:spacing w:line="360" w:lineRule="auto"/>
        <w:rPr>
          <w:lang w:val="pt-BR"/>
        </w:rPr>
      </w:pPr>
    </w:p>
    <w:p w14:paraId="76A0F509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lang w:val="pt-BR"/>
        </w:rPr>
        <w:t>SÃO PAULO</w:t>
      </w:r>
    </w:p>
    <w:p w14:paraId="17E557A1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>
        <w:rPr>
          <w:lang w:val="pt-BR"/>
        </w:rPr>
        <w:t>2026</w:t>
      </w:r>
    </w:p>
    <w:p w14:paraId="545F6A9E" w14:textId="77777777" w:rsidR="006B1E66" w:rsidRDefault="00000000">
      <w:pPr>
        <w:rPr>
          <w:lang w:val="pt-BR"/>
        </w:rPr>
      </w:pPr>
      <w:r>
        <w:rPr>
          <w:lang w:val="pt-BR"/>
        </w:rPr>
        <w:br w:type="page"/>
      </w:r>
    </w:p>
    <w:p w14:paraId="0155AD1E" w14:textId="2E0F5169" w:rsidR="000F5B8B" w:rsidRPr="000F5B8B" w:rsidRDefault="000F5B8B" w:rsidP="000F5B8B">
      <w:pPr>
        <w:jc w:val="center"/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SUMÁRIO</w:t>
      </w:r>
    </w:p>
    <w:p w14:paraId="1A21B3BF" w14:textId="77777777" w:rsidR="006B1E66" w:rsidRDefault="006B1E66">
      <w:pPr>
        <w:rPr>
          <w:lang w:val="pt-BR"/>
        </w:rPr>
      </w:pPr>
    </w:p>
    <w:sdt>
      <w:sdtPr>
        <w:rPr>
          <w:rFonts w:ascii="Arial" w:eastAsia="Arial" w:hAnsi="Arial" w:cs="Arial"/>
          <w:color w:val="000000"/>
          <w:sz w:val="24"/>
          <w:szCs w:val="24"/>
        </w:rPr>
        <w:id w:val="-1132181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>
          <w:pPr>
            <w:pStyle w:val="TOCHeading"/>
          </w:pPr>
        </w:p>
        <w:p>
          <w:pPr>
            <w:pStyle w:val="TOC1"/>
            <w:tabs>
              <w:tab w:val="right" w:leader="dot" w:pos="9061"/>
            </w:tabs>
            <w:rPr>
              <w:noProof/>
              <w:lang w:val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noProof/>
              <w:lang w:val="pt-BR"/>
            </w:rPr>
            <w:t xml:space="preserve">1 TEMA DO PROJETO</w:t>
          </w:r>
          <w:r>
            <w:rPr>
              <w:noProof/>
              <w:lang w:val="pt-BR"/>
            </w:rPr>
            <w:tab/>
            <w:t>6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1.1 Cidades inteligentes</w:t>
          </w:r>
          <w:r>
            <w:rPr>
              <w:noProof/>
              <w:lang w:val="pt-BR"/>
            </w:rPr>
            <w:tab/>
            <w:t>6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1.2 Internet das Coisas</w:t>
          </w:r>
          <w:r>
            <w:rPr>
              <w:noProof/>
              <w:lang w:val="pt-BR"/>
            </w:rPr>
            <w:tab/>
            <w:t>7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1.3 Inteligência artificial aplicada à decisão</w:t>
          </w:r>
          <w:r>
            <w:rPr>
              <w:noProof/>
              <w:lang w:val="pt-BR"/>
            </w:rPr>
            <w:tab/>
            <w:t>7</w:t>
          </w:r>
        </w:p>
        <w:p>
          <w:pPr>
            <w:pStyle w:val="TOC1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2 DEFINIÇÃO DO TEMA</w:t>
          </w:r>
          <w:r>
            <w:rPr>
              <w:noProof/>
              <w:lang w:val="pt-BR"/>
            </w:rPr>
            <w:tab/>
            <w:t>8</w:t>
          </w:r>
        </w:p>
        <w:p>
          <w:pPr>
            <w:pStyle w:val="TOC1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3 PROBLEMA DE PESQUISA</w:t>
          </w:r>
          <w:r>
            <w:rPr>
              <w:noProof/>
              <w:lang w:val="pt-BR"/>
            </w:rPr>
            <w:tab/>
            <w:t>9</w:t>
          </w:r>
        </w:p>
        <w:p>
          <w:pPr>
            <w:pStyle w:val="TOC1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4 OBJETIVOS</w:t>
          </w:r>
          <w:r>
            <w:rPr>
              <w:noProof/>
              <w:lang w:val="pt-BR"/>
            </w:rPr>
            <w:tab/>
            <w:t>11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4.1 Objetivo geral</w:t>
          </w:r>
          <w:r>
            <w:rPr>
              <w:noProof/>
              <w:lang w:val="pt-BR"/>
            </w:rPr>
            <w:tab/>
            <w:t>11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4.2 Objetivos específicos</w:t>
          </w:r>
          <w:r>
            <w:rPr>
              <w:noProof/>
              <w:lang w:val="pt-BR"/>
            </w:rPr>
            <w:tab/>
            <w:t>11</w:t>
          </w:r>
        </w:p>
        <w:p>
          <w:pPr>
            <w:pStyle w:val="TOC1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5 JUSTIFICATIVA</w:t>
          </w:r>
          <w:r>
            <w:rPr>
              <w:noProof/>
              <w:lang w:val="pt-BR"/>
            </w:rPr>
            <w:tab/>
            <w:t>13</w:t>
          </w:r>
        </w:p>
        <w:p>
          <w:pPr>
            <w:pStyle w:val="TOC1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6 REVISÃO BIBLIOGRÁFICA</w:t>
          </w:r>
          <w:r>
            <w:rPr>
              <w:noProof/>
              <w:lang w:val="pt-BR"/>
            </w:rPr>
            <w:tab/>
            <w:t>15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6.1 Metodologia de seleção das fontes</w:t>
          </w:r>
          <w:r>
            <w:rPr>
              <w:noProof/>
              <w:lang w:val="pt-BR"/>
            </w:rPr>
            <w:tab/>
            <w:t>15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6.2 Infraestrutura instalada e integração ausente: um padrão documentado</w:t>
          </w:r>
          <w:r>
            <w:rPr>
              <w:noProof/>
              <w:lang w:val="pt-BR"/>
            </w:rPr>
            <w:tab/>
            <w:t>16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6.3 A infraestrutura instalada no município de São Paulo</w:t>
          </w:r>
          <w:r>
            <w:rPr>
              <w:noProof/>
              <w:lang w:val="pt-BR"/>
            </w:rPr>
            <w:tab/>
            <w:t>18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6.4 Internet das Coisas e nós embarcados</w:t>
          </w:r>
          <w:r>
            <w:rPr>
              <w:noProof/>
              <w:lang w:val="pt-BR"/>
            </w:rPr>
            <w:tab/>
            <w:t>21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6.5 Requisitos normativos</w:t>
          </w:r>
          <w:r>
            <w:rPr>
              <w:noProof/>
              <w:lang w:val="pt-BR"/>
            </w:rPr>
            <w:tab/>
            <w:t>22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6.6 Decisão sob informação imprecisa e a escolha de um modelo interpretável</w:t>
          </w:r>
          <w:r>
            <w:rPr>
              <w:noProof/>
              <w:lang w:val="pt-BR"/>
            </w:rPr>
            <w:tab/>
            <w:t>23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6.7 Previsão de curto prazo da demanda</w:t>
          </w:r>
          <w:r>
            <w:rPr>
              <w:noProof/>
              <w:lang w:val="pt-BR"/>
            </w:rPr>
            <w:tab/>
            <w:t>24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6.8 Trabalhos correlatos e o trabalho mais próximo</w:t>
          </w:r>
          <w:r>
            <w:rPr>
              <w:noProof/>
              <w:lang w:val="pt-BR"/>
            </w:rPr>
            <w:tab/>
            <w:t>25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6.9 Lacuna identificada</w:t>
          </w:r>
          <w:r>
            <w:rPr>
              <w:noProof/>
              <w:lang w:val="pt-BR"/>
            </w:rPr>
            <w:tab/>
            <w:t>27</w:t>
          </w:r>
        </w:p>
        <w:p>
          <w:pPr>
            <w:pStyle w:val="TOC1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 METODOLOGIA</w:t>
          </w:r>
          <w:r>
            <w:rPr>
              <w:noProof/>
              <w:lang w:val="pt-BR"/>
            </w:rPr>
            <w:tab/>
            <w:t>29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7.1 Classificação da pesquisa</w:t>
          </w:r>
          <w:r>
            <w:rPr>
              <w:noProof/>
              <w:lang w:val="pt-BR"/>
            </w:rPr>
            <w:tab/>
            <w:t>29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7.2 Arquitetura do sistema</w:t>
          </w:r>
          <w:r>
            <w:rPr>
              <w:noProof/>
              <w:lang w:val="pt-BR"/>
            </w:rPr>
            <w:tab/>
            <w:t>29</w:t>
          </w:r>
        </w:p>
        <w:p>
          <w:pPr>
            <w:pStyle w:val="TOC3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7.2.1 Implantação em nuvem</w:t>
          </w:r>
          <w:r>
            <w:rPr>
              <w:noProof/>
              <w:lang w:val="pt-BR"/>
            </w:rPr>
            <w:tab/>
            <w:t>31</w:t>
          </w:r>
        </w:p>
        <w:p>
          <w:pPr>
            <w:pStyle w:val="TOC3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7.2.2 Persistência e arquitetura de dados</w:t>
          </w:r>
          <w:r>
            <w:rPr>
              <w:noProof/>
              <w:lang w:val="pt-BR"/>
            </w:rPr>
            <w:tab/>
            <w:t>32</w:t>
          </w:r>
        </w:p>
        <w:p>
          <w:pPr>
            <w:pStyle w:val="TOC3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7.2.3 Correspondência com o sistema de telegestão contratado</w:t>
          </w:r>
          <w:r>
            <w:rPr>
              <w:noProof/>
              <w:lang w:val="pt-BR"/>
            </w:rPr>
            <w:tab/>
            <w:t>34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7.3 O nó de demonstração</w:t>
          </w:r>
          <w:r>
            <w:rPr>
              <w:noProof/>
              <w:lang w:val="pt-BR"/>
            </w:rPr>
            <w:tab/>
            <w:t>35</w:t>
          </w:r>
        </w:p>
        <w:p>
          <w:pPr>
            <w:pStyle w:val="TOC3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7.3.1 Critérios de seleção e alternativas preteridas</w:t>
          </w:r>
          <w:r>
            <w:rPr>
              <w:noProof/>
              <w:lang w:val="pt-BR"/>
            </w:rPr>
            <w:tab/>
            <w:t>36</w:t>
          </w:r>
        </w:p>
        <w:p>
          <w:pPr>
            <w:pStyle w:val="TOC3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7.3.2 Dimensionamento fotométrico da bancada</w:t>
          </w:r>
          <w:r>
            <w:rPr>
              <w:noProof/>
              <w:lang w:val="pt-BR"/>
            </w:rPr>
            <w:tab/>
            <w:t>39</w:t>
          </w:r>
        </w:p>
        <w:p>
          <w:pPr>
            <w:pStyle w:val="TOC3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7.3.3 Controle das condições de medição</w:t>
          </w:r>
          <w:r>
            <w:rPr>
              <w:noProof/>
              <w:lang w:val="pt-BR"/>
            </w:rPr>
            <w:tab/>
            <w:t>41</w:t>
          </w:r>
        </w:p>
        <w:p>
          <w:pPr>
            <w:pStyle w:val="TOC3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7.3.4 Verificação da medição e incerteza declarada</w:t>
          </w:r>
          <w:r>
            <w:rPr>
              <w:noProof/>
              <w:lang w:val="pt-BR"/>
            </w:rPr>
            <w:tab/>
            <w:t>42</w:t>
          </w:r>
        </w:p>
        <w:p>
          <w:pPr>
            <w:pStyle w:val="TOC3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7.3.5 Funções de diagnóstico do ponto de luz</w:t>
          </w:r>
          <w:r>
            <w:rPr>
              <w:noProof/>
              <w:lang w:val="pt-BR"/>
            </w:rPr>
            <w:tab/>
            <w:t>43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7.4 Dados urbanos e construção dos cenários</w:t>
          </w:r>
          <w:r>
            <w:rPr>
              <w:noProof/>
              <w:lang w:val="pt-BR"/>
            </w:rPr>
            <w:tab/>
            <w:t>44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7.5 Camada de previsão</w:t>
          </w:r>
          <w:r>
            <w:rPr>
              <w:noProof/>
              <w:lang w:val="pt-BR"/>
            </w:rPr>
            <w:tab/>
            <w:t>45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7.6 Mecanismo de decisão</w:t>
          </w:r>
          <w:r>
            <w:rPr>
              <w:noProof/>
              <w:lang w:val="pt-BR"/>
            </w:rPr>
            <w:tab/>
            <w:t>46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7.7 Classe de iluminação adotada</w:t>
          </w:r>
          <w:r>
            <w:rPr>
              <w:noProof/>
              <w:lang w:val="pt-BR"/>
            </w:rPr>
            <w:tab/>
            <w:t>49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7.8 Procedimentos e avaliação</w:t>
          </w:r>
          <w:r>
            <w:rPr>
              <w:noProof/>
              <w:lang w:val="pt-BR"/>
            </w:rPr>
            <w:tab/>
            <w:t>50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7.9 Tratamento de dados pessoais</w:t>
          </w:r>
          <w:r>
            <w:rPr>
              <w:noProof/>
              <w:lang w:val="pt-BR"/>
            </w:rPr>
            <w:tab/>
            <w:t>51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7.10 Estimativa de consumo e linhas de base de comparação</w:t>
          </w:r>
          <w:r>
            <w:rPr>
              <w:noProof/>
              <w:lang w:val="pt-BR"/>
            </w:rPr>
            <w:tab/>
            <w:t>53</w:t>
          </w:r>
        </w:p>
        <w:p>
          <w:pPr>
            <w:pStyle w:val="TOC1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8 DOCUMENTAÇÃO TÉCNICA DA ARQUITETURA</w:t>
          </w:r>
          <w:r>
            <w:rPr>
              <w:noProof/>
              <w:lang w:val="pt-BR"/>
            </w:rPr>
            <w:tab/>
            <w:t>55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8.1 Visão geral e decisões de arquitetura</w:t>
          </w:r>
          <w:r>
            <w:rPr>
              <w:noProof/>
              <w:lang w:val="pt-BR"/>
            </w:rPr>
            <w:tab/>
            <w:t>55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8.2 Requisitos funcionais</w:t>
          </w:r>
          <w:r>
            <w:rPr>
              <w:noProof/>
              <w:lang w:val="pt-BR"/>
            </w:rPr>
            <w:tab/>
            <w:t>58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8.3 Requisitos não funcionais</w:t>
          </w:r>
          <w:r>
            <w:rPr>
              <w:noProof/>
              <w:lang w:val="pt-BR"/>
            </w:rPr>
            <w:tab/>
            <w:t>59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8.4 Contratos das interfaces</w:t>
          </w:r>
          <w:r>
            <w:rPr>
              <w:noProof/>
              <w:lang w:val="pt-BR"/>
            </w:rPr>
            <w:tab/>
            <w:t>60</w:t>
          </w:r>
        </w:p>
        <w:p>
          <w:pPr>
            <w:pStyle w:val="TOC2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8.5 Modelo de dados</w:t>
          </w:r>
          <w:r>
            <w:rPr>
              <w:noProof/>
              <w:lang w:val="pt-BR"/>
            </w:rPr>
            <w:tab/>
            <w:t>61</w:t>
          </w:r>
        </w:p>
        <w:p>
          <w:pPr>
            <w:pStyle w:val="TOC1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9 RESULTADOS ESPERADOS</w:t>
          </w:r>
          <w:r>
            <w:rPr>
              <w:noProof/>
              <w:lang w:val="pt-BR"/>
            </w:rPr>
            <w:tab/>
            <w:t>64</w:t>
          </w:r>
        </w:p>
        <w:p>
          <w:pPr>
            <w:pStyle w:val="TOC1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10 LIMITAÇÕES DO TRABALHO</w:t>
          </w:r>
          <w:r>
            <w:rPr>
              <w:noProof/>
              <w:lang w:val="pt-BR"/>
            </w:rPr>
            <w:tab/>
            <w:t>66</w:t>
          </w:r>
        </w:p>
        <w:p>
          <w:pPr>
            <w:pStyle w:val="TOC1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11 REFERÊNCIAS BIBLIOGRÁFICAS</w:t>
          </w:r>
          <w:r>
            <w:rPr>
              <w:noProof/>
              <w:lang w:val="pt-BR"/>
            </w:rPr>
            <w:tab/>
            <w:t>69</w:t>
          </w:r>
        </w:p>
        <w:p>
          <w:pPr>
            <w:pStyle w:val="TOC1"/>
            <w:tabs>
              <w:tab w:val="right" w:leader="dot" w:pos="9061"/>
            </w:tabs>
            <w:rPr>
              <w:noProof/>
              <w:lang w:val="pt-BR"/>
            </w:rPr>
          </w:pPr>
          <w:r>
            <w:rPr>
              <w:noProof/>
              <w:lang w:val="pt-BR"/>
            </w:rPr>
            <w:t xml:space="preserve">APÊNDICE A — DECLARAÇÃO DE USO DE FERRAMENTAS DE INTELIGÊNCIA ARTIFICIAL GENERATIVA</w:t>
          </w:r>
          <w:r>
            <w:rPr>
              <w:noProof/>
              <w:lang w:val="pt-BR"/>
            </w:rPr>
            <w:tab/>
            <w:t>73</w:t>
          </w:r>
        </w:p>
        <w:p>
          <w:r>
            <w:fldChar w:fldCharType="end"/>
          </w:r>
        </w:p>
      </w:sdtContent>
    </w:sdt>
    <w:p>
      <w:pPr>
        <w:rPr>
          <w:lang w:val="pt-BR"/>
        </w:rPr>
      </w:pPr>
      <w:r>
        <w:br w:type="page"/>
      </w:r>
    </w:p>
    <w:p>
      <w:pPr>
        <w:spacing w:after="480"/>
        <w:jc w:val="center"/>
        <w:rPr>
          <w:b/>
          <w:bCs/>
          <w:lang w:val="pt-BR"/>
        </w:rPr>
      </w:pPr>
      <w:r>
        <w:rPr>
          <w:b/>
          <w:bCs/>
          <w:lang w:val="pt-BR"/>
        </w:rPr>
        <w:t>LISTA DE QUADROS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1 – Infraestrutura urbana instalada no município de São Paulo</w:t>
        <w:tab/>
        <w:t>18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2 – Entidades do banco de dados e sua função no sistema</w:t>
        <w:tab/>
        <w:t>33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3 – Correspondência entre o arranjo de bancada e o sistema de telegestão contratado</w:t>
        <w:tab/>
        <w:t>34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4 – Elementos do nó de demonstração</w:t>
        <w:tab/>
        <w:t>35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5 – Alternativas consideradas e razão da escolha</w:t>
        <w:tab/>
        <w:t>37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6 – Dimensionamento da bancada e correspondência com a norma</w:t>
        <w:tab/>
        <w:t>41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7 – Variáveis de entrada do sistema de decisão</w:t>
        <w:tab/>
        <w:t>47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8 – Requisitos das classes de iluminação P pertinentes ao cenário adotado</w:t>
        <w:tab/>
        <w:t>50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9 – Decisões de arquitetura</w:t>
        <w:tab/>
        <w:t>57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10 – Componentes, tecnologias adotadas e responsabilidades</w:t>
        <w:tab/>
        <w:t>57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11 – Requisitos funcionais</w:t>
        <w:tab/>
        <w:t>58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12 – Requisitos não funcionais</w:t>
        <w:tab/>
        <w:t>59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13 – Interfaces de comunicação</w:t>
        <w:tab/>
        <w:t>61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Quadro 14 – Matriz de emprego técnico de inteligência artificial</w:t>
        <w:tab/>
        <w:t>74</w:t>
      </w:r>
    </w:p>
    <w:p>
      <w:pPr>
        <w:rPr>
          <w:lang w:val="pt-BR"/>
        </w:rPr>
      </w:pPr>
      <w:r>
        <w:rPr>
          <w:lang w:val="pt-BR"/>
        </w:rPr>
        <w:br w:type="page"/>
      </w:r>
    </w:p>
    <w:p>
      <w:pPr>
        <w:spacing w:after="480"/>
        <w:jc w:val="center"/>
        <w:rPr>
          <w:b/>
          <w:bCs/>
          <w:lang w:val="pt-BR"/>
        </w:rPr>
      </w:pPr>
      <w:r>
        <w:rPr>
          <w:b/>
          <w:bCs/>
          <w:lang w:val="pt-BR"/>
        </w:rPr>
        <w:t>LISTA DE FIGURAS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Figura 1 – Arquitetura do sistema</w:t>
        <w:tab/>
        <w:t>56</w:t>
      </w:r>
    </w:p>
    <w:p>
      <w:pPr>
        <w:tabs>
          <w:tab w:val="right" w:leader="dot" w:pos="9071"/>
        </w:tabs>
        <w:spacing w:after="100" w:line="240" w:lineRule="auto"/>
        <w:rPr>
          <w:lang w:val="pt-BR"/>
        </w:rPr>
      </w:pPr>
      <w:r>
        <w:rPr>
          <w:lang w:val="pt-BR"/>
        </w:rPr>
        <w:t xml:space="preserve">Figura 2 – Diagrama entidade-relacionamento do banco de dados</w:t>
        <w:tab/>
        <w:t>62</w:t>
      </w:r>
    </w:p>
    <w:p w14:paraId="6B8A12E7" w14:textId="77777777" w:rsidR="000F5B8B" w:rsidRPr="000F5B8B" w:rsidRDefault="000F5B8B">
      <w:pPr>
        <w:rPr>
          <w:lang w:val="pt-BR"/>
        </w:rPr>
        <w:sectPr w:rsidR="000F5B8B" w:rsidRPr="000F5B8B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B040A27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0" w:name="_Toc240223120"/>
      <w:r>
        <w:rPr>
          <w:lang w:val="pt-BR"/>
        </w:rPr>
        <w:lastRenderedPageBreak/>
        <w:t>1 TEMA DO PROJETO</w:t>
      </w:r>
      <w:bookmarkEnd w:id="0"/>
    </w:p>
    <w:p w14:paraId="550632B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trabalho insere-se no domínio das Cidades Inteligentes, com emprego articulado de Internet das Coisas e Inteligência Artificial. O tema específico é o controle dinâmico da iluminação pública a partir de dados urbanos que o município de São Paulo já produz.</w:t>
      </w:r>
    </w:p>
    <w:p w14:paraId="69D55BD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proposta parte de uma constatação factual sobre a cidade. São Paulo dispõe hoje das duas pontas necessárias a um sistema de iluminação responsiva: de um lado, uma plataforma de videomonitoramento com dezenas de milhares de câmeras e detecção automática de eventos; de outro, um parque de iluminação de mais de seiscentos mil pontos, quase integralmente convertido para tecnologia de estado sólido e sob concessão que obriga a instalação de telegestão em cada luminária, com controle remoto de intensidade. O que não existe é a ligação entre as duas coisas.</w:t>
      </w:r>
    </w:p>
    <w:p w14:paraId="393054F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trabalho constrói e demonstra essa ligação. Um serviço em nuvem recebe dados do ambiente urbano por interface que emula a integração com a plataforma municipal, submete-os a análise por inteligência artificial, decide o nível de iluminação adequado e comanda um nó físico, que ajusta a intensidade da luminária. Um sensor de iluminância no nó devolve, em tempo real, o valor efetivamente entregue, de modo que a plateia da defesa acompanhe simultaneamente o dado que entrou, a decisão tomada e a luz que saiu.</w:t>
      </w:r>
    </w:p>
    <w:p w14:paraId="0E39559D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" w:name="_Toc240223121"/>
      <w:r>
        <w:rPr>
          <w:lang w:val="pt-BR"/>
        </w:rPr>
        <w:t>1.1 Cidades inteligentes</w:t>
      </w:r>
      <w:bookmarkEnd w:id="1"/>
    </w:p>
    <w:p w14:paraId="48962A7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Cidade inteligente designa o emprego de tecnologias da informação e comunicação para elevar a eficiência dos serviços públicos, a sustentabilidade ambiental e a qualidade de vida da população. Suas características principais são o sensoriamento e a análise de dados em escala urbana, a sustentabilidade ambiental, a mobilidade eficiente, a governança participativa e a economia inovadora.</w:t>
      </w:r>
    </w:p>
    <w:p w14:paraId="43E9286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estágio atual dessas iniciativas em São Paulo tem um traço que interessa diretamente a este trabalho: a instrumentação da cidade deixou de ser proposta e passou a ser infraestrutura instalada e contratada. Não se trata, portanto, de propor que a cidade passe a coletar dados ou a controlar remotamente suas luminárias — ambas as coisas já estão em curso. Trata-se de propor um uso para o que já existe.</w:t>
      </w:r>
    </w:p>
    <w:p w14:paraId="62BF97DC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" w:name="_Toc240223122"/>
      <w:r>
        <w:rPr>
          <w:lang w:val="pt-BR"/>
        </w:rPr>
        <w:lastRenderedPageBreak/>
        <w:t>1.2 Internet das Coisas</w:t>
      </w:r>
      <w:bookmarkEnd w:id="2"/>
    </w:p>
    <w:p w14:paraId="6B31C5B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Internet das Coisas designa a interconexão de dispositivos dotados de sensoriamento, processamento e comunicação. Sua arquitetura é descrita em camadas — percepção, rede e aplicação —, conforme sistematizado por Lin et al. (2017).</w:t>
      </w:r>
    </w:p>
    <w:p w14:paraId="6F7ABB7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Neste trabalho, a Internet das Coisas responde pela camada física: é o nó que recebe a decisão produzida na nuvem, ajusta a luminária ao nível determinado e devolve a iluminância medida. Essa telemetria de retorno não é acessório. É ela que converte a decisão, que é abstrata, em grandeza observável — e, portanto, verificável.</w:t>
      </w:r>
    </w:p>
    <w:p w14:paraId="5275E6A5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" w:name="_Toc240223123"/>
      <w:r>
        <w:rPr>
          <w:lang w:val="pt-BR"/>
        </w:rPr>
        <w:t>1.3 Inteligência artificial aplicada à decisão</w:t>
      </w:r>
      <w:bookmarkEnd w:id="3"/>
    </w:p>
    <w:p w14:paraId="101E26E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inteligência artificial comparece na função de decidir sob informação imprecisa. As variáveis que descrevem o ambiente urbano não chegam como valores exatos aos quais corresponda uma regra única: chegam como grandezas parcialmente verdadeiras e frequentemente simultâneas. Movimentação moderada com ocorrência reportada nas proximidades; chuva com via vazia; horário avançado com fluxo intenso. Decidir o nível de iluminação a partir disso é raciocínio aproximado, não consulta a tabela.</w:t>
      </w:r>
    </w:p>
    <w:p w14:paraId="6FC63E8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Adota-se sistema de inferência nebulosa, cuja formulação matemática remonta a Zadeh (1965) e cuja aplicação a controle foi estabelecida por Mamdani e Assilian (1975). É técnica consolidada de inteligência artificial, adequada a situações em que o conhecimento do domínio existe em forma linguística e as fronteiras entre as condições são graduais.</w:t>
      </w:r>
    </w:p>
    <w:p w14:paraId="2359DB7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decisão combina dois componentes de naturezas distintas. Um modelo de aprendizado supervisionado estima a movimentação esperada na próxima janela de operação, grandeza observável e verificável contra o que de fato ocorreu; a inferência nebulosa converte essa estimativa, somada às demais condições reportadas, no nível de iluminação pretendido. A distinção importa e é declarada desde já: o aprendizado incide sobre um fenômeno mensurável, e não sobre o julgamento de qual seria o nível correto de iluminação — julgamento que não dispõe de referência externa e cuja rotulação pelos próprios autores tornaria a avaliação circular.</w:t>
      </w:r>
    </w:p>
    <w:p w14:paraId="4945725F" w14:textId="77777777" w:rsidR="006B1E66" w:rsidRPr="000F5B8B" w:rsidRDefault="00000000">
      <w:pPr>
        <w:pStyle w:val="Heading1"/>
        <w:pageBreakBefore/>
        <w:spacing w:before="480" w:after="280" w:line="360" w:lineRule="auto"/>
        <w:rPr>
          <w:lang w:val="pt-BR"/>
        </w:rPr>
      </w:pPr>
      <w:bookmarkStart w:id="4" w:name="_Toc240223124"/>
      <w:r>
        <w:rPr>
          <w:lang w:val="pt-BR"/>
        </w:rPr>
        <w:t>2 DEFINIÇÃO DO TEMA</w:t>
      </w:r>
      <w:bookmarkEnd w:id="4"/>
    </w:p>
    <w:p w14:paraId="08416FF2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lastRenderedPageBreak/>
        <w:t>O tema definido é a especificação, construção e avaliação de uma camada de decisão que converte dados do ambiente urbano em comando de intensidade para a iluminação pública, demonstrada em um nó físico e situada na infraestrutura efetivamente instalada no município de São Paulo.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Três afirmações delimitam o que o trabalho sustenta, e convém enunciá-las de uma vez, antes das delimitações que as qualificam. A primeira é de possibilidade: a integração entre a plataforma municipal de monitoramento urbano e o sistema de telegestão da iluminação pública é tecnicamente realizável sobre a infraestrutura já contratada pelo município, sem aquisição de equipamento, porque a capacidade de observar e a de comandar já existem e estão especificadas em contrato. A segunda é de benefício: essa integração converte uma capacidade de observação já custeada em serviço de iluminação aderente à condição observada na via, com consumo proporcional a essa condição e com diagnóstico do próprio ponto de luz, funções que o regime atual, praticamente invariante, não exerce. A terceira é de segurança: o comportamento adaptativo resultante é auditável decisão a decisão e não pode transgredir os limites da ABNT NBR 5101, porque a verificação normativa é interposta entre a decisão e a atuação e não depende do componente que aprende.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O trabalho especifica essa integração, constrói a camada de decisão que a realiza e a demonstra em nó físico, sobre interface equivalente à que a plataforma municipal precisaria publicar. As três afirmações são retomadas, respectivamente, em 6.3, em 7.10 e em 7.6, e a delimitação que segue vale para todas elas.</w:t>
      </w:r>
    </w:p>
    <w:p w14:paraId="43F2A3D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Delimita-se o tema a um nó único, em bancada, alimentado por interface que emula a plataforma municipal. Não se contempla integração efetiva com o Smart Sampa ou com o sistema de telegestão da concessionária, controle coordenado de múltiplas luminárias, nem operação em via pública.</w:t>
      </w:r>
    </w:p>
    <w:p w14:paraId="4E834F35" w14:textId="77777777" w:rsidR="006B1E66" w:rsidRPr="000F5B8B" w:rsidRDefault="00000000">
      <w:pPr>
        <w:pStyle w:val="Heading1"/>
        <w:pageBreakBefore/>
        <w:spacing w:before="480" w:after="280" w:line="360" w:lineRule="auto"/>
        <w:rPr>
          <w:lang w:val="pt-BR"/>
        </w:rPr>
      </w:pPr>
      <w:bookmarkStart w:id="5" w:name="_Toc240223125"/>
      <w:r>
        <w:rPr>
          <w:lang w:val="pt-BR"/>
        </w:rPr>
        <w:t>3 PROBLEMA DE PESQUISA</w:t>
      </w:r>
      <w:bookmarkEnd w:id="5"/>
    </w:p>
    <w:p w14:paraId="1E828CA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iluminação pública não se adapta adequadamente às variações das condições e da movimentação urbana, podendo oferecer iluminação insuficiente em </w:t>
        <w:lastRenderedPageBreak/>
        <w:t>situações de maior demanda ou iluminação desnecessariamente elevada em situações de menor demanda.</w:t>
      </w:r>
    </w:p>
    <w:p w14:paraId="1159D74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Existem sistemas capazes de coletar e analisar informações sobre o ambiente urbano. O problema investigado neste trabalho é como utilizar essas informações para tornar a iluminação pública mais responsiva às condições observadas.</w:t>
      </w:r>
    </w:p>
    <w:p w14:paraId="3EA5848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problema é de integração e de decisão, não de sensoriamento nem de atuação. Em São Paulo, ambas já existem e estão documentadas na subseção 6.3: a plataforma Smart Sampa produz alertas automáticos de evento a partir de dezenas de milhares de câmeras, e a concessão de iluminação pública obriga a instalação de dispositivo de telegestão em cada uma das mais de seiscentas mil luminárias, com informação e controle de intensidade em tempo real. A informação é produzida em um sistema e a capacidade de agir sobre a luz existe em outro, e nada liga os dois.</w:t>
      </w:r>
    </w:p>
    <w:p w14:paraId="6ED93967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Converter descrição do ambiente em comando de iluminação exige estabelecer quais variáveis são pertinentes, como se combinam quando apontam em direções distintas, e como se garante que a decisão jamais transgrida os limites de segurança fixados pela normalização técnica.</w:t>
      </w:r>
    </w:p>
    <w:p w14:paraId="1E7C1DE1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Formula-se, assim, o seguinte problema de pesquisa:</w:t>
      </w:r>
    </w:p>
    <w:p w14:paraId="1A930527" w14:textId="77777777" w:rsidR="006B1E66" w:rsidRPr="000F5B8B" w:rsidRDefault="00000000">
      <w:pPr>
        <w:spacing w:before="120" w:after="360"/>
        <w:ind w:left="1134" w:right="567"/>
        <w:jc w:val="both"/>
        <w:rPr>
          <w:lang w:val="pt-BR"/>
        </w:rPr>
      </w:pPr>
      <w:r>
        <w:rPr>
          <w:sz w:val="20"/>
          <w:szCs w:val="20"/>
          <w:lang w:val="pt-BR"/>
        </w:rPr>
        <w:t>Como utilizar dados urbanos e Inteligência Artificial para determinar dinamicamente o nível adequado de iluminação pública de acordo com as condições do ambiente?</w:t>
      </w:r>
    </w:p>
    <w:p w14:paraId="1539566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Três hipóteses orientam a investigação. A primeira é que um sistema de inferência nebulosa operando sobre variáveis do ambiente urbano produz decisões de nível luminoso consistentes com as condições observadas, sem recorrer a estimativa de estado futuro. A segunda é que a interposição de uma camada de verificação normativa entre a inferência e a atuação impede, em todas as decisões, a violação dos limites da ABNT NBR 5101 — de modo que adaptabilidade e conformidade não sejam objetivos concorrentes, mas propriedades simultâneas asseguradas por construção. A terceira é que a antecipação da demanda por modelo treinado sobre série histórica permite iniciar a atenuação dentro do limite de taxa fixado pela norma, reduzindo a fração da janela de baixa demanda consumida em transição quando comparada ao acionamento puramente reativo.</w:t>
      </w:r>
    </w:p>
    <w:p w14:paraId="53B56259" w14:textId="77777777" w:rsidR="006B1E66" w:rsidRPr="000F5B8B" w:rsidRDefault="00000000">
      <w:pPr>
        <w:pStyle w:val="Heading1"/>
        <w:pageBreakBefore/>
        <w:spacing w:before="480" w:after="280" w:line="360" w:lineRule="auto"/>
        <w:rPr>
          <w:lang w:val="pt-BR"/>
        </w:rPr>
      </w:pPr>
      <w:bookmarkStart w:id="6" w:name="_Toc240223126"/>
      <w:r>
        <w:rPr>
          <w:lang w:val="pt-BR"/>
        </w:rPr>
        <w:t>4 OBJETIVOS</w:t>
      </w:r>
      <w:bookmarkEnd w:id="6"/>
    </w:p>
    <w:p w14:paraId="708AC67F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7" w:name="_Toc240223127"/>
      <w:r>
        <w:rPr>
          <w:lang w:val="pt-BR"/>
        </w:rPr>
        <w:t>4.1 Objetivo geral</w:t>
      </w:r>
      <w:bookmarkEnd w:id="7"/>
    </w:p>
    <w:p w14:paraId="16EDF1F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lastRenderedPageBreak/>
        <w:t>Demonstrar que dados do ambiente urbano disponíveis no município de São Paulo, submetidos a decisão por inferência artificial, comandam o ajuste da intensidade de um nó de iluminação pública de forma consistente com as condições observadas, dentro de limite de latência especificado, e sem violar em nenhuma decisão os limites estabelecidos pela ABNT NBR 5101.</w:t>
      </w:r>
    </w:p>
    <w:p w14:paraId="416980DA" w14:textId="77777777" w:rsidR="006B1E66" w:rsidRDefault="00000000">
      <w:pPr>
        <w:pStyle w:val="Heading2"/>
        <w:spacing w:before="360" w:after="240" w:line="360" w:lineRule="auto"/>
      </w:pPr>
      <w:bookmarkStart w:id="8" w:name="_Toc240223128"/>
      <w:r>
        <w:t xml:space="preserve">4.2 Objetivos específicos</w:t>
      </w:r>
      <w:bookmarkEnd w:id="8"/>
    </w:p>
    <w:p w14:paraId="07811466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Caracterizar a infraestrutura de monitoramento urbano e de telegestão de iluminação pública instalada no município de São Paulo, identificando que informação é produzida, que capacidade de atuação existe e o que falta para conectá-las.</w:t>
      </w:r>
    </w:p>
    <w:p w14:paraId="7DF8416D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Especificar o conjunto de variáveis do ambiente urbano pertinentes à decisão de iluminação e as faixas em que cada uma opera, a partir de conjuntos de dados públicos municipais.</w:t>
      </w:r>
    </w:p>
    <w:p w14:paraId="37F2F187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Construir a base de regras e as funções de pertinência do sistema de inferência, derivando das prescrições da ABNT NBR 5101 as restrições que operam como limites rígidos.</w:t>
      </w:r>
    </w:p>
    <w:p w14:paraId="7E28967D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Demonstrar que a camada de verificação normativa impede a violação do piso de iluminância da classe adotada, da taxa máxima de variação do fluxo e da vedação à dimerização sob condição meteorológica adversa, em todas as decisões da suíte de cenários.</w:t>
      </w:r>
    </w:p>
    <w:p w14:paraId="7622406E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Determinar a latência do percurso completo, desde a recepção do dado urbano até a alteração mensurada da iluminância no nó.</w:t>
      </w:r>
    </w:p>
    <w:p w14:paraId="1B0EA217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Especificar a interface de integração entre plataforma de monitoramento urbano e sistema de telegestão de iluminação, indicando que informação precisaria ser publicada e em que semântica.</w:t>
      </w:r>
    </w:p>
    <w:p w14:paraId="1B0EA217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Treinar e avaliar um modelo de previsão de curto prazo do nível de movimentação na via, comparando seu erro ao de referências ingênuas de persistência e de média sazonal.</w:t>
      </w:r>
    </w:p>
    <w:p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Demonstrar que a comparação entre o nível comandado e a iluminância medida detecta a falha do ponto de luz e apura a divergência entre o nível decidido e o nível entregue, com tolerância derivada da dispersão do instrumento.</w:t>
      </w:r>
    </w:p>
    <w:p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Estimar o consumo de energia do ponto de luz sob o regime adaptativo, a partir da potência declarada do módulo de luz e da trajetória de ciclo de trabalho registrada, e compará-lo ao do regime de fluxo pleno constante e ao de um regime de atenuação por horário fixo, sobre a mesma suíte de cenários.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construção do protótipo, a implantação da arquitetura em nuvem e o levantamento bibliográfico não figuram entre os objetivos específicos, ainda que sejam necessários à execução. Objetivos específicos correspondem a resultados finais mensuráveis; aquelas atividades são meios, descritos na metodologia.</w:t>
      </w:r>
    </w:p>
    <w:p w14:paraId="42F239C5" w14:textId="77777777" w:rsidR="006B1E66" w:rsidRPr="000F5B8B" w:rsidRDefault="00000000">
      <w:pPr>
        <w:pStyle w:val="Heading1"/>
        <w:pageBreakBefore/>
        <w:spacing w:before="480" w:after="280" w:line="360" w:lineRule="auto"/>
        <w:rPr>
          <w:lang w:val="pt-BR"/>
        </w:rPr>
      </w:pPr>
      <w:bookmarkStart w:id="9" w:name="_Toc240223129"/>
      <w:r>
        <w:rPr>
          <w:lang w:val="pt-BR"/>
        </w:rPr>
        <w:lastRenderedPageBreak/>
        <w:t>5 JUSTIFICATIVA</w:t>
      </w:r>
      <w:bookmarkEnd w:id="9"/>
    </w:p>
    <w:p w14:paraId="619F1BB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relevância do trabalho sustenta-se em cinco eixos.</w:t>
      </w:r>
    </w:p>
    <w:p w14:paraId="2FF85EC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primeiro é de aproveitamento de investimento público. São Paulo contratou, em 2018, a modernização e a operação de seu parque de iluminação por vinte anos, ao valor de R$ 6,9 bilhões, com obrigação de telegestão em cada luminária (SÃO PAULO, 2018a, 2018b). Construiu, a partir de 2023, uma plataforma de videomonitoramento com dezenas de milhares de câmeras e análise automática de eventos. São dois ativos de escala municipal, custeados com recurso público, cujas finalidades declaradas não se comunicam. Propor o uso conjunto deles não demanda novo investimento em infraestrutura: demanda uma camada de software.</w:t>
      </w:r>
    </w:p>
    <w:p w14:paraId="6658E3D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segundo é social. A iluminação viária cumpre função de segurança de tráfego e de percepção de segurança pública. Elevar o nível luminoso diante de condições que o justifiquem — movimentação intensa, ocorrência reportada nas proximidades, precipitação que reduz a visibilidade — atende essa função de modo mais aderente à situação real do que um regime fixo. A própria norma ancora esse raciocínio: ao fixar iluminância vertical mínima para as classes de pedestres, a ABNT NBR 5101 declara que o critério destina-se ao reconhecimento facial e à reação antecipada do pedestre diante de eventual ato de agressão. O nível de iluminação de uma área de circulação é dimensionado pela condição de que uma pessoa seja reconhecível nela.</w:t>
      </w:r>
    </w:p>
    <w:p w14:paraId="7B28958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terceiro é técnico. Decidir sob informação imprecisa é problema legítimo de inteligência artificial e não se resolve por tabela. As variáveis urbanas chegam parcialmente verdadeiras e em conflito, e um mecanismo capaz de compor evidências parciais numa saída única e graduada é condição para que o sistema se comporte de modo previsível nessas situações. É essa composição que o trabalho implementa e avalia.</w:t>
      </w:r>
    </w:p>
    <w:p w14:paraId="5EFC41C4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quarto é normativo. A revisão de 2024 da ABNT NBR 5101 passou a tratar explicitamente a iluminação adaptativa, fixou os critérios sob os quais a atenuação é admissível e recomendou o monitoramento contínuo do tráfego e do meio ambiente para determinar o funcionamento do sistema. O trabalho opera dentro de moldura normativa vigente, e a subseção 6.5 a examina em detalhe.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O quinto é energético, e convém enunciá-lo com precisão, porque é onde o excesso de promessa compromete trabalhos desta natureza. A metade do problema enunciada em 3 — a iluminação desnecessariamente elevada em situações de menor demanda — só adquire consequência mensurável se o consumo entrar na avaliação. O trabalho estima, por isso, o consumo do ponto de luz e o confronta com duas linhas de base, nos termos metodológicos de 7.10. A estimativa é derivada, e não medida: parte da potência declarada do módulo de luz e da trajetória de ciclo de trabalho registrada em banco, dispensando instrumentação elétrica. Afirma-se a razão entre o consumo do regime adaptativo e o dos regimes de referência, sobre a mesma suíte de cenários e a mesma duração. Não se afirma economia anual, economia em escala de parque nem valor monetário, e a delimitação consta entre as limitações.</w:t>
      </w:r>
    </w:p>
    <w:p w14:paraId="0CECF56A" w14:textId="77777777" w:rsidR="006B1E66" w:rsidRPr="000F5B8B" w:rsidRDefault="00000000">
      <w:pPr>
        <w:pStyle w:val="Heading1"/>
        <w:pageBreakBefore/>
        <w:spacing w:before="480" w:after="280" w:line="360" w:lineRule="auto"/>
        <w:rPr>
          <w:lang w:val="pt-BR"/>
        </w:rPr>
      </w:pPr>
      <w:bookmarkStart w:id="10" w:name="_Toc240223130"/>
      <w:r>
        <w:rPr>
          <w:lang w:val="pt-BR"/>
        </w:rPr>
        <w:t>6 REVISÃO BIBLIOGRÁFICA</w:t>
      </w:r>
      <w:bookmarkEnd w:id="10"/>
    </w:p>
    <w:p w14:paraId="798F8E4A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1" w:name="_Toc240223131"/>
      <w:r>
        <w:rPr>
          <w:lang w:val="pt-BR"/>
        </w:rPr>
        <w:t>6.1 Metodologia de seleção das fontes</w:t>
      </w:r>
      <w:bookmarkEnd w:id="11"/>
    </w:p>
    <w:p w14:paraId="1352A23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seleção obedeceu a procedimento explícito, de modo que a revisão seja reproduzível e os critérios de inclusão possam ser auditados.</w:t>
      </w:r>
    </w:p>
    <w:p w14:paraId="6426299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Foram consultados o Portal de Periódicos da CAPES, a base SciELO, a Biblioteca Digital Brasileira de Teses e Dissertações e os acervos das editoras IEEE, Elsevier, Springer, Taylor &amp; Francis e SAGE. Os termos empregados, combinados por operadores booleanos, foram: telegestão de iluminação pública; iluminação pública adaptativa e seu correspondente em língua inglesa adaptive street lighting; smart street lighting; fuzzy logic lighting control; urban data platform; smart city interoperability; short-term traffic forecasting; pedestrian flow prediction; e os descritores normativos referentes à iluminação viária.</w:t>
      </w:r>
    </w:p>
    <w:p w14:paraId="271576B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Três critérios de inclusão foram aplicados cumulativamente. O primeiro é a publicação em veículo com processo editorial de revisão por pares documentado, indexado em base consolidada, privilegiando periódicos de sociedades científicas e de editoras de tradição reconhecida, ou, no caso da produção nacional, teses e dissertações de programas de pós-graduação avaliados pela Coordenação de Aperfeiçoamento de Pessoal de Nível Superior. O segundo é a aderência direta a um dos eixos que estruturam esta seção. O terceiro é o recorte temporal de dez anos, contado a partir de 2016.</w:t>
      </w:r>
    </w:p>
    <w:p w14:paraId="7D79336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Foram excluídas fontes sem revisão por pares, trabalhos de aderência apenas tangencial e publicações em periódicos de processo editorial não verificável.</w:t>
      </w:r>
    </w:p>
    <w:p w14:paraId="2DB61B9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Duas exceções ao recorte temporal são declaradas e delimitadas. A primeira são duas obras seminais — Zadeh (1965) e Mamdani e Assilian (1975) —, que comparecem exclusivamente como atribuição de origem da técnica adotada, e não como sustentação de qualquer afirmação sobre o estado da arte. A distinção é relevante: o estado atual da discussão sobre a técnica é sustentado por fontes de 2019 e 2026, apresentadas na subseção 6.6, e nenhuma afirmação deste trabalho </w:t>
        <w:lastRenderedPageBreak/>
        <w:t>depende de literatura anterior ao recorte. A segunda exceção são os documentos oficiais do poder público e de instituições públicas, os atos regulatórios e os relatórios de órgão de controle externo, empregados exclusivamente para estabelecer fatos sobre a infraestrutura instalada e sobre o regime jurídico que a rege. Fontes dessa natureza comparecem identificadas como tais, e delas não se extrai afirmação de desempenho. Essa matéria não é reportada por literatura revisada por pares, e a fonte primária a documenta de modo verificável.</w:t>
      </w:r>
    </w:p>
    <w:p w14:paraId="3E4C23A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Uma terceira exceção, mais restrita, alcança duas fontes nominalmente identificadas. A primeira é a publicação normativa da Commission Internationale de l'Éclairage sobre iluminação viária, de 2010: documento técnico normativo não se avalia pela data de publicação, e sim pela vigência, e a edição citada é a que permanece em vigor. A segunda é o relato da plataforma SmartSantander, de 2014, que comparece exclusivamente como precedente histórico de infraestrutura urbana de sensoriamento efetivamente implantada — uso em que a anterioridade é a própria qualidade pertinente. De nenhuma das duas se extrai afirmação sobre o estado da arte da técnica.</w:t>
      </w:r>
    </w:p>
    <w:p w14:paraId="0A017ED0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2" w:name="_Toc240223132"/>
      <w:r>
        <w:rPr>
          <w:lang w:val="pt-BR"/>
        </w:rPr>
        <w:t>6.2 Infraestrutura instalada e integração ausente: um padrão documentado</w:t>
      </w:r>
      <w:bookmarkEnd w:id="12"/>
    </w:p>
    <w:p w14:paraId="766AB8A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Antes de examinar São Paulo, convém estabelecer que a situação descrita neste trabalho não é uma peculiaridade local, e sim uma configuração recorrente, reportada na literatura.</w:t>
      </w:r>
    </w:p>
    <w:p w14:paraId="773B606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Alves, Dias e Seixas (2019) examinam o estado da arte das cidades inteligentes no Brasil e em Portugal e concluem que nenhum dos dois países ultrapassou a primeira fase do processo, aquela de implantação de infraestrutura tecnológica, permanecendo incipiente o estágio em que a tecnologia integrada passa a apoiar o planejamento urbano. Os autores identificam ainda que a iluminação pública e a mobilidade figuram entre os setores que mais recebem investimento municipal. O diagnóstico é preciso quanto ao problema aqui tratado: investe-se em infraestrutura, e não se investe na integração que a tornaria útil a mais de um serviço.</w:t>
      </w:r>
    </w:p>
    <w:p w14:paraId="3BEEE314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Dizon e Pranggono (2022) documentam o caso de Sheffield, no Reino Unido, onde 66.802 luminárias — 99,5% do parque — foram convertidas para tecnologia de estado sólido e integradas a um sistema central de telegestão. Os autores registram </w:t>
        <w:lastRenderedPageBreak/>
        <w:t>que a operação utiliza apenas parte das capacidades de controle disponíveis, mantendo regime de acionamento por calendário solar e horário programado, e que a cidade não implantou controle responsivo ao tráfego. É o mesmo descompasso entre capacidade instalada e capacidade utilizada, observado em outra cidade, em outro país e sob outro arranjo contratual.</w:t>
      </w:r>
    </w:p>
    <w:p w14:paraId="568A59F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mesma assimetria aparece nos grandes instrumentos urbanos de pesquisa. O Array of Things, implantado em Chicago pela Universidade de Chicago e pelo Argonne National Laboratory, instala em postes de iluminação nós que executam visão computacional no próprio dispositivo e publicam apenas medições derivadas, jamais imagens (CATLETT et al., 2017). O SmartSantander, na Espanha, opera milhares de dispositivos, dentre os quais sessenta medem volume, ocupação, velocidade e comprimento de fila nas entradas da cidade (SANCHEZ et al., 2014). Ambos são referências consolidadas de sensoriamento urbano em escala, e em ambos os postes comparecem como ponto de instalação: nenhum dos dois fecha o laço sobre a própria iluminação que os sustenta.</w:t>
      </w:r>
    </w:p>
    <w:p w14:paraId="14AB5C6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Anthony Jnr (2024) conduz revisão sistemática sobre o emprego de interfaces de programação de aplicações na interoperabilidade entre sistemas digitais municipais e conclui que a fragmentação entre sistemas concebidos isoladamente é o obstáculo dominante à integração, e que a especificação da interface é o instrumento pelo qual essa fragmentação se resolve. Reia e Cruz (2023), examinando a agenda brasileira de cidades inteligentes, oferecem a explicação causal: a arquitetura tecnológica municipal é definida por fornecedores no interior de contratos setoriais, o que produz sistemas que cumprem bem a finalidade contratada e não preveem qualquer outra.</w:t>
      </w:r>
    </w:p>
    <w:p w14:paraId="0D04FAA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Um caso brasileiro recente ilustra o mesmo ponto em escala menor e sob condições favoráveis. Em janeiro de 2026, a Universidade Estadual de Campinas recebeu os dispositivos de telegestão de um projeto que instala 2.615 sensores junto a luminárias de estado sólido em seu campus, executado por operadora de telecomunicações com financiamento vinculado ao Programa Nacional de Iluminação Pública Eficiente (RIBEIRO, 2026). A descrição oficial do sistema informa que a plataforma permite ajustar níveis de iluminação conforme horários, condições ambientais ou demandas específicas, além de identificar falhas em tempo real (NIPE, 2026).</w:t>
      </w:r>
    </w:p>
    <w:p w14:paraId="13103EE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lastRenderedPageBreak/>
        <w:t>A proximidade com o que aqui se propõe é aparente e convém demarcá-la. O que se implanta é uma plataforma de telegestão dotada de sensoriamento próprio, instalado para essa finalidade, em rede fechada de campus, com ajuste por programação horária e por condição medida localmente. Não há consumo de dados produzidos por outro sistema, concebido para outra finalidade, nem camada de verificação normativa interposta entre a decisão e a atuação. O caso é, portanto, mais um registro de capacidade instalada — e recente, brasileiro e no estado de São Paulo — do que uma realização do vínculo que este trabalho investiga.</w:t>
      </w:r>
    </w:p>
    <w:p w14:paraId="71499E7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quadro nacional dimensiona o problema. Segundo o censo do setor, elaborado a partir da Base de Dados Geográfica da Distribuidora mantida pela Agência Nacional de Energia Elétrica, o Brasil registrava 19.362.437 pontos de luz nas redes das distribuidoras em 2023, número que o próprio censo estima em 22.037.666 quando incluída a iluminação ornamental, com margem de segurança entre 20.185.063 e 24.761.415. Sobre a base das distribuidoras, 3.793.293 pontos, ou 19,6%, operavam em tecnologia de estado sólido (ABCIP, 2024). São Paulo, que já em 2021 contabilizava cerca de 90% do parque convertido, com modernização integral prevista para 2024 (SÃO PAULO, 2021), é exceção — e é justamente por ser exceção que constitui o caso em que a pergunta deste trabalho pode ser formulada sem depender de investimento ainda não realizado.</w:t>
      </w:r>
    </w:p>
    <w:p w14:paraId="305071A7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3" w:name="_Toc240223133"/>
      <w:r>
        <w:rPr>
          <w:lang w:val="pt-BR"/>
        </w:rPr>
        <w:t>6.3 A infraestrutura instalada no município de São Paulo</w:t>
      </w:r>
      <w:bookmarkEnd w:id="13"/>
    </w:p>
    <w:p w14:paraId="1924DF6C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Esta subseção estabelece o fato sobre o qual o trabalho se apoia: as duas capacidades necessárias a um sistema de iluminação responsiva já existem na cidade, contratadas e em operação. O Quadro 1 sintetiza o levantamento, construído sobre fontes primárias.</w:t>
      </w:r>
    </w:p>
    <w:p w14:paraId="369BFE36" w14:textId="77777777" w:rsidR="006B1E66" w:rsidRPr="000F5B8B" w:rsidRDefault="00000000"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>Quadro 1 – Infraestrutura urbana instalada no município de São Paulo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:rsidRPr="007B78AE" w14:paraId="083A2BF3" w14:textId="77777777"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743E81" w14:textId="77777777" w:rsidR="006B1E66" w:rsidRDefault="00000000">
            <w:r>
              <w:rPr>
                <w:b/>
                <w:bCs/>
                <w:sz w:val="20"/>
                <w:szCs w:val="20"/>
              </w:rPr>
              <w:t>Ativo</w:t>
            </w:r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8E8906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O que já existe</w:t>
            </w:r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2B5A76" w14:textId="77777777" w:rsidR="006B1E66" w:rsidRPr="000F5B8B" w:rsidRDefault="00000000">
            <w:pPr>
              <w:rPr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O que ainda não faz</w:t>
            </w:r>
          </w:p>
        </w:tc>
      </w:tr>
      <w:tr w:rsidR="006B1E66" w:rsidRPr="007B78AE" w14:paraId="54D753C6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B4BCE7" w14:textId="77777777" w:rsidR="006B1E66" w:rsidRDefault="00000000">
            <w:r>
              <w:rPr>
                <w:sz w:val="20"/>
                <w:szCs w:val="20"/>
              </w:rPr>
              <w:t xml:space="preserve">Parque de iluminação pública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BFC987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618.355 pontos de luz, dos quais 535.713 contratados para substituição por tecnologia de estado sólido; cerca de 90% do parque convertido em 2021, com modernização integral prevista para 2024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A31131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Opera em regime praticamente invariante, comandado por horário ou por luz natural</w:t>
            </w:r>
          </w:p>
        </w:tc>
      </w:tr>
      <w:tr w:rsidR="006B1E66" w:rsidRPr="007B78AE" w14:paraId="50A29215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5BE00" w14:textId="77777777" w:rsidR="006B1E66" w:rsidRDefault="00000000">
            <w:r>
              <w:rPr>
                <w:sz w:val="20"/>
                <w:szCs w:val="20"/>
              </w:rPr>
              <w:lastRenderedPageBreak/>
              <w:t xml:space="preserve">Concessão e telegestão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6F57E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Contrato de Concessão nº 003/SMSO/2018, de vinte anos, ao valor de R$ 6,9 bilhões, originado da Concorrência Internacional nº 01/SES/2015. O Anexo III do contrato, Caderno de Encargos, exige telegestão bidirecional, com o centro de controle emitindo comandos isolados ou em grupo e programação agendada, e drivers que permitam dimerização por controle analógico de 0 a 10 V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4C768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 telegestão serve à gestão do ativo — falha, consumo, inventário — e não consome informação sobre o que ocorre na via</w:t>
            </w:r>
          </w:p>
        </w:tc>
      </w:tr>
      <w:tr w:rsidR="006B1E66" w:rsidRPr="007B78AE" w14:paraId="77BD80E0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CB1D67" w14:textId="77777777" w:rsidR="006B1E66" w:rsidRDefault="00000000">
            <w:r>
              <w:rPr>
                <w:sz w:val="20"/>
                <w:szCs w:val="20"/>
              </w:rPr>
              <w:t>Plataforma Smart Sampa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3AFDE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40 mil câmeras integradas até setembro de 2025, sendo 20 mil municipais e 20 mil de redes privadas, e central de monitoramento em operação contínua. O Termo de Referência exige analíticos de contagem de pessoas, de detecção de densidade e concentração de pessoas, de contagem e fluxo de veículos e de alarme de congestionamento, além de interoperabilidade com acesso aos dados por interface de programação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EE9B02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Destina-se à segurança pública. Sua informação não alcança qualquer outro sistema municipal, e o acesso à interface é tratado caso a caso, sem endpoint público</w:t>
            </w:r>
          </w:p>
        </w:tc>
      </w:tr>
      <w:tr w:rsidR="006B1E66" w:rsidRPr="007B78AE" w14:paraId="061413B1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0619D2" w14:textId="77777777" w:rsidR="006B1E66" w:rsidRDefault="00000000">
            <w:r>
              <w:rPr>
                <w:sz w:val="20"/>
                <w:szCs w:val="20"/>
              </w:rPr>
              <w:t xml:space="preserve">Regime regulatório federal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95E49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 Agência Nacional de Energia Elétrica aprovou, em 2022, instruções para o faturamento da iluminação pública quando há sistema de telegestão instalado, substituindo o tempo presumido pela medição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42FDEB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Nenhum ato vincula a operação da iluminação a dados de outras plataformas municipais</w:t>
            </w:r>
          </w:p>
        </w:tc>
      </w:tr>
      <w:tr w:rsidR="006B1E66" w:rsidRPr="007B78AE" w14:paraId="5FAD583E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40F51" w14:textId="77777777" w:rsidR="006B1E66" w:rsidRDefault="00000000">
            <w:r>
              <w:rPr>
                <w:sz w:val="20"/>
                <w:szCs w:val="20"/>
              </w:rPr>
              <w:t xml:space="preserve">Dados abertos municipais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0C821A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Portal de dados abertos com solicitações do SP156, registros de ocorrência do Centro de Gerenciamento de Emergências e base georreferenciada da cidade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7D399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Publicados em periodicidade agregada, adequados à caracterização de distribuições e não à operação em tempo real</w:t>
            </w:r>
          </w:p>
        </w:tc>
      </w:tr>
    </w:tbl>
    <w:p w14:paraId="181F1D30" w14:textId="77777777" w:rsidR="006B1E66" w:rsidRPr="000F5B8B" w:rsidRDefault="00000000"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>Fonte: Elaborado pelos autores (2026) a partir de São Paulo (2015, 2018a, 2021, 2022, 2025, 2026) e Agência Nacional de Energia Elétrica (2022).</w:t>
      </w:r>
    </w:p>
    <w:p w14:paraId="7CAF8C0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Quatro consequências decorrem desse levantamento, e são elas que definem o trabalho.</w:t>
      </w:r>
    </w:p>
    <w:p w14:paraId="759C07B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primeira é que a capacidade de atuação não precisa ser proposta. O Anexo III do contrato de concessão, que é o Caderno de Encargos da Concessionária (SÃO PAULO, 2015), exige textualmente sistema de telegestão bidirecional que leve informações do centro de controle aos ativos, na forma de comandos isolados ou em </w:t>
        <w:lastRenderedPageBreak/>
        <w:t>grupo, para que atuem conforme decisão da mesa de comando ou conforme programação agendada; e exige que o driver permita dimerização por controle analógico de 0 a 10 V. Não se trata apenas de capacidade contratada em tese: a interface física pela qual a intensidade se altera está especificada em contrato.</w:t>
      </w:r>
    </w:p>
    <w:p w14:paraId="7DDFE3A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segunda é que a capacidade de observação também não precisa ser proposta, e este é o ponto em que a documentação contratual é mais eloquente do que qualquer inferência. O Termo de Referência da plataforma municipal de videomonitoramento exige, entre os analíticos de imagem, a detecção de densidade e concentração de pessoas e a contagem de pessoas, e, entre os requisitos das câmeras, a contagem de pessoas por área, a verificação de densidade de veículos e o alarme de congestionamento (SÃO PAULO, 2022), documento que o Termo de Contrato nº 032/SMSU/2023 incorpora como parte integrante do edital que originou a contratação (SÃO PAULO, 2023). São exatamente as grandezas que a ABNT NBR 5101 emprega para classificar uma via: volume de tráfego, composição e nível de atividade de pedestres. A plataforma não foi concebida para iluminação, mas produz, por obrigação contratual, o descritor de que a iluminação precisaria. Registre-se que esses analíticos são, eles próprios, produzidos por inteligência artificial embarcada na plataforma. A consequência é de viabilidade: publicar o descritor agregado que este trabalho consome não demanda capacidade computacional nova, e sim expor o que já é produzido — o que desloca a integração do terreno do desenvolvimento para o da especificação de interface.</w:t>
      </w:r>
    </w:p>
    <w:p w14:paraId="112D22C3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mesmo documento estabelece que a plataforma deve ser interoperável, de modo que seus dados possam ser acessados por interface de programação. A capacidade de publicação está, portanto, contratualmente prevista; o que não existe é o consumidor do outro lado, nem a semântica que tornaria esse consumo útil a um serviço distinto da segurança pública.</w:t>
      </w:r>
    </w:p>
    <w:p w14:paraId="0B9B430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terceira é que o regime regulatório federal já reconheceu a telegestão. Ao aprovar instruções para o faturamento da energia de iluminação pública quando há sistema de gestão instalado, a agência reguladora admitiu que a luminária telegerida informa seu consumo real em vez de operar por tempo presumido. A medição fina que este trabalho pressupõe não é hipótese técnica: é pressuposto de um ato regulatório vigente.</w:t>
      </w:r>
    </w:p>
    <w:p w14:paraId="5E66E8C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quarta é que a lacuna está exatamente no meio. A telegestão foi concebida para gerir o ativo: saber se a luminária funciona, quanto consome, quando falhou. A plataforma de monitoramento foi concebida para a segurança pública. Nenhuma das duas foi concebida para que a segunda informe a primeira. É essa camada ausente — a que recebe a descrição do ambiente e decide a intensidade da luz — que o presente trabalho especifica, constrói e demonstra.</w:t>
      </w:r>
    </w:p>
    <w:p w14:paraId="2CFD5C4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lastRenderedPageBreak/>
        <w:t>Registra-se, por honestidade de escopo, que a execução da concessão foi sucessivamente ajustada por termos de aditamento e de retomada, publicados pela agência reguladora municipal (SÃO PAULO, 2019-2022), o que situa a implantação da telegestão em estágio ainda em curso. Isso não enfraquece o argumento: reforça-o. A capacidade está contratada e em implantação, e é precisamente durante esse período que faz sentido especificar o que se poderá fazer com ela.</w:t>
      </w:r>
    </w:p>
    <w:p w14:paraId="0ECA1A44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4" w:name="_Toc240223134"/>
      <w:r>
        <w:rPr>
          <w:lang w:val="pt-BR"/>
        </w:rPr>
        <w:t>6.4 Internet das Coisas e nós embarcados</w:t>
      </w:r>
      <w:bookmarkEnd w:id="14"/>
    </w:p>
    <w:p w14:paraId="7A5E499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Lin et al. (2017) descrevem a arquitetura da Internet das Coisas em camadas de percepção, rede e aplicação, organização que constitui o arcabouço arquitetural adotado. O protocolo MQTT (OASIS, 2019) é o padrão consolidado para transporte de telemetria em dispositivos de recurso restrito, por seu cabeçalho reduzido e pelo desacoplamento entre produtores e consumidores, propriedade adequada a um arranjo em que a decisão é produzida em serviço distinto daquele que a executa.</w:t>
      </w:r>
    </w:p>
    <w:p w14:paraId="0E3A0A1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microcontrolador ESP32 (ESPRESSIF SYSTEMS, 2023) integra em encapsulamento único processador de dois núcleos, interfaces de barramento serial e rádio Wi-Fi nativo, com suporte a MQTT sobre TLS. Essas características sustentam a decisão de atribuir ao nó apenas as funções de recepção de comando, atuação e telemetria, mantendo a decisão fora do dispositivo.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Cabe fixar, ante essa arquitetura, a caracterização do nó. Um dispositivo constitui elemento de Internet das Coisas quando reúne quatro atributos: identidade própria verificável na rede, capacidade de sensoriamento, capacidade de atuação sobre o ambiente e comunicação interoperável por protocolo padronizado. O nó descrito em 7.3 reúne os quatro — credencial própria no intermediário de mensagens, sensor de iluminância, controle da luminária por modulação por largura de pulso e MQTT sobre canal cifrado. Determinante, porém, é a composição dos dois atributos centrais: o dispositivo recebe comando e devolve a grandeza física resultante, e é esse laço fechado que o distingue tanto da telemetria isolada, que mede sem atuar, quanto do comando remoto, que atua sem medir.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Duas objeções previsíveis merecem resposta antecipada. A primeira é a de que o nó não decide e seria, portanto, mero atuador remoto: a arquitetura de referência situa a lógica de aplicação na camada de aplicação, e não na de percepção, de modo que a ausência de decisão no dispositivo constitui conformidade com o modelo, e não desvio dele — além de ser, neste trabalho, decisão de projeto justificada em 7.2 e em 7.3.1. A segunda é a de que a Internet das Coisas pressuporia uma rede de dispositivos: o desacoplamento entre produtor e consumidor que o protocolo adotado oferece é precisamente o que torna a arquitetura multinó por construção, e o emprego de um único nó decorre do escopo declarado, não de limitação do arranjo.</w:t>
      </w:r>
    </w:p>
    <w:p w14:paraId="63A2AF82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5" w:name="_Toc240223135"/>
      <w:r>
        <w:rPr>
          <w:lang w:val="pt-BR"/>
        </w:rPr>
        <w:t>6.5 Requisitos normativos</w:t>
      </w:r>
      <w:bookmarkEnd w:id="15"/>
    </w:p>
    <w:p w14:paraId="7333F82C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ABNT NBR 5101:2024 (ASSOCIAÇÃO BRASILEIRA DE NORMAS TÉCNICAS, 2024) organiza os requisitos de iluminação viária em três famílias de classes: a classe M, definida em luminância, para vias de tráfego motorizado; a classe C, para áreas de conflito; e a classe P, para calçadas e áreas de caminhada. Para cada classe fixam-se valores mínimos mantidos de iluminância média, mínima e vertical. A classe não é escolhida: é determinada por procedimento normativo que pondera velocidade, volume e composição do tráfego, veículos estacionados, luminância do ambiente e necessidade de reconhecimento facial.</w:t>
      </w:r>
    </w:p>
    <w:p w14:paraId="2BC4AA0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Três disposições da revisão de 2024 são determinantes para este trabalho.</w:t>
      </w:r>
    </w:p>
    <w:p w14:paraId="32BC3DC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subseção 6.10 trata explicitamente da iluminação adaptativa e fixa os critérios que delimitam o espaço de decisões admissíveis: as classes M6, C5 e P6 não são </w:t>
        <w:lastRenderedPageBreak/>
        <w:t>dimerizáveis; as demais só podem ser dimerizadas até no máximo duas classes imediatamente inferiores; a taxa de decréscimo do fluxo luminoso não pode exceder um décimo por minuto em relação à iluminação plena; e não é aconselhável dimerizar sob nevoeiro, neblina ou chuva.</w:t>
      </w:r>
    </w:p>
    <w:p w14:paraId="7A9B476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subseção 6.10.3 recomenda o monitoramento contínuo do tráfego de veículos e do meio ambiente para determinar o tempo de funcionamento da iluminação adaptativa. O emprego de dados do ambiente urbano como entrada da decisão é, portanto, o meio que a própria norma indica como preferencial.</w:t>
      </w:r>
    </w:p>
    <w:p w14:paraId="320EE5C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subseção 6.3, ao tratar da poluição luminosa, prescreve entre as ações de mitigação a utilização de sistemas com controles de luz adaptáveis para reduzir os níveis de iluminância nos horários de baixa movimentação. O controle adaptativo comparece, assim, em duas subseções distintas da norma e sob duas finalidades distintas.</w:t>
      </w:r>
    </w:p>
    <w:p w14:paraId="0092C9E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Dessas disposições extraem-se três restrições rígidas, que o sistema deve observar em todas as decisões: o nível decidido nunca pode situar-se abaixo do piso da classe de dimerização admitida; a transição entre níveis nunca pode exceder a taxa máxima de decréscimo; e a dimerização deve ser suspensa quando a condição meteorológica reportada indicar nevoeiro, neblina ou chuva. A formalização dessas três restrições constitui a camada de verificação descrita na metodologia.</w:t>
      </w:r>
    </w:p>
    <w:p w14:paraId="1A589A5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Uma objeção previsível ao controle adaptativo é a de que o chaveamento frequente reduziria a vida útil da luminária, encarecendo a manutenção do parque. Askola et al. (2022) submeteram luminárias de estado sólido a 32 mil horas de envelhecimento sob dimerização acelerada e concluíram que, em cenário de tráfego realista, a redução de vida útil não ultrapassa aproximadamente dois por cento. A objeção, portanto, está medida e respondida na literatura, o que retira do caminho do trabalho um obstáculo que não é de natureza computacional.</w:t>
      </w:r>
    </w:p>
    <w:p w14:paraId="54265D11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6" w:name="_Toc240223136"/>
      <w:r>
        <w:rPr>
          <w:lang w:val="pt-BR"/>
        </w:rPr>
        <w:t>6.6 Decisão sob informação imprecisa e a escolha de um modelo interpretável</w:t>
      </w:r>
      <w:bookmarkEnd w:id="16"/>
    </w:p>
    <w:p w14:paraId="5ECD298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teoria de conjuntos nebulosos, formulada por Zadeh (1965), representa classes cujas fronteiras são graduais, atribuindo a cada elemento um grau de pertinência entre zero e um. Mamdani e Assilian (1975) demonstraram que essa representação sintetiza controladores a partir de conhecimento expresso em </w:t>
        <w:lastRenderedPageBreak/>
        <w:t>linguagem natural, dispensando modelo matemático do processo controlado. Estas duas obras comparecem como atribuição de origem, nos termos da subseção 6.1.</w:t>
      </w:r>
    </w:p>
    <w:p w14:paraId="7FBE379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justificativa contemporânea da escolha é outra e não depende delas. Rudin (2019) sustenta que, em decisões de alto risco, o caminho adequado não é produzir explicações a posteriori para modelos opacos, mas empregar modelos intrinsecamente interpretáveis, e argumenta que estes alcançam desempenho comparável em grande parte dos problemas aplicados. A iluminação de uma via pública é serviço essencial, fiscalizado por agência reguladora e sujeito a norma técnica com requisitos mínimos de segurança. É, nesse sentido, decisão em que a inspeção do porquê importa tanto quanto o resultado.</w:t>
      </w:r>
    </w:p>
    <w:p w14:paraId="3F67941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Pickering, Cohen e De Baets (2026) qualificam essa posição no caso específico dos modelos nebulosos baseados em regras e advertem que a interpretabilidade não decorre automaticamente do formalismo: depende de restrições impostas deliberadamente ao número de regras, à forma das funções de pertinência e à partição do universo de discurso. A advertência é incorporada como requisito de projeto, e não como observação: a base de regras será mantida em dimensão inspecionável por leitor humano, as partições do universo de discurso serão nomeadas em linguagem natural e derivadas da distribuição observada nos dados, e não arbitradas, conforme se especifica em 7.6, e cada regra terá origem declarada — prescrição normativa ou conhecimento de domínio.</w:t>
      </w:r>
    </w:p>
    <w:p w14:paraId="03AA0AE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Três propriedades tornam a abordagem adequada ao problema. A composição de evidências parciais: quando duas condições são simultaneamente verdadeiras em grau, o mecanismo produz saída única que reflete ambas, ao passo que uma tabela de decisão exigiria eleger uma delas. A continuidade da saída: a transição entre níveis é gradual, o que é requisito e não conveniência, já que a norma limita a taxa de variação do fluxo. E a rastreabilidade: cada decisão remonta às regras que a produziram e ao grau com que cada uma foi ativada.</w:t>
      </w:r>
    </w:p>
    <w:p w14:paraId="2D712F1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escolha implica renúncia deliberada a abordagens supervisionadas. Um classificador treinado exigiria decisões rotuladas como corretas, e tais rótulos teriam de ser produzidos pelos próprios autores, o que introduziria circularidade: o sistema aprenderia a reproduzir o julgamento de quem o avalia. A inferência nebulosa, derivando suas regras da norma técnica e do conhecimento de domínio, mantém a base de decisão externa e auditável.</w:t>
      </w:r>
    </w:p>
    <w:p>
      <w:pPr>
        <w:pStyle w:val="Heading2"/>
        <w:spacing w:before="360" w:after="240" w:line="360" w:lineRule="auto"/>
        <w:rPr>
          <w:lang w:val="pt-BR"/>
        </w:rPr>
      </w:pPr>
      <w:r>
        <w:rPr>
          <w:lang w:val="pt-BR"/>
        </w:rPr>
        <w:t xml:space="preserve">6.7 Previsão de curto prazo da demanda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subseção 6.5 estabeleceu que a norma limita a taxa de decréscimo do fluxo luminoso a um décimo por minuto em relação à iluminação plena. Essa restrição tem uma consequência que o controle puramente reativo não resolve: entre a queda observada da movimentação e a chegada ao nível atenuado decorre um intervalo determinado pela própria norma — na classe adotada, não menos que cinco minutos para ir de 10 lux a 5 lux. Um sistema que responde apenas ao estado corrente passa parte da janela de baixa demanda em transição, e não no nível que a janela justificaria. Antecipar a queda é, portanto, condição para que a atenuação se complete dentro do limite normativo sem consumir a própria janela que a motivou.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previsão de curto prazo de variáveis de tráfego é campo consolidado. Lana et al. (2018) revisam o estado da arte e registram que horizontes de minutos a poucas horas são tratáveis por modelos treinados sobre séries históricas e atributos de calendário, com desempenho que deve sempre ser aferido contra referências ingênuas. No domínio específico da iluminação, Belloni et al. (2024) constroem seu algoritmo de comutação e dimerização sobre dados de tráfego previstos, o que situa a antecipação da demanda como prática já estabelecida no problema aqui tratado.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tarefa é de regressão sobre dados tabulares: a grandeza a prever é o nível de movimentação na próxima janela, e os preditores são as contagens observadas em janelas anteriores somadas a atributos de calendário — hora do dia, dia da semana e feriado — e à condição meteorológica reportada. Para esse formato de dado, Grinsztajn, Oyallon e Varoquaux (2022) demonstram, em avaliação sistemática sobre dezenas de conjuntos, que modelos baseados em árvores de decisão com reforço de gradiente continuam superando arquiteturas de aprendizado profundo, e o fazem com custo computacional e esforço de ajuste substancialmente menores. Adota-se, por essa razão, o reforço de gradiente na formulação de Chen e Guestrin (2016), e não uma rede neural recorrente. A escolha é de adequação ao dado, não de conveniência, e está respaldada em fonte revisada por pares.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Importa fixar a posição do preditor na arquitetura. Ele antecede a inferência nebulosa e não a substitui: produz uma estimativa de grandeza observável — a movimentação esperada —, e não um nível de iluminação. A decisão continua sendo produzida pela inferência e continua submetida à camada de verificação normativa antes de qualquer atuação. A consequência é que o erro do modelo não se converte em violação da norma: uma previsão equivocada pode produzir uma decisão inadequada, jamais uma decisão inadmissível. É essa separação que permite empregar um componente estatístico em sistema sujeito a requisito normativo de segurança.</w:t>
      </w:r>
    </w:p>
    <w:p w14:paraId="6A29344A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7" w:name="_Toc240223137"/>
      <w:r>
        <w:rPr>
          <w:lang w:val="pt-BR"/>
        </w:rPr>
        <w:t>6.8 Trabalhos correlatos e o trabalho mais próximo</w:t>
      </w:r>
      <w:bookmarkEnd w:id="17"/>
    </w:p>
    <w:p w14:paraId="49C7E30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lastRenderedPageBreak/>
        <w:t>A produção nacional sobre iluminação pública inteligente concentra-se em duas frentes, e nenhuma delas é a deste trabalho.</w:t>
      </w:r>
    </w:p>
    <w:p w14:paraId="145D962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primeira é a da confiabilidade e da manutenção do ativo. França Filho e Tavares (2025) modelam sistemas de iluminação pública inteligente por redes de Petri estocásticas para avaliar disponibilidade, consumo e estratégias de manutenção antes da implantação. O objeto é a arquitetura: se ela se sustenta e a que custo. Não há política de decisão sobre o nível luminoso, nem dado urbano exógeno. É, significativamente, a mesma finalidade para a qual a telegestão de São Paulo foi concebida.</w:t>
      </w:r>
    </w:p>
    <w:p w14:paraId="6557283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segunda é a do consumo municipal de dados urbanos de terceiros. Hiroki (2021) documenta o caso de Joinville, em Santa Catarina, onde a administração municipal passou a consumir dados de mobilidade fornecidos por plataforma privada de navegação, e reporta resultado medido em redução de tempo de percurso. É o precedente brasileiro de que um município pode incorporar dado urbano externo à sua decisão. O que o distingue deste trabalho é que ali o dado alimenta planejamento e obra — decisão humana, lenta e pontual —, sem que se feche o laço sobre qualquer ativo urbano em operação.</w:t>
      </w:r>
    </w:p>
    <w:p w14:paraId="5BAFC1F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trabalho mais próximo identificado é a dissertação de Nogueira (2024), defendida na Universidade Federal Fluminense, que formula a adaptação dinâmica da iluminação urbana como problema de otimização distribuída de restrições e o resolve por algoritmos executados em rede de luminárias, com cada ponto negociando seu nível com os vizinhos a partir de variáveis ambientais. A proximidade de finalidade é grande e a diferença é de premissa. Naquele trabalho, cada poste dispõe de sensoriamento local, e a avaliação é conduzida em ambiente simulado: a camada de percepção é uma infraestrutura a implantar. Aqui, a percepção é uma infraestrutura já contratada e em operação, produzida por outro sistema municipal para outra finalidade, e o problema desloca-se do sensoriamento para a integração e a decisão.</w:t>
      </w:r>
    </w:p>
    <w:p w14:paraId="00B0183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literatura internacional sobre o mecanismo de controle é anterior e mais avançada do que a nacional, e convém enunciá-la sem atenuações. Belloni et al. (2024) implementam algoritmo de comutação e dimerização a partir de dados de tráfego previstos, aplicado a uma cidade italiana, com medições de campo, simulação luminotécnica e análise custo-benefício. Buyukkinaci et al. (2019) determinam a comutação entre classes normativas M3 a M5 em função de volume e velocidade de </w:t>
        <w:lastRenderedPageBreak/>
        <w:t>tráfego, com estimativa de economia em via de Istambul. A própria CIE 115 declara, desde 2010, que a aplicação de variáveis dependentes do tempo, como volume de tráfego, abre a possibilidade de sistemas de iluminação adaptativa (COMMISSION INTERNATIONALE DE L'ÉCLAIRAGE, 2010).</w:t>
      </w:r>
    </w:p>
    <w:p w14:paraId="7E9DAB6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No plano das implantações, a referência é a rua Stratumseind, em Eindhoven, onde dados de câmeras, sensores acústicos e meteorologia alimentam perfis que acionam cenários dinâmicos de iluminação há mais de uma década (GALIC; GELLERT, 2021). Este último é o precedente mais próximo de um laço fechado entre plataforma urbana e iluminação, e três diferenças o separam desta proposta: sua finalidade é comportamental, e não fotométrica; a decisão não é confrontada com classe de iluminação alguma; e a literatura revisada por pares que o documenta é de proteção de dados, e não de arquitetura de sistemas — é precisamente a ausência de garantias que ela critica.</w:t>
      </w:r>
    </w:p>
    <w:p w14:paraId="01C57BD2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Ao caso internacional já citado — Sheffield, onde um parque quase integralmente convertido e telegerido opera por calendário solar (DIZON; PRANGGONO, 2022) — soma-se a mesma constatação por outro caminho: a capacidade de controle está instalada e subutilizada, e o que falta não é equipamento.</w:t>
      </w:r>
    </w:p>
    <w:p w14:paraId="4BCA7B32" w14:textId="77777777" w:rsidR="006B1E66" w:rsidRDefault="00000000">
      <w:pPr>
        <w:pStyle w:val="Heading2"/>
        <w:spacing w:before="360" w:after="240" w:line="360" w:lineRule="auto"/>
      </w:pPr>
      <w:bookmarkStart w:id="18" w:name="_Toc240223138"/>
      <w:r>
        <w:t xml:space="preserve">6.9 Lacuna identificada</w:t>
      </w:r>
      <w:bookmarkEnd w:id="18"/>
    </w:p>
    <w:p w14:paraId="31E4FAB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revisão permite quatro conclusões.</w:t>
      </w:r>
    </w:p>
    <w:p w14:paraId="3873183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primeira é que a atenuação adaptativa é técnica de eficácia demonstrada, prevista em norma desde 2010, implantada em campo e sem obstáculo operacional relevante quanto à durabilidade do ativo. Nem o conceito de comandar a iluminação por dados de tráfego, nem o emprego de inferência nebulosa para essa finalidade, são originais deste trabalho, e o texto não os reivindica. O problema não é a validade da técnica, mas a origem da informação que a comanda e a garantia de que a decisão resultante permaneça admissível.</w:t>
      </w:r>
    </w:p>
    <w:p w14:paraId="3275F39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segunda é que a coexistência de infraestrutura instalada e integração ausente é padrão documentado, e não peculiaridade de São Paulo — o que confere ao recorte valor de caso e não de exceção.</w:t>
      </w:r>
    </w:p>
    <w:p w14:paraId="720EC55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terceira é que, no município de São Paulo, tanto a capacidade de observar o ambiente quanto a de comandar a intensidade de cada luminária estão contratadas e em operação, com a interface física de dimerização especificada em contrato, sem que exista vínculo entre elas.</w:t>
      </w:r>
    </w:p>
    <w:p w14:paraId="3BB6750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quarta, que decorre das anteriores, delimita o objeto: a camada de decisão que recebe a descrição do ambiente urbano, compõe suas variáveis e produz um nível de iluminação, sujeita a restrições normativas verificadas antes da atuação. É esse mecanismo, e a interface que o integraria à infraestrutura existente, que o trabalho constrói e avalia.</w:t>
      </w:r>
    </w:p>
    <w:p w14:paraId="61B3505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Convém declarar, com precisão, a natureza da contribuição pretendida. Ela é arquitetural e integrativa, e não algorítmica. Nenhum componente isolado deste trabalho é inédito: a inferência nebulosa é técnica de mais de cinquenta anos, a dimerização por tráfego está publicada e implantada, e o transporte de mensagens é padrão de mercado. O que a revisão não localizou foi o arranjo: a camada de decisão que consome a saída já existente e já custeada de uma plataforma municipal </w:t>
        <w:lastRenderedPageBreak/>
        <w:t>concebida para outra finalidade, seguida de um componente de software separável que verifica cada nível decidido contra a norma técnica antes de permitir a atuação. Os trabalhos que decidem o nível pressupõem sensoriamento próprio a implantar; os que consomem dado urbano de terceiros param no planejamento; os que fecham o laço perseguem finalidade comportamental e não confrontam a decisão com classe de iluminação alguma; e os que tratam da infraestrutura instalada ocupam-se de sua confiabilidade. A contribuição está na composição, e é nessa medida que deve ser avaliada.</w:t>
      </w:r>
    </w:p>
    <w:p w14:paraId="371E4DE2" w14:textId="77777777" w:rsidR="006B1E66" w:rsidRPr="000F5B8B" w:rsidRDefault="00000000">
      <w:pPr>
        <w:pStyle w:val="Heading1"/>
        <w:pageBreakBefore/>
        <w:spacing w:before="480" w:after="280" w:line="360" w:lineRule="auto"/>
        <w:rPr>
          <w:lang w:val="pt-BR"/>
        </w:rPr>
      </w:pPr>
      <w:bookmarkStart w:id="19" w:name="_Toc240223139"/>
      <w:r>
        <w:rPr>
          <w:lang w:val="pt-BR"/>
        </w:rPr>
        <w:t>7 METODOLOGIA</w:t>
      </w:r>
      <w:bookmarkEnd w:id="19"/>
    </w:p>
    <w:p w14:paraId="209EB1FE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0" w:name="_Toc240223140"/>
      <w:r>
        <w:rPr>
          <w:lang w:val="pt-BR"/>
        </w:rPr>
        <w:t>7.1 Classificação da pesquisa</w:t>
      </w:r>
      <w:bookmarkEnd w:id="20"/>
    </w:p>
    <w:p w14:paraId="031F1D6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Quanto à natureza, a pesquisa é aplicada, por destinar-se à solução de problema concreto de infraestrutura urbana. Quanto à abordagem, é quantitativa: opera sobre grandezas mensuráveis — nível decidido, iluminância entregue, latência do percurso e proporção de decisões conformes. Quanto aos objetivos, é documental e exploratória na caracterização da infraestrutura e das variáveis, e experimental na avaliação, em que o comportamento do sistema é observado sob entradas deliberadamente construídas. Quanto aos procedimentos, combina pesquisa bibliográfica, pesquisa documental sobre fontes oficiais e dados abertos municipais, desenvolvimento de protótipo e experimentação em bancada.</w:t>
      </w:r>
    </w:p>
    <w:p w14:paraId="5BB83190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1" w:name="_Toc240223141"/>
      <w:r>
        <w:rPr>
          <w:lang w:val="pt-BR"/>
        </w:rPr>
        <w:t>7.2 Arquitetura do sistema</w:t>
      </w:r>
      <w:bookmarkEnd w:id="21"/>
    </w:p>
    <w:p w14:paraId="44525B26" w14:textId="77777777" w:rsidR="006B1E66" w:rsidRDefault="00000000">
      <w:pPr>
        <w:spacing w:after="240" w:line="360" w:lineRule="auto"/>
        <w:ind w:firstLine="709"/>
        <w:jc w:val="both"/>
      </w:pPr>
      <w:r>
        <w:rPr>
          <w:lang w:val="pt-BR"/>
        </w:rPr>
        <w:t xml:space="preserve">O sistema reproduz o fluxo completo a ser demonstrado na defesa: dado urbano recebido, análise pela inteligência artificial, decisão de iluminação, comando ao dispositivo e alteração física da intensidade, com a iluminância medida retornando à tela em tempo real. </w:t>
      </w:r>
      <w:r>
        <w:t xml:space="preserve">São quatro elementos encadeados, cuja implantação é detalhada em 7.2.1.</w:t>
      </w:r>
    </w:p>
    <w:p w14:paraId="267F989F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Interface de dados urbanos. Serviço que emula a interface de programação de uma plataforma municipal de monitoramento, publicando eventos que descrevem o estado da via. Sua existência decorre de o Smart Sampa não disponibilizar interface pública, e sua especificação é, ela própria, um </w:t>
        <w:lastRenderedPageBreak/>
        <w:t>resultado do trabalho: define o que uma plataforma precisaria publicar para que um sistema de iluminação pudesse consumi-la.</w:t>
      </w:r>
    </w:p>
    <w:p w14:paraId="080EE11C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Serviço de decisão. Recebe a descrição de estado, submete-a ao sistema de inferência nebulosa e produz o nível de iluminação pretendido, expresso como fração do fluxo pleno.</w:t>
      </w:r>
    </w:p>
    <w:p w14:paraId="3DDE9E61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Camada de verificação normativa. Interposta entre a decisão e a atuação, confronta o nível pretendido com as três restrições rígidas extraídas da ABNT NBR 5101 e corrige a decisão antes de emiti-la, registrando a correção.</w:t>
      </w:r>
    </w:p>
    <w:p w14:paraId="206EB35A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Nó de iluminação. Microcontrolador ESP32 que recebe o comando por MQTT, ajusta a intensidade da luminária por modulação por largura de pulso e devolve a iluminância medida no plano de trabalho, exibida em painel durante a demonstração.</w:t>
      </w:r>
    </w:p>
    <w:p w14:paraId="51E33B7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decisão é mantida fora do dispositivo por duas razões. A primeira é arquitetural: o serviço precisa acessar a interface de dados urbanos, externa ao nó, e concentrar essa comunicação em um ponto torna o dispositivo simples e substituível. A segunda é de evolução: mantida a decisão em serviço, alterar a base de regras não exige regravação do firmware de nenhum nó implantado — condição prática para qualquer sistema em escala municipal. É também, registre-se, a mesma topologia da telegestão contratada pelo município, em que o centro de operações comanda e a luminária executa.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Decisão simétrica, e de consequência maior, é a de manter o serviço de decisão fora da plataforma de monitoramento. A observação de que o Smart Sampa já executa inteligência artificial é correta e comparece em 6.3 como argumento de viabilidade da integração; dela não decorre, porém, que a decisão de iluminação deva residir ali. Três razões sustentam a separação.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primeira é de proteção de dados. A garantia oferecida em 7.9 é arquitetural, e não declaratória: a camada de decisão não consome imagem nem identificador porque suas variáveis de entrada são grandezas de via. Uma decisão produzida dentro do perímetro que opera reconhecimento facial e leitura de placas perderia essa propriedade — a impossibilidade técnica converter-se-ia em compromisso de política, verificável apenas por confiança.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segunda é de natureza da contribuição. O trabalho especifica a camada que consome a saída de uma plataforma concebida para outra finalidade; alojada dentro dela, essa camada deixa de ser integração e passa a ser extensão de um sistema de segurança pública, e a lacuna enunciada em 6.9 desapareceria por absorção, e não por solução.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terceira é de governança. Reia e Cruz (2023) atribuem a fragmentação dos sistemas municipais à definição da arquitetura por fornecedores no interior de contratos setoriais, e Anthony Jnr (2024) identifica na especificação da interface o instrumento pelo qual essa fragmentação se resolve. Alojar a lógica de iluminação no contrato de uma plataforma de segurança reproduziria o arranjo que a revisão diagnostica como causa do problema. Acresce que a camada de verificação normativa, para permanecer auditável, precisa ser inspecionável por quem responde pela iluminação pública, condição que não se satisfaz dentro de sistema operado por terceiro sob outro contrato.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O serviço de decisão é, por isso, especificado como serviço municipal autônomo: não pertence à plataforma de monitoramento nem ao sistema de telegestão, consome a interface da primeira e comanda o segundo. É essa a posição que a Figura 1 representa e que a documentação do Capítulo 8 detalha.</w:t>
      </w:r>
    </w:p>
    <w:p w14:paraId="156C3D4A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2" w:name="_Toc240223142"/>
      <w:r>
        <w:rPr>
          <w:lang w:val="pt-BR"/>
        </w:rPr>
        <w:t>7.2.1 Implantação em nuvem</w:t>
      </w:r>
      <w:bookmarkEnd w:id="22"/>
    </w:p>
    <w:p w14:paraId="7477EE30" w14:textId="77777777" w:rsidR="006B1E66" w:rsidRDefault="00000000">
      <w:pPr>
        <w:spacing w:after="240" w:line="360" w:lineRule="auto"/>
        <w:ind w:firstLine="709"/>
        <w:jc w:val="both"/>
      </w:pPr>
      <w:r>
        <w:rPr>
          <w:lang w:val="pt-BR"/>
        </w:rPr>
        <w:t xml:space="preserve">Os elementos não residem no mesmo lugar. Tudo o que decide, registra e apresenta é implantado como serviço em nuvem, contratado em modelo de plataforma como serviço; ao nó cabe executar. </w:t>
      </w:r>
      <w:r>
        <w:t xml:space="preserve">A repartição é a seguinte.</w:t>
      </w:r>
    </w:p>
    <w:p w14:paraId="37F98B05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Interface de dados urbanos. Serviço sobre protocolo HTTP que expõe uma interface de programação no estilo REST, por onde os eventos que descrevem o estado da via são publicados e consultados. É o componente que emula a plataforma municipal e a única parte da arquitetura que não corresponde a sistema existente, condição registrada entre as limitações.</w:t>
      </w:r>
    </w:p>
    <w:p w14:paraId="7B5701B9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lastRenderedPageBreak/>
        <w:t>Serviço de decisão. Processo que consome os eventos, executa a inferência nebulosa, aplica em seguida as três restrições rígidas da camada de verificação e publica o comando resultante.</w:t>
      </w:r>
    </w:p>
    <w:p w14:paraId="53EA1E47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Intermediário de mensagens MQTT. Entrega o comando ao nó assinante e recebe, no sentido inverso, a telemetria que o dispositivo publica. O desacoplamento entre quem produz e quem consome a mensagem é a propriedade que permite acrescentar nós sem alterar o serviço de decisão.</w:t>
      </w:r>
    </w:p>
    <w:p w14:paraId="57985E3C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Instância gerenciada de banco de dados. Registra a cadeia completa de cada ciclo de decisão, conforme a subseção 7.2.2.</w:t>
      </w:r>
    </w:p>
    <w:p w14:paraId="0B6418D7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Painel de acompanhamento. Aplicação web servida pelo mesmo ambiente, que lê o histórico do banco e exibe, lado a lado, o dado recebido, o nível pretendido pela inferência, a correção eventualmente imposta pela camada de verificação e a iluminância medida. É a interface de apresentação do sistema e o que a plateia observa durante a defesa.</w:t>
      </w:r>
    </w:p>
    <w:p w14:paraId="1A1998F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Ao nó cabe assinar o tópico de comando, ajustar a modulação por largura de pulso e publicar a iluminância lida. A comunicação com o intermediário ocorre sobre canal cifrado, com credencial própria do dispositivo, de modo que a identidade de cada nó seja verificável no lado do serviço.</w:t>
      </w:r>
    </w:p>
    <w:p w14:paraId="630D2F2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À razão arquitetural exposta acima acrescenta-se uma razão de alcance, que é o que especificamente recomenda a nuvem em lugar de uma máquina local: o nó precisa ser comandado de fora da rede em que se encontra, e um serviço acessível pela internet torna a demonstração independente de o dispositivo e o servidor compartilharem a mesma rede local. O porte contratado é o mínimo oferecido pelos provedores, suficiente para um nó, um painel e a suíte de cenários. O dimensionamento para o parque municipal não é objeto do trabalho. A implantação é atividade de meio, descrita aqui e não relacionada entre os objetivos específicos, conforme registrado em 4.2.</w:t>
      </w:r>
    </w:p>
    <w:p w14:paraId="0BD74164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3" w:name="_Toc240223143"/>
      <w:r>
        <w:rPr>
          <w:lang w:val="pt-BR"/>
        </w:rPr>
        <w:t>7.2.2 Persistência e arquitetura de dados</w:t>
      </w:r>
      <w:bookmarkEnd w:id="23"/>
    </w:p>
    <w:p w14:paraId="5BF458B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arquitetura inclui um banco de dados, e a razão não é de armazenamento, mas de verificação. O trabalho afirma que toda decisão do sistema é inspecionável e que a conformidade normativa pode ser comprovada decisão a decisão. As duas </w:t>
        <w:lastRenderedPageBreak/>
        <w:t>afirmações só se sustentam se existir registro durável do que entrou, do que a inferência pretendeu, do que a camada de verificação corrigiu e do que o nó efetivamente entregou. O banco é onde essa cadeia fica gravada.</w:t>
      </w:r>
    </w:p>
    <w:p w14:paraId="47FC57F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Adota-se modelo relacional, e a escolha decorre da natureza dos dados. O critério normativo aplicável a uma decisão depende da classe de iluminação da via em que o ponto de luz se encontra; reconstruir, para qualquer decisão passada, qual piso vigorava é uma operação de junção entre entidades, e não de varredura de documentos. A integridade referencial é, neste caso, o próprio mecanismo de auditoria: uma decisão que não se ligue a um ponto de luz, a uma classe e a uma versão da base de regras é registro sem sentido, e o modelo relacional o impede por construção. O volume envolvido na avaliação em bancada é pequeno, e nenhuma característica de escala justificaria abrir mão dessa garantia.</w:t>
      </w:r>
    </w:p>
    <w:p w14:paraId="36C6B53B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Uma decisão de modelagem merece destaque: os parâmetros normativos não residem no código, e sim em tabela. As iluminâncias mínimas, a classe mínima de dimerização admitida e a taxa máxima de decréscimo são atributos da entidade que representa a classe de iluminação, populados a partir da ABNT NBR 5101. A camada de verificação lê seu critério do banco. A consequência prática é que corrigir a classe atribuída a uma via, ou atualizar um valor após revisão da norma, torna-se operação de dado e não de software — propriedade coerente com a separação entre a camada adaptativa e a camada fixa, defendida em 7.6.</w:t>
      </w:r>
    </w:p>
    <w:p w14:paraId="00237BDE" w14:textId="77777777" w:rsidR="006B1E66" w:rsidRPr="000F5B8B" w:rsidRDefault="00000000"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>Quadro 2 – Entidades do banco de dados e sua função no sistema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14:paraId="4E953A1E" w14:textId="77777777"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53A88C" w14:textId="77777777" w:rsidR="006B1E66" w:rsidRDefault="00000000">
            <w:r>
              <w:rPr>
                <w:b/>
                <w:bCs/>
                <w:sz w:val="20"/>
                <w:szCs w:val="20"/>
              </w:rPr>
              <w:t>Entidade</w:t>
            </w:r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75E5D7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Atributos principais</w:t>
            </w:r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FF4F62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Função no sistema</w:t>
            </w:r>
          </w:p>
        </w:tc>
      </w:tr>
      <w:tr w:rsidR="006B1E66" w:rsidRPr="007B78AE" w14:paraId="64A20983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E370BB" w14:textId="77777777" w:rsidR="006B1E66" w:rsidRDefault="00000000">
            <w:r>
              <w:rPr>
                <w:sz w:val="20"/>
                <w:szCs w:val="20"/>
              </w:rPr>
              <w:t>classe_iluminacao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689BFD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Código da classe; iluminância mínima; iluminância mínima admitida em dimerização; classe mínima admitida; taxa máxima de decréscimo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34FB86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Tabela de referência normativa, populada a partir da ABNT NBR 5101. Fornece o critério externo que a camada de verificação consulta a cada decisão</w:t>
            </w:r>
          </w:p>
        </w:tc>
      </w:tr>
      <w:tr w:rsidR="006B1E66" w:rsidRPr="007B78AE" w14:paraId="03EE4BC3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53CB85" w14:textId="77777777" w:rsidR="006B1E66" w:rsidRDefault="00000000">
            <w:r>
              <w:rPr>
                <w:sz w:val="20"/>
                <w:szCs w:val="20"/>
              </w:rPr>
              <w:t>ponto_de_luz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B37A7F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Identificador; coordenadas; logradouro; classe de iluminação; estado operacional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6F1110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Representa a luminária. Na avaliação existe um único registro, correspondente ao nó de bancada; o modelo, contudo, é o do parque</w:t>
            </w:r>
          </w:p>
        </w:tc>
      </w:tr>
      <w:tr w:rsidR="006B1E66" w:rsidRPr="007B78AE" w14:paraId="7640E10C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DD2D1D" w14:textId="77777777" w:rsidR="006B1E66" w:rsidRDefault="00000000">
            <w:r>
              <w:rPr>
                <w:sz w:val="20"/>
                <w:szCs w:val="20"/>
              </w:rPr>
              <w:t>evento_urbano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1890FF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Carimbo de tempo; tipo; valor; abrangência; origem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7F49D8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Registra cada mensagem recebida da interface de dados urbanos: nível de movimentação, ocorrência reportada e condição meteorológica</w:t>
            </w:r>
          </w:p>
        </w:tc>
      </w:tr>
      <w:tr w:rsidR="006B1E66" w:rsidRPr="007B78AE" w14:paraId="38B15A19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0673AF" w14:textId="77777777" w:rsidR="006B1E66" w:rsidRDefault="00000000">
            <w:r>
              <w:rPr>
                <w:sz w:val="20"/>
                <w:szCs w:val="20"/>
              </w:rPr>
              <w:t>versao_base_regras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90D0D3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Identificador; data de vigência; quantidade de regras; resumo das alterações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A7F6BC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Atribui cada decisão à versão da base que a produziu. É a condição para </w:t>
              <w:lastRenderedPageBreak/>
              <w:t>reproduzir qualquer resultado após uma alteração de regras</w:t>
            </w:r>
          </w:p>
        </w:tc>
      </w:tr>
      <w:tr w:rsidR="006B1E66" w:rsidRPr="007B78AE" w14:paraId="2E2068FA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DA35B8" w14:textId="77777777" w:rsidR="006B1E66" w:rsidRDefault="00000000">
            <w:r>
              <w:rPr>
                <w:sz w:val="20"/>
                <w:szCs w:val="20"/>
              </w:rPr>
              <w:lastRenderedPageBreak/>
              <w:t>decisao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4B9601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Carimbo de tempo; ponto de luz; nível pretendido pela inferência; nível emitido; restrição que motivou a correção; versão da base de regras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C68D1C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Núcleo do registro de auditoria. Separar o nível pretendido do nível emitido é o que torna mensurável a atuação da camada de verificação</w:t>
            </w:r>
          </w:p>
        </w:tc>
      </w:tr>
      <w:tr w:rsidR="006B1E66" w:rsidRPr="007B78AE" w14:paraId="1F30FC78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6817C3" w14:textId="77777777" w:rsidR="006B1E66" w:rsidRDefault="00000000">
            <w:r>
              <w:rPr>
                <w:sz w:val="20"/>
                <w:szCs w:val="20"/>
              </w:rPr>
              <w:t>telemetria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645E9F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Carimbo de tempo; ponto de luz; decisão correspondente; ciclo de trabalho aplicado; iluminância medida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8EB7E1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Registra o que o nó entregou. Confrontada com a decisão correspondente, produz a latência do percurso e a diferença entre nível decidido e nível medido</w:t>
            </w:r>
          </w:p>
        </w:tc>
      </w:tr>
    </w:tbl>
    <w:p w14:paraId="3552573E" w14:textId="77777777" w:rsidR="006B1E66" w:rsidRPr="000F5B8B" w:rsidRDefault="00000000"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>Fonte: Elaborado pelos autores (2026).</w:t>
      </w:r>
    </w:p>
    <w:p w14:paraId="32E9C29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separação entre as entidades de decisão e de telemetria é deliberada: a primeira registra o que o sistema determinou, a segunda o que o mundo devolveu. Mantê-las distintas e ligadas por chave estrangeira é o que permite medir a divergência entre uma coisa e outra, que figura entre os resultados esperados.</w:t>
      </w:r>
    </w:p>
    <w:p w14:paraId="4CDABEE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Registre-se o que o modelo não resolve. As entidades de evento urbano e de telemetria crescem continuamente e, em escala municipal, exigiriam particionamento por tempo, política de retenção e provavelmente armazenamento orientado a série temporal. A avaliação aqui conduzida opera sobre um nó e sobre cenários de duração conhecida, condição em que o modelo relacional é adequado sem qualificação. O tratamento do crescimento em escala de parque figura entre os trabalhos futuros.</w:t>
      </w:r>
    </w:p>
    <w:p>
      <w:pPr>
        <w:pStyle w:val="Heading3"/>
        <w:spacing w:before="320" w:after="200" w:line="360" w:lineRule="auto"/>
        <w:rPr>
          <w:lang w:val="pt-BR"/>
        </w:rPr>
      </w:pPr>
      <w:r>
        <w:rPr>
          <w:lang w:val="pt-BR"/>
        </w:rPr>
        <w:t xml:space="preserve">7.2.3 Correspondência com o sistema de telegestão contratado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bancada não é uma maquete da iluminação pública: é um análogo funcional do sistema de telegestão que a concessão contratou. A afirmação precisa ser demonstrada, e não enunciada, porque dela depende a transposição de qualquer resultado obtido em bancada para o ativo municipal. O Quadro 3 confronta, função a função, o que o Anexo III do contrato de concessão exige do sistema de telegestão (SÃO PAULO, 2015) com o que o arranjo aqui descrito realiza, e classifica cada correspondência.</w:t>
      </w:r>
    </w:p>
    <w:p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 xml:space="preserve">Quadro 3 – Correspondência entre o arranjo de bancada e o sistema de telegestão contratado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171"/>
      </w:tblGrid>
      <w:tr>
        <w:trPr>
          <w:tblHeader/>
        </w:trPr>
        <w:tc>
          <w:tcPr>
            <w:tcW w:w="26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Função do sistema de telegestão</w:t>
            </w:r>
          </w:p>
        </w:tc>
        <w:tc>
          <w:tcPr>
            <w:tcW w:w="33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Como o arranjo a realiza</w:t>
            </w:r>
          </w:p>
        </w:tc>
        <w:tc>
          <w:tcPr>
            <w:tcW w:w="31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Correspondência</w:t>
            </w:r>
          </w:p>
        </w:tc>
      </w:tr>
      <w:tr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Comando remoto de intensidade, isolado ou em grupo, emitido pelo centro de controle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Publicação em tópico MQTT endereçado ao ponto de luz; o comando em grupo corresponde a múltiplos assinantes do mesmo tópico</w:t>
            </w:r>
          </w:p>
        </w:tc>
        <w:tc>
          <w:tcPr>
            <w:tcW w:w="3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Funcional. A escala é reduzida a um nó por delimitação de escopo, e não por impedimento da arquitetura</w:t>
            </w:r>
          </w:p>
        </w:tc>
      </w:tr>
      <w:tr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Comunicação bidirecional entre o centro de controle e a luminária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Assinatura do tópico de comando e publicação de telemetria pelo nó, sobre canal cifrado e com credencial própria do dispositivo</w:t>
            </w:r>
          </w:p>
        </w:tc>
        <w:tc>
          <w:tcPr>
            <w:tcW w:w="3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Equivalente</w:t>
            </w:r>
          </w:p>
        </w:tc>
      </w:tr>
      <w:tr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Dimerização pela entrada do driver, por controle analógico de 0 V a 10 V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Modulação por largura de pulso; a conversão entre as duas entradas é filtro passa-baixas seguido de seguidor de tensão, conforme 7.3.1</w:t>
            </w:r>
          </w:p>
        </w:tc>
        <w:tc>
          <w:tcPr>
            <w:tcW w:w="3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Análoga. A diferença é de interface elétrica, e não de natureza do comando</w:t>
            </w:r>
          </w:p>
        </w:tc>
      </w:tr>
      <w:tr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Informação de estado do ativo: falha, funcionamento e inventário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Comparação entre o nível comandado e a iluminância medida, com detecção de falha e alerta de divergência, conforme 7.3.5</w:t>
            </w:r>
          </w:p>
        </w:tc>
        <w:tc>
          <w:tcPr>
            <w:tcW w:w="3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Análoga. A telegestão apura grandeza elétrica; a bancada apura grandeza fotométrica</w:t>
            </w:r>
          </w:p>
        </w:tc>
      </w:tr>
      <w:tr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Medição do consumo para efeito de faturamento, nos termos do despacho da agência reguladora federal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Não medido. O consumo é estimado a partir da potência declarada do módulo de luz e da trajetória de ciclo de trabalho registrada, conforme 7.10</w:t>
            </w:r>
          </w:p>
        </w:tc>
        <w:tc>
          <w:tcPr>
            <w:tcW w:w="3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Não equivalente. Estimativa declarada, com as hipóteses delimitadas em 7.10</w:t>
            </w:r>
          </w:p>
        </w:tc>
      </w:tr>
      <w:tr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Programação agendada de níveis por horário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Não reproduzida. A decisão é produzida por evento observado, e o regime agendado comparece apenas como linha de base de comparação</w:t>
            </w:r>
          </w:p>
        </w:tc>
        <w:tc>
          <w:tcPr>
            <w:tcW w:w="3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Divergência deliberada. É precisamente o objeto do trabalho</w:t>
            </w:r>
          </w:p>
        </w:tc>
      </w:tr>
      <w:tr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Enlace de comunicação de longo alcance e baixo consumo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Wi-Fi. O protocolo de mensagens é independente do meio, de modo que substituir o rádio não altera o intermediário, a semântica dos tópicos nem o conteúdo das mensagens</w:t>
            </w:r>
          </w:p>
        </w:tc>
        <w:tc>
          <w:tcPr>
            <w:tcW w:w="3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Não equivalente. Registrada entre as limitações</w:t>
            </w:r>
          </w:p>
        </w:tc>
      </w:tr>
    </w:tbl>
    <w:p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 xml:space="preserve">Fonte: Elaborado pelos autores (2026) a partir de São Paulo (2015) e Agência Nacional de Energia Elétrica (2022).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leitura do quadro exige precisão quanto ao que se afirma. A correspondência é funcional e topológica: o arranjo realiza as funções que o contrato atribui ao sistema de telegestão e as organiza na mesma topologia — um serviço central decide, o ponto de luz executa e reporta. Não é correspondência de escala, de potência, de geometria fotométrica, de instrumentação nem de enlace, e nenhuma dessas divergências é dissimulada: todas figuram entre as limitações.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distinção delimita o alcance dos resultados. Transpõe-se ao ativo municipal o que depender das funções correspondentes — a cadeia de decisão, a verificação normativa, a latência do percurso lógico e a estrutura do registro de auditoria. Não se transpõe o que depender de grandeza física medida, como iluminância absoluta, potência ou uniformidade, e o trabalho não o transpõe. Registre-se, por fim, que os autores não tiveram acesso ao equipamento efetivamente instalado pela concessionária: a correspondência aqui estabelecida apoia-se no que o contrato exige desse equipamento, documento público, e não em sua inspeção.</w:t>
      </w:r>
    </w:p>
    <w:p w14:paraId="7EDA3F30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4" w:name="_Toc240223144"/>
      <w:r>
        <w:rPr>
          <w:lang w:val="pt-BR"/>
        </w:rPr>
        <w:t>7.3 O nó de demonstração</w:t>
      </w:r>
      <w:bookmarkEnd w:id="24"/>
    </w:p>
    <w:p w14:paraId="15B71923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O protótipo físico é um nó único, deliberadamente mínimo. Sua função no trabalho é tornar visível e mensurável o resultado da decisão, e não caracterizar o comportamento de componentes. O Quadro 4 lista seus elementos.</w:t>
      </w:r>
    </w:p>
    <w:p w14:paraId="2C4C2191" w14:textId="77777777" w:rsidR="006B1E66" w:rsidRPr="000F5B8B" w:rsidRDefault="00000000"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>Quadro 4 – Elementos do nó de demonstração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14:paraId="1515E676" w14:textId="77777777"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B086F2" w14:textId="77777777" w:rsidR="006B1E66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35F8DC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Função no nó</w:t>
            </w:r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98EF01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Especificação adotada</w:t>
            </w:r>
          </w:p>
        </w:tc>
      </w:tr>
      <w:tr w:rsidR="006B1E66" w:rsidRPr="007B78AE" w14:paraId="2717DDFC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370254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Microcontrolador ESP32 (módulo ESP32-WROOM-32)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61129A" w14:textId="77777777" w:rsidR="006B1E66" w:rsidRDefault="00000000">
            <w:r>
              <w:rPr>
                <w:sz w:val="20"/>
                <w:szCs w:val="20"/>
                <w:lang w:val="pt-BR"/>
              </w:rPr>
              <w:t xml:space="preserve">Mantém a sessão com o intermediário de mensagens, recebe o comando, gera o sinal de acionamento e publica a telemetria. </w:t>
            </w:r>
            <w:r>
              <w:rPr>
                <w:sz w:val="20"/>
                <w:szCs w:val="20"/>
              </w:rPr>
              <w:t xml:space="preserve">Alimentado pela própria porta de programação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137FBB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Dois núcleos a 240 MHz, 520 KiB de memória interna, rádio Wi-Fi 2,4 GHz nativo, periférico de modulação por largura de pulso em hardware com resolução programável</w:t>
            </w:r>
          </w:p>
        </w:tc>
      </w:tr>
      <w:tr w:rsidR="006B1E66" w14:paraId="494F2A2B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ABD719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Segmento de fita de LED em 12 V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67D005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Reproduz o ponto de luz da via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A425E9" w14:textId="77777777" w:rsidR="006B1E66" w:rsidRDefault="00000000">
            <w:r>
              <w:rPr>
                <w:sz w:val="20"/>
                <w:szCs w:val="20"/>
                <w:lang w:val="pt-BR"/>
              </w:rPr>
              <w:t xml:space="preserve">Tipo 5050, sessenta emissores por metro, 14,4 W/m, ângulo de abertura de </w:t>
              <w:lastRenderedPageBreak/>
              <w:t xml:space="preserve">120°, com resistores de limitação integrados e seccionamento a cada três emissores. </w:t>
            </w:r>
            <w:r>
              <w:rPr>
                <w:sz w:val="20"/>
                <w:szCs w:val="20"/>
              </w:rPr>
              <w:t xml:space="preserve">O comprimento do segmento é fixado por medição, conforme 7.3.2</w:t>
            </w:r>
          </w:p>
        </w:tc>
      </w:tr>
      <w:tr w:rsidR="006B1E66" w:rsidRPr="007B78AE" w14:paraId="7D2A93F4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119B3E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lastRenderedPageBreak/>
              <w:t>Módulo de acionamento com transistor de efeito de campo e entrada de modulação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7DA1BF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Converte o sinal modulado do microcontrolador em variação do fluxo luminoso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2D88F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Faixa de nível lógico declarada a partir de 3,3 V, modulação admitida até 20 kHz, carga de 5 V a 30 V, com resistor de porta e proteção de porta já integrados e bornes a parafuso</w:t>
            </w:r>
          </w:p>
        </w:tc>
      </w:tr>
      <w:tr w:rsidR="006B1E66" w:rsidRPr="007B78AE" w14:paraId="1A5F6BA5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7AE5B5" w14:textId="77777777" w:rsidR="006B1E66" w:rsidRDefault="00000000">
            <w:r>
              <w:rPr>
                <w:sz w:val="20"/>
                <w:szCs w:val="20"/>
              </w:rPr>
              <w:t xml:space="preserve">Sensor de iluminância BH1750FVI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B4A83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Mede a iluminância entregue no plano de medição e a publica continuamente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F663CD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Saída digital direta em lux por barramento I²C; faixa de 1 lx a 65.535 lx; resolução de 0,11 lx no modo de alta resolução 2 com o registrador de tempo de medição no valor máximo</w:t>
            </w:r>
          </w:p>
        </w:tc>
      </w:tr>
      <w:tr w:rsidR="006B1E66" w:rsidRPr="007B78AE" w14:paraId="29C572E4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B146F2" w14:textId="77777777" w:rsidR="006B1E66" w:rsidRDefault="00000000">
            <w:r>
              <w:rPr>
                <w:sz w:val="20"/>
                <w:szCs w:val="20"/>
              </w:rPr>
              <w:t>Fonte de 12 V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FB9FFD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Alimenta exclusivamente o ramo de iluminação, separado da alimentação do microcontrolador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3559DE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Fonte chaveada de 12 V e 2 A; consumo do segmento adotado inferior a 300 mA</w:t>
            </w:r>
          </w:p>
        </w:tc>
      </w:tr>
      <w:tr w:rsidR="006B1E66" w:rsidRPr="007B78AE" w14:paraId="55B416D2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D56095" w14:textId="77777777" w:rsidR="006B1E66" w:rsidRDefault="00000000">
            <w:r>
              <w:rPr>
                <w:sz w:val="20"/>
                <w:szCs w:val="20"/>
              </w:rPr>
              <w:t xml:space="preserve">Anteparo de bancada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E7001C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Isola o plano de medição da luz ambiente do recinto e delimita a cena observada pela plateia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FBECB1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Estrutura opaca de face interna fosca, com a luminária em uma extremidade e o plano de medição na outra</w:t>
            </w:r>
          </w:p>
        </w:tc>
      </w:tr>
    </w:tbl>
    <w:p w14:paraId="78DC4BEE" w14:textId="77777777" w:rsidR="006B1E66" w:rsidRPr="000F5B8B" w:rsidRDefault="00000000"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>Fonte: Elaborado pelos autores (2026).</w:t>
      </w:r>
    </w:p>
    <w:p w14:paraId="3659DAE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montagem não exige solda: as conexões de potência são feitas em bornes a parafuso e as de sinal em barramento de prototipagem. Todos os elementos são componentes de prateleira, de custo desprezível diante de qualquer ativo urbano, e esse fato integra o argumento: demonstrar o vínculo entre observação urbana e atuação luminosa não requer investimento significativo, o que é coerente com a tese de que o que falta ao município não é equipamento.</w:t>
      </w:r>
    </w:p>
    <w:p w14:paraId="302FAA0F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5" w:name="_Toc240223145"/>
      <w:r>
        <w:rPr>
          <w:lang w:val="pt-BR"/>
        </w:rPr>
        <w:t>7.3.1 Critérios de seleção e alternativas preteridas</w:t>
      </w:r>
      <w:bookmarkEnd w:id="25"/>
    </w:p>
    <w:p w14:paraId="2F9BC8A2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Cada elemento foi selecionado contra alternativas efetivamente disponíveis, segundo quatro critérios declarados previamente: aderência funcional ao requisito que o elemento precisa satisfazer; disponibilidade no mercado nacional em prazo compatível com as seis semanas de execução; possibilidade de verificação independente da especificação em documentação do fabricante; e economia de montagem, entendida como o menor número de peças e de operações capaz de satisfazer o requisito. O Quadro 5 sintetiza as decisões, e os parágrafos seguintes expõem a razão determinante de cada uma.</w:t>
      </w:r>
    </w:p>
    <w:p w14:paraId="066CB7C3" w14:textId="77777777" w:rsidR="006B1E66" w:rsidRPr="000F5B8B" w:rsidRDefault="00000000"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>Quadro 5 – Alternativas consideradas e razão da escolha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1733"/>
        <w:gridCol w:w="1935"/>
        <w:gridCol w:w="3853"/>
      </w:tblGrid>
      <w:tr w:rsidR="006B1E66" w14:paraId="227AAC04" w14:textId="77777777">
        <w:trPr>
          <w:tblHeader/>
        </w:trPr>
        <w:tc>
          <w:tcPr>
            <w:tcW w:w="145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25D34" w14:textId="77777777" w:rsidR="006B1E66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Função no nó</w:t>
            </w:r>
          </w:p>
        </w:tc>
        <w:tc>
          <w:tcPr>
            <w:tcW w:w="175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E518F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Solução adotada</w:t>
            </w:r>
          </w:p>
        </w:tc>
        <w:tc>
          <w:tcPr>
            <w:tcW w:w="195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BA13B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Alternativas preteridas</w:t>
            </w:r>
          </w:p>
        </w:tc>
        <w:tc>
          <w:tcPr>
            <w:tcW w:w="3921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53CCF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Razão determinante da escolha</w:t>
            </w:r>
          </w:p>
        </w:tc>
      </w:tr>
      <w:tr w:rsidR="006B1E66" w:rsidRPr="007B78AE" w14:paraId="56850B0C" w14:textId="77777777"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5CE9F" w14:textId="77777777" w:rsidR="006B1E66" w:rsidRDefault="00000000">
            <w:r>
              <w:rPr>
                <w:sz w:val="20"/>
                <w:szCs w:val="20"/>
              </w:rPr>
              <w:t xml:space="preserve">Processamento e comunicação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49A4D" w14:textId="77777777" w:rsidR="006B1E66" w:rsidRDefault="00000000">
            <w:r>
              <w:rPr>
                <w:sz w:val="20"/>
                <w:szCs w:val="20"/>
              </w:rPr>
              <w:t>ESP32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0756E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Arduino Uno ou Nano; ESP8266; Raspberry Pi Pico W; computador de placa única com sistema operacional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5E7A9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O Arduino não possui rádio e não comporta sessão segura em 2 KiB de memória. O ESP8266 comporta o enlace, mas sua modulação por largura de pulso é assistida por software e apresenta instabilidade temporal incompatível com a execução de rampa governada. O Pico W é tecnicamente adequado, e a preferência pelo ESP32 decorre da modulação em hardware com resolução programável e da maturidade das bibliotecas de transporte. O computador de placa única é rejeitado por razão arquitetural, não por capacidade</w:t>
            </w:r>
          </w:p>
        </w:tc>
      </w:tr>
      <w:tr w:rsidR="006B1E66" w:rsidRPr="007B78AE" w14:paraId="22D97505" w14:textId="77777777"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59E3B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Acionamento do módulo de luz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41339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Módulo com transistor de efeito de campo e entrada de modulação, declarado para nível lógico a partir de 3,3 V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27117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Módulo baseado no IRF520; transistor discreto montado com resistores de porta; regulador de corrente constante; dimerização por ângulo de condução em tensão de rede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92ABE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O módulo adotado traz resistor de porta, polarização e proteção já integrados, com bornes a parafuso, e sua faixa de nível lógico declarada abrange os 3,3 V do microcontrolador. O módulo baseado no IRF520, de aparência e preço equivalentes, exige comando em 5 V por declaração do próprio fabricante, e operaria em condução parcial. A verificação da tensão de limiar de porta foi o critério que separou dois módulos externamente semelhantes. A dimerização em tensão de rede expõe a bancada a 127 V sem ganho</w:t>
            </w:r>
          </w:p>
        </w:tc>
      </w:tr>
      <w:tr w:rsidR="006B1E66" w:rsidRPr="007B78AE" w14:paraId="038DFE5E" w14:textId="77777777"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B0AED" w14:textId="77777777" w:rsidR="006B1E66" w:rsidRDefault="00000000">
            <w:r>
              <w:rPr>
                <w:sz w:val="20"/>
                <w:szCs w:val="20"/>
              </w:rPr>
              <w:t>Fonte de luz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ECBDD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Segmento curto de fita de LED em 12 V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FA5BE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Emissor de potência em base metálica com resistor de lastro; refletor de estado sólido em 12 V de corrente contínua; luminária viária comercial; lâmpada incandescente com dimerizador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6364C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 fita traz resistores de limitação integrados, o que elimina o cálculo e a dissipação do lastro, dispensa base metálica e reduz a montagem a dois condutores. A objeção usual à fita — a de ser fonte extensa — aplica-se ao rolo, não ao segmento: dez centímetros a 1,5 m subtendem menos de quatro graus e comportam-se como fonte pontual para efeito do cálculo. O refletor de 12 V é rejeitado por duas razões independentes: um exemplar de 10 W e 800 lm entregaria cerca de 113 lux a 1,5 m, seis vezes a faixa de trabalho, e sua alimentação em faixa de 12 V a 24 V denuncia reatação interna de corrente constante, de modo que a modulação aplicada à entrada não governa o fluxo de forma previsível. A luminária viária, de dezenas de watts, agrava o primeiro problema. A lâmpada incandescente não representa a tecnologia instalada no município e tem inércia térmica que mascara a dinâmica da decisão</w:t>
            </w:r>
          </w:p>
        </w:tc>
      </w:tr>
      <w:tr w:rsidR="006B1E66" w:rsidRPr="007B78AE" w14:paraId="686EC6C3" w14:textId="77777777"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4202E" w14:textId="77777777" w:rsidR="006B1E66" w:rsidRDefault="00000000">
            <w:r>
              <w:rPr>
                <w:sz w:val="20"/>
                <w:szCs w:val="20"/>
              </w:rPr>
              <w:t xml:space="preserve">Medição da iluminância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38238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Sensor digital de iluminância BH1750FVI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75B6A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Fotorresistor; luxímetro portátil de baixo custo </w:t>
              <w:lastRenderedPageBreak/>
              <w:t>empregado como sensor do nó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AA669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lastRenderedPageBreak/>
              <w:t xml:space="preserve">O fotorresistor entrega resistência, não iluminância; sua resposta espectral não aproxima a curva de sensibilidade do </w:t>
              <w:lastRenderedPageBreak/>
              <w:t>olho, e a dispersão entre unidades é elevada. Qualquer valor em lux dele extraído seria uma curva ajustada pelos próprios autores, e o trabalho passaria a reportar a própria calibração em lugar de uma iluminância. O luxímetro portátil não dispõe de saída digital e não pode compor a telemetria; ademais, os modelos da faixa de preço compatível declaram erro de zero da ordem de dez lux, superior à própria grandeza medida</w:t>
            </w:r>
          </w:p>
        </w:tc>
      </w:tr>
      <w:tr w:rsidR="006B1E66" w:rsidRPr="007B78AE" w14:paraId="458FAED6" w14:textId="77777777"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C0C4A" w14:textId="77777777" w:rsidR="006B1E66" w:rsidRDefault="00000000">
            <w:r>
              <w:rPr>
                <w:sz w:val="20"/>
                <w:szCs w:val="20"/>
              </w:rPr>
              <w:lastRenderedPageBreak/>
              <w:t xml:space="preserve">Transporte da mensagem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070D7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Wi-Fi com protocolo MQTT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5A89F" w14:textId="77777777" w:rsidR="006B1E66" w:rsidRDefault="00000000">
            <w:r>
              <w:rPr>
                <w:sz w:val="20"/>
                <w:szCs w:val="20"/>
              </w:rPr>
              <w:t>LoRaWAN; NB-IoT; Zigbee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29E4C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As alternativas são as efetivamente empregadas em implantações de telegestão, e seriam as escolhas corretas em campo. O MQTT, porém, é independente do meio: substituir o rádio não altera o intermediário, a semântica dos tópicos nem o conteúdo das mensagens. O objeto avaliado é a camada de decisão, não o enlace, e a escolha está registrada entre as limitações</w:t>
            </w:r>
          </w:p>
        </w:tc>
      </w:tr>
    </w:tbl>
    <w:p w14:paraId="343330CB" w14:textId="77777777" w:rsidR="006B1E66" w:rsidRPr="000F5B8B" w:rsidRDefault="00000000"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>Fonte: Elaborado pelos autores (2026).</w:t>
      </w:r>
    </w:p>
    <w:p w14:paraId="7AC5E3A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Duas dessas decisões merecem registro. A primeira é a rejeição do computador de placa única, que não decorre de insuficiência — um computador desse porte executaria com folga tudo o que o nó faz —, e sim de a arquitetura descrita em 7.2 manter a decisão fora do dispositivo: o microcontrolador de recurso restrito é a escolha que torna essa separação verificável, porque o nó não decide por não ter como decidir. Acrescem-se o tempo de inicialização, a suscetibilidade do sistema de arquivos à queda de energia e o custo unitário, relevantes em ativo que se replicaria por centenas de milhares de unidades.</w:t>
      </w:r>
    </w:p>
    <w:p w14:paraId="07407454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segunda é a relação entre o acionamento adotado na bancada e o exigido em contrato. O Caderno de Encargos da concessão paulistana, Anexo III do contrato, especifica drivers que permitam dimerização por controle analógico de 0 a 10 V, e a bancada emprega modulação por largura de pulso. As duas são entradas de dimerização padronizadas de reatores de estado sólido, e a conversão entre elas é um filtro passa-baixas seguido de seguidor de tensão. A diferença é, portanto, de interface elétrica e não de natureza do comando: a camada de decisão emite um nível adimensional, e é o nó que o materializa segundo a interface disponível. Registrar isso é o que permite afirmar que o mecanismo demonstrado é transponível ao equipamento efetivamente instalado.</w:t>
      </w:r>
    </w:p>
    <w:p w14:paraId="4EBB65D3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6" w:name="_Toc240223146"/>
      <w:r>
        <w:rPr>
          <w:lang w:val="pt-BR"/>
        </w:rPr>
        <w:t>7.3.2 Dimensionamento fotométrico da bancada</w:t>
      </w:r>
      <w:bookmarkEnd w:id="26"/>
    </w:p>
    <w:p w14:paraId="063E290C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Convém delimitar, antes de expor os procedimentos das três subseções seguintes, o que a medição de bancada é e o que ela não é. Ela não constitui verificação fotométrica normativa. A ABNT NBR 5101 prescreve, para aferir uma instalação, a medição sobre malha de pontos de espaçamento definido, o cálculo da iluminância média e da uniformidade a partir dessa malha, a verificação das iluminâncias mínima horizontal e vertical, e o emprego de valores mantidos ao longo da vida útil da instalação. Nada disso é reproduzido aqui, nem poderia sê-lo em arranjo de um único ponto de medição. O que os procedimentos a seguir asseguram é outra coisa: que a grandeza lida corresponda à luz produzida pelo nó, e que a relação entre o nível comandado e o nível entregue seja conhecida e estável. São procedimentos de controle de instrumentação, e não de conformidade de instalação.</w:t>
      </w:r>
    </w:p>
    <w:p w14:paraId="19B9593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bancada precisa situar a faixa normativa na região central da excursão do acionamento, e o cálculo que segue serve apenas para chegar à ordem de grandeza correta antes da montagem. A iluminância no eixo vale E = </w:t>
      </w:r>
      <w:r>
        <w:t>Φ</w:t>
      </w:r>
      <w:r>
        <w:rPr>
          <w:lang w:val="pt-BR"/>
        </w:rPr>
        <w:t>/(</w:t>
      </w:r>
      <w:r>
        <w:t>Ω</w:t>
      </w:r>
      <w:r>
        <w:rPr>
          <w:lang w:val="pt-BR"/>
        </w:rPr>
        <w:t xml:space="preserve"> h²), em que </w:t>
      </w:r>
      <w:r>
        <w:t>Φ</w:t>
      </w:r>
      <w:r>
        <w:rPr>
          <w:lang w:val="pt-BR"/>
        </w:rPr>
        <w:t xml:space="preserve"> é o fluxo do segmento, </w:t>
      </w:r>
      <w:r>
        <w:t>Ω</w:t>
      </w:r>
      <w:r>
        <w:rPr>
          <w:lang w:val="pt-BR"/>
        </w:rPr>
        <w:t xml:space="preserve"> o ângulo sólido correspondente ao ângulo de abertura declarado pelo fabricante e h a distância ao plano de medição. Fixada a altura, o comprimento do segmento é a variável de projeto.</w:t>
      </w:r>
    </w:p>
    <w:p w14:paraId="76A0AB7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lastRenderedPageBreak/>
        <w:t>Aqui se impõe uma cautela. A especificação elétrica dessas fitas é consistente entre fornecedores — sessenta emissores por metro, 14,4 W/m —, mas a fotométrica não: anúncios de produtos nominalmente idênticos declaram fluxos que vão de cerca de 600 a cerca de 1.300 lm por metro, divergência superior ao dobro e incompatível com uma mesma potência. Nenhum desses valores é verificável pelos autores. O comprimento do segmento é, por isso, determinado por medição, e não por catálogo: parte-se de um trecho e ajusta-se o comprimento, em múltiplos do intervalo de seccionamento, até que a leitura a ciclo de trabalho pleno se situe entre uma vez e meia e duas vezes a iluminância média mantida da classe adotada. Para a faixa de fluxo declarada, o segmento resultante situa-se na ordem de poucas dezenas de centímetros.</w:t>
      </w:r>
    </w:p>
    <w:p w14:paraId="0CDE99D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critério de uma vez e meia a duas vezes o valor da classe é deliberado. A classe P3, adotada em 7.7, fixa iluminância média mantida de 10 lux, e a atenuação máxima admitida conduz a 5 lux. Com teto físico nessa proporção, a iluminação plena da classe situa-se em torno de metade do ciclo de trabalho e o piso de atenuação em torno de um quarto, de modo que a faixa normativa ocupa a região central da excursão. A margem entre o teto físico e o teto normativo é o que torna o resultado significativo: o limite é imposto pela camada de verificação, e não pela incapacidade do equipamento de ultrapassá-lo. Sem essa margem, a ausência de violações seria consequência da bancada, e não do sistema.</w:t>
      </w:r>
    </w:p>
    <w:p w14:paraId="52C0D48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Os valores de ciclo de trabalho correspondentes a 10 lux e a 5 lux são igualmente determinados por medição, e não por interpolação linear a partir do teto. A divergência entre fluxos declarados, somada à dispersão entre lotes e às perdas do anteparo, torna a aferição empírica não uma concessão à precariedade da bancada, mas o procedimento correto: a grandeza pertinente é a medida no plano de medição, não a declarada em catálogo.</w:t>
      </w:r>
    </w:p>
    <w:p w14:paraId="4AA514F5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A modulação opera a 5 kHz com resolução de 12 bits, o que fornece 4.096 degraus de ciclo de trabalho. A frequência é suficientemente alta para que o período do sinal seja desprezível diante dos 120 ms de integração do sensor, de modo que a leitura corresponde ao valor médio do fluxo e não a uma amostra da portadora. O Quadro 6 reúne o dimensionamento e sua correspondência com a norma.</w:t>
      </w:r>
    </w:p>
    <w:p w14:paraId="3A21C868" w14:textId="77777777" w:rsidR="006B1E66" w:rsidRPr="000F5B8B" w:rsidRDefault="00000000"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>Quadro 6 – Dimensionamento da bancada e correspondência com a norma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400"/>
        <w:gridCol w:w="2471"/>
      </w:tblGrid>
      <w:tr w:rsidR="006B1E66" w14:paraId="1782FE40" w14:textId="77777777">
        <w:trPr>
          <w:tblHeader/>
        </w:trPr>
        <w:tc>
          <w:tcPr>
            <w:tcW w:w="17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12099C" w14:textId="77777777" w:rsidR="006B1E66" w:rsidRDefault="00000000">
            <w:r>
              <w:rPr>
                <w:b/>
                <w:bCs/>
                <w:sz w:val="20"/>
                <w:szCs w:val="20"/>
              </w:rPr>
              <w:lastRenderedPageBreak/>
              <w:t>Grandeza</w:t>
            </w:r>
          </w:p>
        </w:tc>
        <w:tc>
          <w:tcPr>
            <w:tcW w:w="25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07789D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Valor na bancada</w:t>
            </w:r>
          </w:p>
        </w:tc>
        <w:tc>
          <w:tcPr>
            <w:tcW w:w="24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AB2229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Correspondência normativa</w:t>
            </w:r>
          </w:p>
        </w:tc>
        <w:tc>
          <w:tcPr>
            <w:tcW w:w="24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4A53F1" w14:textId="77777777" w:rsidR="006B1E66" w:rsidRDefault="00000000"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6B1E66" w:rsidRPr="007B78AE" w14:paraId="24AD48AB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608B7C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Iluminância a ciclo de trabalho pleno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D3CA4B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Entre uma vez e meia e duas vezes o valor da classe, fixada por medição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048C90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Acima do valor da classe adotada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91711D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 margem assegura que o teto seja imposto por software, e não pelo limite do equipamento</w:t>
            </w:r>
          </w:p>
        </w:tc>
      </w:tr>
      <w:tr w:rsidR="006B1E66" w:rsidRPr="007B78AE" w14:paraId="11128948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C98783" w14:textId="77777777" w:rsidR="006B1E66" w:rsidRDefault="00000000">
            <w:r>
              <w:rPr>
                <w:sz w:val="20"/>
                <w:szCs w:val="20"/>
              </w:rPr>
              <w:t xml:space="preserve">Iluminação plena da classe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6079B2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 lux, em torno de metade do ciclo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29519E" w14:textId="77777777" w:rsidR="006B1E66" w:rsidRDefault="00000000">
            <w:r>
              <w:rPr>
                <w:sz w:val="20"/>
                <w:szCs w:val="20"/>
              </w:rPr>
              <w:t xml:space="preserve">Classe P3, Tabela 7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CFDD5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Referência para o cálculo da taxa de variação</w:t>
            </w:r>
          </w:p>
        </w:tc>
      </w:tr>
      <w:tr w:rsidR="006B1E66" w:rsidRPr="007B78AE" w14:paraId="18B985FA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294BC7" w14:textId="77777777" w:rsidR="006B1E66" w:rsidRDefault="00000000">
            <w:r>
              <w:rPr>
                <w:sz w:val="20"/>
                <w:szCs w:val="20"/>
              </w:rPr>
              <w:t xml:space="preserve">Piso de atenuação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4CC2BF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 lux, em torno de um quarto do ciclo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D7EEBB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Classe P5, duas classes abaixo, subseção 6.10.2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EE5180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Limite inferior verificado antes de cada atuação</w:t>
            </w:r>
          </w:p>
        </w:tc>
      </w:tr>
      <w:tr w:rsidR="006B1E66" w:rsidRPr="007B78AE" w14:paraId="1AAA5726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557FA5" w14:textId="77777777" w:rsidR="006B1E66" w:rsidRDefault="00000000">
            <w:r>
              <w:rPr>
                <w:sz w:val="20"/>
                <w:szCs w:val="20"/>
              </w:rPr>
              <w:t xml:space="preserve">Taxa máxima de decréscimo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0E9CC9" w14:textId="77777777" w:rsidR="006B1E66" w:rsidRDefault="00000000">
            <w:r>
              <w:rPr>
                <w:sz w:val="20"/>
                <w:szCs w:val="20"/>
              </w:rPr>
              <w:t xml:space="preserve">1 lux por minuto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A17534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Um décimo da iluminação plena por minuto, subseção 6.10.2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1A2FD9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 transição de 10 lux a 5 lux não pode ocorrer em menos de cinco minutos</w:t>
            </w:r>
          </w:p>
        </w:tc>
      </w:tr>
      <w:tr w:rsidR="006B1E66" w:rsidRPr="007B78AE" w14:paraId="0A20FC5D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E12F1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Degrau de atualização da rampa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895BA0" w14:textId="77777777" w:rsidR="006B1E66" w:rsidRDefault="00000000">
            <w:r>
              <w:rPr>
                <w:sz w:val="20"/>
                <w:szCs w:val="20"/>
              </w:rPr>
              <w:t xml:space="preserve">Aproximadamente 0,017 lux por segundo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CEC2E" w14:textId="77777777" w:rsidR="006B1E66" w:rsidRDefault="00000000">
            <w:r>
              <w:rPr>
                <w:sz w:val="20"/>
                <w:szCs w:val="20"/>
              </w:rPr>
              <w:t xml:space="preserve">Não prescrito pela norma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4D7F7E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Inferior à resolução do sensor, o que torna a rampa contínua para efeito de medição</w:t>
            </w:r>
          </w:p>
        </w:tc>
      </w:tr>
    </w:tbl>
    <w:p w14:paraId="2E7E2B5E" w14:textId="77777777" w:rsidR="006B1E66" w:rsidRPr="000F5B8B" w:rsidRDefault="00000000"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>Fonte: Elaborado pelos autores (2026).</w:t>
      </w:r>
    </w:p>
    <w:p w14:paraId="395275B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taxa máxima de decréscimo tem consequência direta sobre a demonstração, e é preferível declará-la a ser surpreendido por ela. Uma redução de 10 lux para 5 lux consome, no mínimo, cinco minutos. A norma, contudo, limita apenas o decréscimo: a elevação do fluxo não está sujeita a essa restrição, e o trabalho a mantém livre, por elevar o nível na direção do valor pleno da classe e jamais reduzir a segurança. A demonstração explora essa assimetria — diante de um evento reportado, a elevação é imediata e visível; a atenuação subsequente ocorre sob rampa governada, exibida no painel junto à trajetória prevista. O que a plateia observa não é apenas a luz mudando, mas a camada de verificação impondo o ritmo dessa mudança.</w:t>
      </w:r>
    </w:p>
    <w:p w14:paraId="2B7B9D2B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7" w:name="_Toc240223147"/>
      <w:r>
        <w:rPr>
          <w:lang w:val="pt-BR"/>
        </w:rPr>
        <w:t>7.3.3 Controle das condições de medição</w:t>
      </w:r>
      <w:bookmarkEnd w:id="27"/>
    </w:p>
    <w:p w14:paraId="4049355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Medir 10 lux em recinto cuja iluminação de serviço situa-se entre 300 lux e 500 lux não produz resultado interpretável. O plano de medição é, por isso, alojado em anteparo opaco de face interna fosca, com a luminária em uma extremidade e o sensor na outra, aberto apenas na face voltada à plateia. A providência não é expediente de conveniência: é condição para que a grandeza medida seja a iluminância produzida pelo nó.</w:t>
      </w:r>
    </w:p>
    <w:p w14:paraId="53911A3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Antes de cada sessão de medição registra-se a iluminância residual com o módulo de luz desligado. Esse valor é subtraído das leituras e reportado junto aos </w:t>
        <w:lastRenderedPageBreak/>
        <w:t>resultados. Sessões em que a residual ultrapasse cinco por cento do valor da classe são descartadas e repetidas.</w:t>
      </w:r>
    </w:p>
    <w:p w14:paraId="00A752E7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8" w:name="_Toc240223148"/>
      <w:r>
        <w:rPr>
          <w:lang w:val="pt-BR"/>
        </w:rPr>
        <w:t>7.3.4 Verificação da medição e incerteza declarada</w:t>
      </w:r>
      <w:bookmarkEnd w:id="28"/>
    </w:p>
    <w:p w14:paraId="2E240DC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sensor adotado declara exatidão da ordem de vinte por cento em valor absoluto, e a bancada não dispõe de instrumento de referência calibrado contra padrão metrológico. Essa é a limitação de medição do arranjo, e convém delimitar com precisão o que ela afeta e o que não afeta.</w:t>
      </w:r>
    </w:p>
    <w:p w14:paraId="38309AE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Ela não afeta a verificação do invariante de segurança. Essa verificação incide sobre o nível decidido pelo sistema, em lux, antes da emissão do comando, e confronta-o com os limites da norma. É uma verificação em software, de critério integralmente externo, reproduzível por qualquer pessoa que disponha do texto normativo e dos registros de decisão. Nenhuma parcela dela depende do instrumento instalado na bancada.</w:t>
      </w:r>
    </w:p>
    <w:p w14:paraId="3BB36393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Ela também não compromete as duas grandezas que a bancada efetivamente estabelece. A primeira é a latência entre a publicação do dado e a estabilização da iluminância, que é medida em tempo e não em lux. A segunda é a trajetória normalizada do fluxo, isto é, a razão entre a iluminância corrente e a iluminância plena — e é precisamente nessa forma relativa que a norma expressa a restrição de taxa. Um erro sistemático de escala cancela-se na razão.</w:t>
      </w:r>
    </w:p>
    <w:p w14:paraId="6BFFE3D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Tampouco afeta a consistência interna da bancada, e esta é a observação central. A iluminação plena da classe não é um valor imposto à bancada desde fora: é definida como o ciclo de trabalho em que o sensor registra o valor da classe. O piso de atenuação e a taxa máxima de decréscimo são, por sua vez, estabelecidos em relação a essa mesma referência — duas classes abaixo, um décimo por minuto. Um erro sistemático de escala desloca conjuntamente os três valores e não altera nenhuma das relações entre eles. O que a bancada demonstra é que a decisão comandada é executada e que a trajetória obedece aos limites, e isso permanece verdadeiro sob qualquer fator de escala constante.</w:t>
      </w:r>
    </w:p>
    <w:p w14:paraId="52D5202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Restam, portanto, três propriedades a estabelecer, todas insensíveis ao erro sistemático e todas verificáveis com uma única cadeia de medição. A primeira é a repetibilidade: cada nível comandado é repetido em séries independentes, e a </w:t>
        <w:lastRenderedPageBreak/>
        <w:t>dispersão das leituras é reportada. A segunda é a monotonicidade e a linearidade da resposta: o ciclo de trabalho é varrido em degraus ao longo de toda a excursão, e a curva de iluminância resultante é levantada e reportada, por ser a propriedade de que dependem as afirmações relativas. A terceira é o controle da parcela ambiente, tratado em 7.3.3. Nenhuma delas se confunde com a verificação prevista na norma para instalações, nos termos delimitados na abertura de 7.3.2.</w:t>
      </w:r>
    </w:p>
    <w:p w14:paraId="553F38A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trabalho não afirma exatidão metrológica em iluminância, e o texto registra essa restrição entre as limitações. Afirma repetibilidade, monotonicidade e consistência interna da escala, que são as propriedades de que seus resultados dependem. A verificação cruzada contra instrumento de referência calibrado, ou contra segunda cadeia de medição de arquitetura distinta, figura entre os trabalhos futuros. A distinção entre o que o arranjo estabelece e o que ele não estabelece é, ela própria, parte do que se pretende demonstrar.</w:t>
      </w:r>
    </w:p>
    <w:p w14:paraId="756E541C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escolha por um único nó é deliberada e declarada. O objeto do trabalho é a camada de decisão, não o dispositivo; multiplicar nós acrescentaria custo e tempo sem acrescentar resultado. O controle coordenado de múltiplas luminárias é registrado entre as limitações e entre os trabalhos futuros.</w:t>
      </w:r>
    </w:p>
    <w:p>
      <w:pPr>
        <w:pStyle w:val="Heading3"/>
        <w:spacing w:before="320" w:after="200" w:line="360" w:lineRule="auto"/>
        <w:rPr>
          <w:lang w:val="pt-BR"/>
        </w:rPr>
      </w:pPr>
      <w:r>
        <w:rPr>
          <w:lang w:val="pt-BR"/>
        </w:rPr>
        <w:t xml:space="preserve">7.3.5 Funções de diagnóstico do ponto de luz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O sensor de iluminância foi introduzido em 7.3 para verificar a execução da decisão. A mesma grandeza sustenta uma segunda função, e é ela que aproxima o nó do sistema de telegestão contratado pelo município: o diagnóstico do estado do ponto de luz. O Caderno de Encargos da concessão atribui à telegestão a gestão do ativo — apuração de falha, de consumo e de inventário, conforme registrado em 6.3 —, e é essa atribuição que a comparação entre o nível comandado e a iluminância medida permite exercer.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Três diagnósticos derivam dessa comparação e são avaliados sobre a bancada. O primeiro é a falha total: comando de nível não nulo acompanhado de leitura equivalente à iluminância residual registrada em 7.3.3 caracteriza luminária apagada, e a condição é induzida deliberadamente, por interrupção do ramo de potência, para que a detecção seja verificada e não apenas afirmada. O segundo é a divergência entre o nível emitido e o nível entregue, apurada a cada ciclo sobre a razão entre a iluminância medida e a correspondente ao comando. O terceiro é o alerta de perda de controle, emitido quando a divergência persiste acima de tolerância declarada por número de ciclos consecutivos.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tolerância não é arbitrada: é fixada acima da dispersão apurada no ensaio de repetibilidade de 7.3.4, de modo que o alerta não seja disparado pelo próprio instrumento. Vale aqui a propriedade estabelecida naquela subseção — o diagnóstico opera sobre razão entre iluminâncias, e um erro sistemático de escala cancela-se na razão —, o que torna a função exequível com a cadeia de medição disponível, apesar da exatidão absoluta declarada pelo fabricante do sensor.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Uma quarta função é identificada e expressamente não demonstrada. A queda progressiva da iluminância entregue a comando constante caracteriza depreciação do fluxo luminoso, grandeza que a ABNT NBR 5101 trata sob o termo fator de manutenção sem lhe fixar valor numérico. Um ponto de luz que mede o que entrega poderia estimá-lo empiricamente, em lugar de adotá-lo por tabela — possibilidade que a arquitetura habilita e que o prazo deste trabalho não permite verificar, por se tratar de fenômeno de milhares de horas de operação. Fica registrada entre os trabalhos futuros.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Registre-se a consequência sobre a revisão bibliográfica. França Filho e Tavares (2025), apresentados em 6.8 como delimitação por contraste, por tratarem da confiabilidade do ativo e não da decisão sobre ele, passam a comparecer também como convergência: o diagnóstico aqui descrito é, em escala de um ponto de luz, a função cuja disponibilidade aqueles autores modelam em escala de parque.</w:t>
      </w:r>
    </w:p>
    <w:p w14:paraId="249D9B67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9" w:name="_Toc240223149"/>
      <w:r>
        <w:rPr>
          <w:lang w:val="pt-BR"/>
        </w:rPr>
        <w:t>7.4 Dados urbanos e construção dos cenários</w:t>
      </w:r>
      <w:bookmarkEnd w:id="29"/>
    </w:p>
    <w:p w14:paraId="4D5F812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conteúdo publicado pela interface emulada não é arbitrário: é construído a partir da análise de conjuntos de dados públicos do município, de modo que os cenários submetidos ao sistema correspondam a situações efetivamente observadas na cidade.</w:t>
      </w:r>
    </w:p>
    <w:p w14:paraId="63EB957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Três conjuntos sustentam essa construção. As solicitações registradas pelos canais do SP156, disponibilizadas no portal municipal de dados abertos (SÃO PAULO, 2026), fornecem a distribuição de demandas por serviço urbano, entre elas as relativas à iluminação pública, permitindo caracterizar regiões e horários de maior incidência. Os registros de ocorrência publicados pelo Centro de Gerenciamento de Emergências fornecem a incidência de eventos meteorológicos severos e sua distribuição temporal. A base georreferenciada municipal fornece a caracterização das vias que permite determinar a classe de iluminação aplicável.</w:t>
      </w:r>
    </w:p>
    <w:p w14:paraId="5FD26C5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lastRenderedPageBreak/>
        <w:t>Declara-se a consequência metodológica: esses conjuntos são agregados e publicados em periodicidade que não é a de tempo real, de modo que servem à construção de cenários realistas e não à operação do sistema sobre informação corrente. A interface emulada reproduz o formato e a semântica que uma plataforma municipal produziria, e não os seus dados, aos quais não há acesso público.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Do exposto decorre a delimitação já enunciada em 2: demonstra-se o preparo para a integração e especifica-se a interface que a tornaria possível, por meio de interface equivalente, e não a interoperabilidade com a plataforma municipal em operação.</w:t>
      </w:r>
    </w:p>
    <w:p w14:paraId="215F0CE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Da análise desses conjuntos deriva-se a suíte de cenários de avaliação, composta por situações que cobrem o espaço de entrada do sistema, incluídas as combinações conflitantes — movimentação baixa com ocorrência reportada, precipitação com via ociosa, horário avançado com fluxo intenso — que constituem o caso interessante da decisão.</w:t>
      </w:r>
    </w:p>
    <w:p>
      <w:pPr>
        <w:pStyle w:val="Heading2"/>
        <w:spacing w:before="360" w:after="240" w:line="360" w:lineRule="auto"/>
        <w:rPr>
          <w:lang w:val="pt-BR"/>
        </w:rPr>
      </w:pPr>
      <w:r>
        <w:rPr>
          <w:lang w:val="pt-BR"/>
        </w:rPr>
        <w:t xml:space="preserve">7.5 Camada de previsão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camada de previsão estima o nível de movimentação na próxima janela de operação a partir das janelas anteriores. Seu treinamento requer série histórica de contagem de pedestres com granularidade horária, e aqui se impõe uma constatação que o próprio trabalho denuncia: o município de São Paulo não disponibiliza série dessa natureza em seu portal de dados abertos. A consulta ao catálogo municipal, realizada em setembro de 2026, retorna para o termo pedestre um único conjunto, o cadastro de lombadas; e os dois conjuntos intitulados fluxo de pessoas correspondem a relatórios mensais de público de equipamentos concedidos, sem granularidade horária e sem referência a via pública. A contagem de pessoas é exigida contratualmente da plataforma municipal de videomonitoramento, conforme documentado em 6.3, e não é publicada.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Adota-se, em consequência, a série pública do sistema de contagem de pedestres da cidade de Melbourne (CITY OF MELBOURNE, 2026), que mede o mesmo fenômeno que a classe P da ABNT NBR 5101 disciplina: a circulação de pedestres em via urbana. Na extração realizada em setembro de 2026, o conjunto reúne 1.621.525 registros horários provenientes de 97 sensores, em janela móvel de vinte e quatro meses, sob licença aberta. O publicador declara, em metadado próprio, atualização diária, confiabilidade e ausência de problemas conhecidos, e documenta as ressalvas de leitura: hora sem passagem registra zero explícito, e alterações de posição de sensor devem ser consideradas na análise. Fixa-se um recorte datado da série, e a data de extração é registrada, uma vez que a janela é móvel.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substituição da série é declarada e delimitada. Os valores absolutos de contagem de Melbourne não são transponíveis a uma via paulistana, e o trabalho não os transpõe: as grandezas que alimentam a inferência são normalizadas em relação à distribuição do próprio ponto de medição, de modo que o que se transfere é a estrutura — a forma do ciclo diário e semanal e a dependência temporal entre janelas —, e não o patamar. A especificação de interface produzida como resultado define o formato em que a série municipal precisaria ser publicada para que o modelo fosse retreinado sobre dados locais, o que converte a limitação em requisito documentado.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O protocolo de avaliação é o usual para séries temporais e evita vazamento de informação: a partição entre treino e teste é cronológica, com o período final reservado ao teste, e o desempenho é reportado em erro absoluto médio e em raiz do erro quadrático médio. O modelo é confrontado com duas referências ingênuas — a persistência, que projeta o valor corrente, e a média sazonal, que projeta a média histórica daquela hora naquele dia da semana. A comparação é o que separa aprendizado de ornamento: caso o modelo treinado não supere as referências, o resultado é reportado como tal, e a conclusão é que um perfil horário fixo bastaria ao caso — achado igualmente informativo para a especificação da interface.</w:t>
      </w:r>
    </w:p>
    <w:p w14:paraId="567FE2EC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0" w:name="_Toc240223150"/>
      <w:r>
        <w:rPr>
          <w:lang w:val="pt-BR"/>
        </w:rPr>
        <w:t>7.6 Mecanismo de decisão</w:t>
      </w:r>
      <w:bookmarkEnd w:id="30"/>
    </w:p>
    <w:p w14:paraId="0331571F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A decisão é produzida por sistema de inferência nebulosa do tipo Mamdani, cuja construção compreende a definição das variáveis de entrada e de seus conjuntos linguísticos, a formulação da base de regras e o método de agregação e de defuzificação. O Quadro 7 discrimina as variáveis de entrada, entre as quais figura a estimativa produzida pela camada de previsão descrita em 7.5.</w:t>
      </w:r>
    </w:p>
    <w:p w14:paraId="16E7FC82" w14:textId="77777777" w:rsidR="006B1E66" w:rsidRPr="000F5B8B" w:rsidRDefault="00000000"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>Quadro 7 – Variáveis de entrada do sistema de decisão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14:paraId="7AD6C19B" w14:textId="77777777"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CEBC34" w14:textId="77777777" w:rsidR="006B1E66" w:rsidRDefault="00000000">
            <w:r>
              <w:rPr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16F17C" w14:textId="77777777" w:rsidR="006B1E66" w:rsidRDefault="00000000">
            <w:r>
              <w:rPr>
                <w:b/>
                <w:bCs/>
                <w:sz w:val="20"/>
                <w:szCs w:val="20"/>
              </w:rPr>
              <w:t>Origem</w:t>
            </w:r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3AC650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Justificativa da inclusão</w:t>
            </w:r>
          </w:p>
        </w:tc>
      </w:tr>
      <w:tr w:rsidR="006B1E66" w:rsidRPr="007B78AE" w14:paraId="4A699431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E4049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Nível de movimentação na via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4F66D" w14:textId="77777777" w:rsidR="006B1E66" w:rsidRDefault="00000000">
            <w:r>
              <w:rPr>
                <w:sz w:val="20"/>
                <w:szCs w:val="20"/>
              </w:rPr>
              <w:t xml:space="preserve">Interface de dados urbanos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EE9F7E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É a variável que a norma indica como determinante do tempo de funcionamento da iluminação adaptativa, na subseção 6.10.3</w:t>
            </w:r>
          </w:p>
        </w:tc>
      </w:tr>
      <w:tr w:rsidR="006B1E66" w:rsidRPr="007B78AE" w14:paraId="4A699431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E4049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Nível de movimentação previsto para a próxima janela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4F66D" w14:textId="77777777" w:rsidR="006B1E66" w:rsidRDefault="00000000">
            <w:r>
              <w:rPr>
                <w:sz w:val="20"/>
                <w:szCs w:val="20"/>
              </w:rPr>
              <w:t xml:space="preserve">Camada de previsão (7.5)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EE9F7E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Antecipa a queda ou a elevação da demanda, permitindo iniciar a transição dentro do limite de taxa fixado pela subseção 6.10.2 da norma sem consumir a janela que a motiva</w:t>
            </w:r>
          </w:p>
        </w:tc>
      </w:tr>
      <w:tr w:rsidR="006B1E66" w:rsidRPr="007B78AE" w14:paraId="21782226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66F976" w14:textId="77777777" w:rsidR="006B1E66" w:rsidRDefault="00000000">
            <w:r>
              <w:rPr>
                <w:sz w:val="20"/>
                <w:szCs w:val="20"/>
              </w:rPr>
              <w:t xml:space="preserve">Ocorrência reportada nas proximidades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7CFFA8" w14:textId="77777777" w:rsidR="006B1E66" w:rsidRDefault="00000000">
            <w:r>
              <w:rPr>
                <w:sz w:val="20"/>
                <w:szCs w:val="20"/>
              </w:rPr>
              <w:t xml:space="preserve">Interface de dados urbanos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689711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Evento de segurança ou de trânsito justifica elevação do nível independentemente da movimentação observada. Corresponde ao alerta automático que a plataforma municipal já produz</w:t>
            </w:r>
          </w:p>
        </w:tc>
      </w:tr>
      <w:tr w:rsidR="006B1E66" w:rsidRPr="007B78AE" w14:paraId="2D4F62F1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C2BD69" w14:textId="77777777" w:rsidR="006B1E66" w:rsidRDefault="00000000">
            <w:r>
              <w:rPr>
                <w:sz w:val="20"/>
                <w:szCs w:val="20"/>
              </w:rPr>
              <w:t xml:space="preserve">Condição meteorológica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E92211" w14:textId="77777777" w:rsidR="006B1E66" w:rsidRDefault="00000000">
            <w:r>
              <w:rPr>
                <w:sz w:val="20"/>
                <w:szCs w:val="20"/>
              </w:rPr>
              <w:t xml:space="preserve">Interface de dados urbanos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CC8D23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A subseção 6.10 da norma desaconselha a dimerização sob nevoeiro, neblina e chuva, o que </w:t>
              <w:lastRenderedPageBreak/>
              <w:t>converte esta variável em restrição e não apenas em entrada</w:t>
            </w:r>
          </w:p>
        </w:tc>
      </w:tr>
      <w:tr w:rsidR="006B1E66" w:rsidRPr="007B78AE" w14:paraId="46ED617C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937F42" w14:textId="77777777" w:rsidR="006B1E66" w:rsidRDefault="00000000">
            <w:r>
              <w:rPr>
                <w:sz w:val="20"/>
                <w:szCs w:val="20"/>
              </w:rPr>
              <w:lastRenderedPageBreak/>
              <w:t xml:space="preserve">Faixa horária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85DA4D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Relógio do serviço de decisão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46ED9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Distingue regimes de utilização da via e opera como evidência de apoio quando as demais variáveis são inconclusivas</w:t>
            </w:r>
          </w:p>
        </w:tc>
      </w:tr>
      <w:tr w:rsidR="006B1E66" w:rsidRPr="007B78AE" w14:paraId="7E177F4A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1A60B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Classe de iluminação da via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0BBF39" w14:textId="77777777" w:rsidR="006B1E66" w:rsidRDefault="00000000">
            <w:r>
              <w:rPr>
                <w:sz w:val="20"/>
                <w:szCs w:val="20"/>
              </w:rPr>
              <w:t xml:space="preserve">Base georreferenciada municipal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3D5A2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Determina o piso normativo aplicável e, portanto, o limite inferior da decisão para aquele ponto de luz</w:t>
            </w:r>
          </w:p>
        </w:tc>
      </w:tr>
    </w:tbl>
    <w:p w14:paraId="667B391C" w14:textId="77777777" w:rsidR="006B1E66" w:rsidRPr="000F5B8B" w:rsidRDefault="00000000"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>Fonte: Elaborado pelos autores (2026).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Definidas as variáveis, restam as partições — os conjuntos linguísticos em que o universo de discurso de cada variável contínua é dividido. As variáveis de movimentação, a observada e a prevista, são particionadas em baixa, média e alta, e as fronteiras entre esses conjuntos são fixadas nos tercis da distribuição observada na série adotada, normalizada por ponto de medição. O critério não é arbitrado pelos autores: é valor derivado do dado, reproduzível por qualquer leitor que aplique o mesmo procedimento à mesma série. É também coerente com a normalização declarada em 7.5 — calculados por ponto de medição, os tercis acompanham o patamar local de circulação, e o que se transfere da série de Melbourne continua sendo a estrutura da distribuição, e não o valor absoluto de contagem. As demais variáveis não demandam esse tratamento: ocorrência reportada e condição meteorológica são categóricas, a faixa horária é fixada pelo relógio e a classe de iluminação é atributo do ponto de luz.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As funções de pertinência são trapezoidais. O patamar de pertinência plena cobre o interior de cada tercil e as rampas se estendem sobre a vizinhança das fronteiras, de modo que um valor próximo do limite pertença parcialmente aos dois conjuntos adjacentes — comportamento que é precisamente a razão da escolha registrada em 6.6. Com isso, o requisito de projeto ali assumido a partir de Pickering, Cohen e De Baets (2026) fica cumprido em seus três termos: número de regras inspecionável por leitor humano, forma das funções de pertinência declarada e partição do universo de discurso derivada de critério verificável.</w:t>
      </w:r>
    </w:p>
    <w:p w14:paraId="204AD17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saída é o nível de fluxo luminoso pretendido, expresso como fração contínua do fluxo pleno. A saída contínua, e não a seleção entre estados discretos, decorre de exigência normativa: a taxa de decréscimo do fluxo é limitada, de modo que transições abruptas entre patamares seriam inadmissíveis.</w:t>
      </w:r>
    </w:p>
    <w:p w14:paraId="7153C54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base de regras é construída em forma linguística e tem duas origens declaradas: as prescrições da ABNT NBR 5101 quanto aos casos em que a atenuação é vedada ou limitada, e o conhecimento de domínio documentado na literatura revisada. Nenhuma regra deriva de decisões rotuladas pelos próprios autores, o que preserva a base externa e auditável.</w:t>
      </w:r>
    </w:p>
    <w:p w14:paraId="35C54F2D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A inferência é seguida, obrigatoriamente, pela camada de verificação normativa, que implementa as três restrições rígidas da subseção 6.5 e opera sobre a decisão antes de sua emissão.</w:t>
      </w:r>
    </w:p>
    <w:p w14:paraId="6D7B4557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Piso de iluminância: o nível emitido nunca é inferior ao correspondente ao piso da classe de dimerização admitida para a classe da via.</w:t>
      </w:r>
    </w:p>
    <w:p w14:paraId="2D200C33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Taxa de variação: a transição entre o nível corrente e o nível decidido é rampeada de modo a não exceder a taxa máxima de decréscimo estabelecida pela norma. O restabelecimento do fluxo não está sujeito a essa limitação, o que é coerente com a função de segurança da iluminação.</w:t>
      </w:r>
    </w:p>
    <w:p w14:paraId="4180C217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Suspensão sob condição meteorológica adversa: quando a condição reportada indica nevoeiro, neblina ou chuva, a dimerização é suspensa e o sistema opera em fluxo pleno, independentemente da saída da inferência.</w:t>
      </w:r>
    </w:p>
    <w:p w14:paraId="03A2C3B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Acrescenta-se uma quarta regra, que não decorre da norma e cuja autoria é declarada: em caso de falha de comunicação ou ausência prolongada de dado, o nó reverte autonomamente ao fluxo pleno. A norma fixa a taxa máxima de variação, mas </w:t>
        <w:lastRenderedPageBreak/>
        <w:t>não estabelece requisito de comportamento diante de falha do controle. A reversão segura é decisão de projeto dos autores: entre os dois modos de erro possíveis, o consumo desnecessário é recuperável e a supressão da iluminação em via ocupada não é.</w:t>
      </w:r>
    </w:p>
    <w:p w14:paraId="163B621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separação entre a camada de inferência e a camada de verificação é a principal decisão de projeto do trabalho. A primeira é adaptativa e pode ser alterada, ampliada ou substituída; a segunda é fixa, deriva de norma e opera como invariante de segurança. Essa separação permite afirmar a conformidade do sistema independentemente do comportamento da inferência — propriedade que a avaliação verifica empiricamente. É também o que tornaria a proposta admissível para uma concessionária regulada: o comportamento inteligente pode evoluir, o limite não.</w:t>
      </w:r>
    </w:p>
    <w:p w14:paraId="7F2F6DBC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1" w:name="_Toc240223151"/>
      <w:r>
        <w:rPr>
          <w:lang w:val="pt-BR"/>
        </w:rPr>
        <w:t>7.7 Classe de iluminação adotada</w:t>
      </w:r>
      <w:bookmarkEnd w:id="31"/>
    </w:p>
    <w:p w14:paraId="5991D3E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verificação de conformidade exige a fixação prévia de uma classe, determinada pelo procedimento da ABNT NBR 5101 e não arbitrada. Adota-se como cenário de referência a calçada de via urbana local, para a qual os parâmetros normativos assumem os seguintes valores: velocidade baixa, inferior a 30 km/h; volume de tráfego moderado; composição com pedestres e veículos motorizados; presença de veículos estacionados; e luminância de ambiente moderada. A soma dos fatores de ponderação conduz, pela equação normativa de seleção, à classe P3.</w:t>
      </w:r>
    </w:p>
    <w:p w14:paraId="4A7A786A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Fixada a classe P3, a subseção 6.10 da norma delimita a faixa admissível: a dimerização é permitida até no máximo duas classes imediatamente inferiores, o que estabelece a classe P5 como piso. O sistema opera, portanto, entre a iluminância média mantida de 10 lux, correspondente ao fluxo pleno, e a de 5 lux, correspondente à atenuação máxima admitida. O Quadro 8 reproduz os requisitos das classes envolvidas.</w:t>
      </w:r>
    </w:p>
    <w:p w14:paraId="576A6940" w14:textId="77777777" w:rsidR="006B1E66" w:rsidRPr="000F5B8B" w:rsidRDefault="00000000"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>Quadro 8 – Requisitos das classes de iluminação P pertinentes ao cenário adotado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400"/>
        <w:gridCol w:w="2471"/>
      </w:tblGrid>
      <w:tr w:rsidR="006B1E66" w:rsidRPr="007B78AE" w14:paraId="35AE524C" w14:textId="77777777">
        <w:trPr>
          <w:tblHeader/>
        </w:trPr>
        <w:tc>
          <w:tcPr>
            <w:tcW w:w="17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54A7EC" w14:textId="77777777" w:rsidR="006B1E66" w:rsidRDefault="00000000">
            <w:r>
              <w:rPr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25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BAE33F" w14:textId="77777777" w:rsidR="006B1E66" w:rsidRPr="000F5B8B" w:rsidRDefault="00000000">
            <w:pPr>
              <w:rPr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Iluminância média horizontal mínima mantida (lux)</w:t>
            </w:r>
          </w:p>
        </w:tc>
        <w:tc>
          <w:tcPr>
            <w:tcW w:w="24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ACD1E9" w14:textId="77777777" w:rsidR="006B1E66" w:rsidRPr="000F5B8B" w:rsidRDefault="00000000">
            <w:pPr>
              <w:rPr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Iluminância mínima horizontal mantida (lux)</w:t>
            </w:r>
          </w:p>
        </w:tc>
        <w:tc>
          <w:tcPr>
            <w:tcW w:w="24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FDB250" w14:textId="77777777" w:rsidR="006B1E66" w:rsidRPr="000F5B8B" w:rsidRDefault="00000000">
            <w:pPr>
              <w:rPr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Iluminância vertical mínima mantida (lux)</w:t>
            </w:r>
          </w:p>
        </w:tc>
      </w:tr>
      <w:tr w:rsidR="006B1E66" w14:paraId="0064C8F3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980007" w14:textId="77777777" w:rsidR="006B1E66" w:rsidRDefault="00000000">
            <w:r>
              <w:rPr>
                <w:sz w:val="20"/>
                <w:szCs w:val="20"/>
              </w:rPr>
              <w:t xml:space="preserve">P3 (fluxo pleno)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60541" w14:textId="77777777" w:rsidR="006B1E6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445A11" w14:textId="77777777" w:rsidR="006B1E66" w:rsidRDefault="00000000">
            <w:r>
              <w:rPr>
                <w:sz w:val="20"/>
                <w:szCs w:val="20"/>
              </w:rPr>
              <w:t>2,0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4014A5" w14:textId="77777777" w:rsidR="006B1E66" w:rsidRDefault="00000000">
            <w:r>
              <w:rPr>
                <w:sz w:val="20"/>
                <w:szCs w:val="20"/>
              </w:rPr>
              <w:t>3,0</w:t>
            </w:r>
          </w:p>
        </w:tc>
      </w:tr>
      <w:tr w:rsidR="006B1E66" w14:paraId="70D644B1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7DBEF0" w14:textId="77777777" w:rsidR="006B1E66" w:rsidRDefault="00000000">
            <w:r>
              <w:rPr>
                <w:sz w:val="20"/>
                <w:szCs w:val="20"/>
              </w:rPr>
              <w:t xml:space="preserve">P4 (nível intermediário)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12BA8E" w14:textId="77777777" w:rsidR="006B1E66" w:rsidRDefault="00000000">
            <w:r>
              <w:rPr>
                <w:sz w:val="20"/>
                <w:szCs w:val="20"/>
              </w:rPr>
              <w:t>7,5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BB8BF" w14:textId="77777777" w:rsidR="006B1E66" w:rsidRDefault="00000000">
            <w:r>
              <w:rPr>
                <w:sz w:val="20"/>
                <w:szCs w:val="20"/>
              </w:rPr>
              <w:t>1,5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3B4517" w14:textId="77777777" w:rsidR="006B1E66" w:rsidRDefault="00000000">
            <w:r>
              <w:rPr>
                <w:sz w:val="20"/>
                <w:szCs w:val="20"/>
              </w:rPr>
              <w:t>2,5</w:t>
            </w:r>
          </w:p>
        </w:tc>
      </w:tr>
      <w:tr w:rsidR="006B1E66" w14:paraId="52E9CE2A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162320" w14:textId="77777777" w:rsidR="006B1E66" w:rsidRDefault="00000000">
            <w:r>
              <w:rPr>
                <w:sz w:val="20"/>
                <w:szCs w:val="20"/>
              </w:rPr>
              <w:lastRenderedPageBreak/>
              <w:t xml:space="preserve">P5 (piso admissível)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4E60F5" w14:textId="77777777" w:rsidR="006B1E66" w:rsidRDefault="00000000">
            <w:r>
              <w:rPr>
                <w:sz w:val="20"/>
                <w:szCs w:val="20"/>
              </w:rPr>
              <w:t>5,0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EA8B24" w14:textId="77777777" w:rsidR="006B1E66" w:rsidRDefault="00000000">
            <w:r>
              <w:rPr>
                <w:sz w:val="20"/>
                <w:szCs w:val="20"/>
              </w:rPr>
              <w:t>1,0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E8D2BF" w14:textId="77777777" w:rsidR="006B1E66" w:rsidRDefault="00000000">
            <w:r>
              <w:rPr>
                <w:sz w:val="20"/>
                <w:szCs w:val="20"/>
              </w:rPr>
              <w:t>1,5</w:t>
            </w:r>
          </w:p>
        </w:tc>
      </w:tr>
      <w:tr w:rsidR="006B1E66" w14:paraId="6F28DBEE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9706DC" w14:textId="77777777" w:rsidR="006B1E66" w:rsidRDefault="00000000">
            <w:r>
              <w:rPr>
                <w:sz w:val="20"/>
                <w:szCs w:val="20"/>
              </w:rPr>
              <w:t xml:space="preserve">P6 (não dimerizável)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EF0B73" w14:textId="77777777" w:rsidR="006B1E66" w:rsidRDefault="00000000">
            <w:r>
              <w:rPr>
                <w:sz w:val="20"/>
                <w:szCs w:val="20"/>
              </w:rPr>
              <w:t>3,0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97196A" w14:textId="77777777" w:rsidR="006B1E66" w:rsidRDefault="00000000">
            <w:r>
              <w:rPr>
                <w:sz w:val="20"/>
                <w:szCs w:val="20"/>
              </w:rPr>
              <w:t>0,6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B6BACC" w14:textId="77777777" w:rsidR="006B1E66" w:rsidRDefault="00000000">
            <w:r>
              <w:rPr>
                <w:sz w:val="20"/>
                <w:szCs w:val="20"/>
              </w:rPr>
              <w:t>1,0</w:t>
            </w:r>
          </w:p>
        </w:tc>
      </w:tr>
    </w:tbl>
    <w:p w14:paraId="0D8A1FAB" w14:textId="77777777" w:rsidR="006B1E66" w:rsidRPr="000F5B8B" w:rsidRDefault="00000000"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>Fonte: Adaptado da ABNT NBR 5101 (2024).</w:t>
      </w:r>
    </w:p>
    <w:p w14:paraId="06ED8D4F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2" w:name="_Toc240223152"/>
      <w:r>
        <w:rPr>
          <w:lang w:val="pt-BR"/>
        </w:rPr>
        <w:t>7.8 Procedimentos e avaliação</w:t>
      </w:r>
      <w:bookmarkEnd w:id="32"/>
    </w:p>
    <w:p w14:paraId="6252CD4A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A execução organiza-se em sete etapas. As duas primeiras são de preparação: a caracterização documental da infraestrutura municipal e das fontes de dados abertos, exposta em 6.3 e em 7.4, que produz o objetivo específico a) e alimenta o b); e a construção do sistema descrito em 7.2 e em 7.3, atividade de meio que não produz resultado próprio. As cinco seguintes produzem os resultados que respondem aos demais objetivos específicos.</w:t>
      </w:r>
    </w:p>
    <w:p w14:paraId="219B7EDB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lang w:val="pt-BR"/>
        </w:rPr>
        <w:t xml:space="preserve">Etapa 3 — Treinamento e avaliação da camada de previsão. Constrói-se o conjunto de atributos a partir da série horária adotada, treina-se o modelo de reforço de gradiente sobre partição cronológica e afere-se seu erro contra as referências de persistência e de média sazonal. Produz o objetivo específico g).</w:t>
      </w:r>
    </w:p>
    <w:p w14:paraId="219B7EDB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lang w:val="pt-BR"/>
        </w:rPr>
        <w:t xml:space="preserve">Etapa 4 — Verificação do invariante de segurança. Submete-se o sistema à suíte de cenários e verifica-se, para cada decisão emitida, se algum dos três limites normativos foi transgredido. A avaliação é exaustiva e o critério é categórico: nenhuma violação é admitida. Incluem-se cenários adversariais, construídos para induzir a inferência a produzir decisão inadmissível, de modo que a verificação seja submetida a esforço e não apenas exercitada. </w:t>
      </w:r>
      <w:r>
        <w:t xml:space="preserve">Produz o objetivo específico d).</w:t>
      </w:r>
    </w:p>
    <w:p w14:paraId="655E5440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lang w:val="pt-BR"/>
        </w:rPr>
        <w:t xml:space="preserve">Etapa 5 — Medição do percurso físico e verificação do diagnóstico. Para um conjunto de transições de nível, mede-se a latência entre a publicação do dado na interface e a estabilização da iluminância no valor correspondente, reportada como distribuição sobre repetições independentes, com o número de repetições explicitado. Na mesma bancada verificam-se as funções de diagnóstico descritas em 7.3.5, com a falha do ponto de luz induzida deliberadamente e a divergência entre o nível comandado e o entregue apurada ao longo dos cenários. </w:t>
      </w:r>
      <w:r>
        <w:t xml:space="preserve">Produz os objetivos específicos e) e h).</w:t>
      </w:r>
    </w:p>
    <w:p w14:paraId="6ED2FA08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lang w:val="pt-BR"/>
        </w:rPr>
        <w:lastRenderedPageBreak/>
        <w:t xml:space="preserve">Etapa 6 — Avaliação da concordância e especificação da interface. Compara-se a decisão produzida em cada cenário com o envelope esperado, analisando-se as discordâncias. Consolida-se, a partir da interface emulada e do que a análise documental indicou estar disponível na plataforma municipal, a especificação de integração. </w:t>
      </w:r>
      <w:r>
        <w:t xml:space="preserve">Produz o objetivo específico f).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Etapa 7 — Estimativa de consumo e comparação de regimes. Integra-se a trajetória de ciclo de trabalho registrada em cada cenário, calcula-se a energia estimada para o regime adaptativo e para as duas linhas de base e reporta-se, ao lado de cada valor, a aderência ao envelope esperado, conforme 7.10. Produz o objetivo específico i).</w:t>
      </w:r>
    </w:p>
    <w:p w14:paraId="2ECEFC7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Cabe explicitar a natureza do envelope de decisão esperado e a limitação que dele decorre. O envelope é o intervalo de níveis considerados aceitáveis para cada cenário, definido pelos autores antes da avaliação e derivado, sempre que possível, das prescrições normativas e da literatura. Onde essa derivação não é possível, o envelope reflete julgamento dos autores, e a avaliação mede, nesses casos, a coerência entre a base de regras e esse julgamento — não a correção da decisão em sentido absoluto. A declaração é necessária porque a alternativa, calar sobre a origem do envelope, apresentaria como validação externa aquilo que é, em parte, consistência interna.</w:t>
      </w:r>
    </w:p>
    <w:p w14:paraId="55B943B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A verificação do invariante de segurança não padece dessa limitação: seu critério deriva integralmente da norma e é verificável por terceiros que disponham do texto normativo. É por isso que ela constitui o resultado mais robusto do trabalho.</w:t>
      </w:r>
    </w:p>
    <w:p w14:paraId="3F67AA6F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3" w:name="_Toc240223153"/>
      <w:r>
        <w:rPr>
          <w:lang w:val="pt-BR"/>
        </w:rPr>
        <w:t>7.9 Tratamento de dados pessoais</w:t>
      </w:r>
      <w:bookmarkEnd w:id="33"/>
    </w:p>
    <w:p w14:paraId="07022DD5" w14:textId="77777777" w:rsidR="006B1E66" w:rsidRDefault="00000000">
      <w:pPr>
        <w:spacing w:after="240" w:line="360" w:lineRule="auto"/>
        <w:ind w:firstLine="709"/>
        <w:jc w:val="both"/>
      </w:pPr>
      <w:r>
        <w:rPr>
          <w:lang w:val="pt-BR"/>
        </w:rPr>
        <w:t xml:space="preserve">O sistema não captura, não processa e não armazena imagem, som ou qualquer dado que permita identificar pessoa. </w:t>
      </w:r>
      <w:r>
        <w:t xml:space="preserve">Três características do arranjo asseguram essa condição.</w:t>
      </w:r>
    </w:p>
    <w:p w14:paraId="79A4FF1F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A interface de dados urbanos publica apenas descritores agregados do estado da via — nível de movimentação, ocorrência reportada, condição meteorológica —, sem referência a indivíduo.</w:t>
      </w:r>
    </w:p>
    <w:p w14:paraId="49DC31B0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Os conjuntos de dados públicos empregados na construção dos cenários são divulgados pelo poder público de forma agregada e são utilizados exclusivamente para caracterizar distribuições e frequências.</w:t>
      </w:r>
    </w:p>
    <w:p w14:paraId="1F6AF64B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O nó de demonstração possui um único sensor, de iluminância, que mede luz e não pessoas.</w:t>
      </w:r>
    </w:p>
    <w:p w14:paraId="65776E6A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lastRenderedPageBreak/>
        <w:t>O Quadro 2 explicita o conteúdo de cada entidade do banco de dados: não há atributo de imagem, de áudio ou de identificação individual, e a ausência é verificável no próprio modelo de dados.</w:t>
      </w:r>
    </w:p>
    <w:p w14:paraId="31D3CA2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Registra-se que a plataforma tomada como referência de infraestrutura opera tecnologias de reconhecimento facial e de leitura de placas, que constituem tratamento de dado pessoal sujeito à Lei Geral de Proteção de Dados Pessoais (BRASIL, 2018). O presente trabalho não acessa, não reproduz e não depende dessas funcionalidades: a informação que o sistema consome é a descrição agregada do estado da via. Essa distinção é relevante também para a proposta de integração: o que se propõe consumir é o alerta de evento e a contagem agregada, e não o conteúdo de imagem ou a identificação de pessoas. Uma integração efetiva exigiria tratamento jurídico próprio, registrado entre as limitações.</w:t>
      </w:r>
    </w:p>
    <w:p w14:paraId="24FFE8E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>O risco de desvio de finalidade não é hipotético, e há caso documentado que convém registrar. Em San Diego, nos Estados Unidos, cerca de três mil e trezentos postes receberam sensores e câmeras com finalidade declarada de planejamento urbano e de mobilidade, expressamente não policial. A partir de 2018 o departamento de polícia passou a acessar as imagens, chegando a cerca de quatrocentos acessos até 2020, inicialmente sob alegação de crimes graves e depois também de vandalismo e descarte irregular de resíduos; a reação pública levou à desativação do programa em 2020 e à edição de norma municipal de vigilância (PERRY, 2020). O episódio é a razão pela qual a fronteira entre dado agregado e dado de identificação, neste trabalho, é requisito de interface e não recomendação de uso.</w:t>
      </w:r>
    </w:p>
    <w:p w14:paraId="0895D2F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ressalva merece registro explícito, e não nota de rodapé. A literatura acadêmica que examina a plataforma municipal de videomonitoramento concentra-se justamente sobre o reconhecimento facial e seus efeitos discriminatórios, apontando identificação desproporcional de pessoas negras como suspeitas (OLIVEIRA; FAGUNDES; SPOLLE, 2025). Propor que outro serviço municipal consuma dados dessa plataforma sem enfrentar essa crítica seria metodologicamente frágil. A resposta deste trabalho é de projeto, e não de discurso: a especificação de integração produzida como resultado define, como requisito, que a interface publique exclusivamente descritores agregados do estado da via, e que identificadores biométricos, imagens e placas não componham o contrato de dados. A camada de </w:t>
        <w:lastRenderedPageBreak/>
        <w:t>decisão aqui construída não teria como consumi-los ainda que fossem oferecidos, porque suas variáveis de entrada são grandezas de via e não atributos de pessoa.</w:t>
      </w:r>
    </w:p>
    <w:p>
      <w:pPr>
        <w:pStyle w:val="Heading2"/>
        <w:spacing w:before="360" w:after="240" w:line="360" w:lineRule="auto"/>
        <w:rPr>
          <w:lang w:val="pt-BR"/>
        </w:rPr>
      </w:pPr>
      <w:r>
        <w:rPr>
          <w:lang w:val="pt-BR"/>
        </w:rPr>
        <w:t xml:space="preserve">7.10 Estimativa de consumo e linhas de base de comparação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avaliação energética não emprega instrumentação elétrica: emprega o registro que o sistema já produz. A fita de LED adotada declara potência por unidade de comprimento, e o comprimento do segmento é fixado por medição conforme 7.3.2, de modo que a potência a ciclo de trabalho pleno é conhecida. O ciclo de trabalho efetivamente aplicado é gravado a cada leitura de telemetria, conforme o modelo de dados de 7.2.2. A energia consumida em um cenário é, então, a soma dos produtos entre a potência plena, o ciclo de trabalho de cada intervalo e a duração desse intervalo.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hipótese que sustenta o cálculo é a proporcionalidade entre o ciclo de trabalho e a potência média consumida, e ela é adequada ao arranjo adotado: a modulação por largura de pulso chaveia a corrente plena do segmento, de modo que a potência média é o produto da potência em condução pela fração de tempo em que há condução. A mesma proporcionalidade vale, aproximadamente, para o fluxo luminoso, o que oferece verificação cruzada útil — a estimativa derivada do ciclo comandado pode ser confrontada com a derivada da iluminância medida, e a divergência entre as duas é reportada junto ao resultado.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comparação exige referência, e adotam-se duas. A primeira é o fluxo pleno constante ao longo de todo o período de operação, que corresponde ao regime hoje praticado no município, caracterizado em 6.3. A segunda é um regime de atenuação por horário fixo, que corresponde ao que um sistema de telegestão sem acesso a dados do ambiente pode fazer — e que é, precisamente, a programação agendada prevista no Caderno de Encargos da concessão. A segunda linha de base é a exigente, e é ela que dá sentido à pergunta de pesquisa: se a decisão informada por dados urbanos não se distinguisse de uma programação horária, a informação não estaria fazendo trabalho algum.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Uma advertência metodológica precede o resultado. Consumo, isoladamente, não é critério de mérito em iluminação pública: o regime de menor consumo é o de luz apagada, e qualquer comparação que premie apenas a redução premiará o regime menos seguro. A avaliação é, por isso, conjunta, e reporta dois valores para cada regime — a energia estimada e a aderência da iluminação à demanda observada, medida como a fração dos ciclos em que o nível entregue se situou dentro do envelope esperado do cenário, nos termos de 7.8. O que o trabalho busca estabelecer não é o consumo mínimo, e sim o consumo aderente à condição observada, sem que em nenhum momento os limites da norma sejam transgredidos.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Delimita-se, por fim, o alcance da estimativa. Ela vale para o arranjo de bancada, em que a corrente é limitada por resistores integrados ao módulo de luz. Um ponto de luz viário emprega regulador de corrente constante, cuja eficiência varia com o nível de saída, e consome ainda uma parcela fixa no próprio regulador e no módulo de telegestão. Ambos os efeitos atuam no mesmo sentido: a redução de consumo em equipamento real é menor que a proporcional à redução de fluxo. A estimativa aqui produzida é, portanto, um limite superior otimista quando transposta ao ativo municipal, e assim é reportada. A quantificação em equipamento viário, com medição elétrica rastreável, figura entre os trabalhos futuros.</w:t>
      </w:r>
    </w:p>
    <w:p>
      <w:pPr>
        <w:pStyle w:val="Heading1"/>
        <w:pageBreakBefore/>
        <w:spacing w:before="480" w:after="280" w:line="360" w:lineRule="auto"/>
        <w:rPr>
          <w:lang w:val="pt-BR"/>
        </w:rPr>
      </w:pPr>
      <w:r>
        <w:rPr>
          <w:lang w:val="pt-BR"/>
        </w:rPr>
        <w:t xml:space="preserve">8 DOCUMENTAÇÃO TÉCNICA DA ARQUITETURA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Este capítulo documenta a arquitetura como objeto próprio. A subseção 7.2 justificou as escolhas de projeto no curso da exposição do método; aqui elas são registradas de forma sistemática, com o desenho do sistema, a discriminação dos componentes e das tecnologias adotadas, os requisitos que o software deve satisfazer, os contratos das interfaces e o modelo de dados. A finalidade é permitir que a implementação seja conduzida — e auditada — a partir desta documentação, sem que o leitor precise reconstituir decisões dispersas no texto.</w:t>
      </w:r>
    </w:p>
    <w:p>
      <w:pPr>
        <w:pStyle w:val="Heading2"/>
        <w:spacing w:before="360" w:after="240" w:line="360" w:lineRule="auto"/>
        <w:rPr>
          <w:lang w:val="pt-BR"/>
        </w:rPr>
      </w:pPr>
      <w:r>
        <w:rPr>
          <w:lang w:val="pt-BR"/>
        </w:rPr>
        <w:t xml:space="preserve">8.1 Visão geral e decisões de arquitetura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Figura 1 apresenta o sistema em sua totalidade. O fluxo principal percorre quatro estágios encadeados, todos executados em nuvem, e termina em um quinto estágio físico: o evento urbano é publicado na interface de dados, o serviço de decisão produz a estimativa de demanda e submete o estado resultante à inferência nebulosa, a camada de verificação confronta o nível pretendido com as restrições da ABNT NBR 5101 e o corrige quando necessário, o intermediário de mensagens entrega o comando já verificado e o nó de iluminação o executa, devolvendo a iluminância medida. Em paralelo corre um segundo percurso, representado em tracejado: cada estágio grava no banco de dados o que recebeu e o que produziu, e é desse registro que o painel de acompanhamento se alimenta.</w:t>
      </w:r>
    </w:p>
    <w:p>
      <w:pPr>
        <w:keepNext/>
        <w:spacing w:before="240" w:after="0"/>
        <w:jc w:val="center"/>
        <w:rPr>
          <w:lang w:val="pt-BR"/>
        </w:rPr>
      </w:pPr>
      <w:r>
        <w:rPr>
          <w:lang w:val="pt-BR"/>
        </w:rPr>
        <w:drawing>
          <wp:inline distT="0" distB="0" distL="0" distR="0">
            <wp:extent cx="4700000" cy="5002000"/>
            <wp:effectExtent l="0" t="0" r="0" b="0"/>
            <wp:docPr id="101" name="Figura 1 - Arquitetura do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ura 1 - Arquitetura do sistem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0000" cy="50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30" w:after="60"/>
        <w:jc w:val="center"/>
        <w:rPr>
          <w:lang w:val="pt-BR"/>
        </w:rPr>
      </w:pPr>
      <w:r>
        <w:rPr>
          <w:sz w:val="20"/>
          <w:szCs w:val="20"/>
          <w:lang w:val="pt-BR"/>
        </w:rPr>
        <w:t xml:space="preserve">Figura 1 – Arquitetura do sistema</w:t>
      </w:r>
    </w:p>
    <w:p>
      <w:pPr>
        <w:spacing w:before="0" w:after="280"/>
        <w:jc w:val="center"/>
        <w:rPr>
          <w:lang w:val="pt-BR"/>
        </w:rPr>
      </w:pPr>
      <w:r>
        <w:rPr>
          <w:sz w:val="20"/>
          <w:szCs w:val="20"/>
          <w:lang w:val="pt-BR"/>
        </w:rPr>
        <w:t xml:space="preserve">Fonte: Elaborado pelos autores (2026).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Duas propriedades da figura merecem leitura atenta, porque são as que sustentam as afirmações do trabalho. A primeira é que a camada de verificação está no caminho do comando, e não ao lado dele: não existe trajeto pelo qual uma decisão da inferência alcance o nó sem passar pela verificação. A segunda é que o registro de auditoria é alimentado antes e depois da verificação, o que torna a correção observável — sem essa separação, a atuação da camada normativa seria afirmada e não demonstrada.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O Quadro 9 responde de forma direta às questões de arquitetura que o projeto precisa esclarecer.</w:t>
      </w:r>
    </w:p>
    <w:p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 xml:space="preserve">Quadro 9 – Decisões de arquitetura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100"/>
        <w:gridCol w:w="4221"/>
      </w:tblGrid>
      <w:tr>
        <w:trPr>
          <w:tblHeader/>
        </w:trPr>
        <w:tc>
          <w:tcPr>
            <w:tcW w:w="175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w="3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w="422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Implantação em nuvem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Sim. Toda a camada de software é implantada em provedor de nuvem, em modelo de plataforma como serviço</w:t>
            </w:r>
          </w:p>
        </w:tc>
        <w:tc>
          <w:tcPr>
            <w:tcW w:w="42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O nó precisa ser comandado de fora da rede local em que se encontra; detalhamento em 7.2.1</w:t>
            </w:r>
          </w:p>
        </w:tc>
      </w:tr>
      <w:tr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Back end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Sim. Três serviços distintos: interface de dados urbanos, serviço de decisão — que reúne previsão, inferência e verificação — e intermediário de mensagens</w:t>
            </w:r>
          </w:p>
        </w:tc>
        <w:tc>
          <w:tcPr>
            <w:tcW w:w="42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Concentrar a decisão em serviço mantém o nó simples e permite alterar a base de regras sem regravar o firmware de nenhum nó implantado</w:t>
            </w:r>
          </w:p>
        </w:tc>
      </w:tr>
      <w:tr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Front end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Sim. Painel web servido pelo mesmo ambiente, que consome a interface de programação e apresenta a cadeia completa de cada decisão</w:t>
            </w:r>
          </w:p>
        </w:tc>
        <w:tc>
          <w:tcPr>
            <w:tcW w:w="42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É a interface pela qual a conformidade normativa se torna observável durante a execução e durante a defesa</w:t>
            </w:r>
          </w:p>
        </w:tc>
      </w:tr>
      <w:tr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Sim. Banco relacional em instância gerenciada, com as entidades do Quadro 2 e o modelo da Figura 2</w:t>
            </w:r>
          </w:p>
        </w:tc>
        <w:tc>
          <w:tcPr>
            <w:tcW w:w="42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 auditabilidade afirmada pelo trabalho é, em termos de projeto, uma propriedade de integridade referencial; justificativa em 7.2.2</w:t>
            </w:r>
          </w:p>
        </w:tc>
      </w:tr>
      <w:tr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Aplicativo móvel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Não. O painel é acessível por navegador em dispositivo móvel, mas não há aplicativo nativo</w:t>
            </w:r>
          </w:p>
        </w:tc>
        <w:tc>
          <w:tcPr>
            <w:tcW w:w="42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O destinatário da informação é o operador do sistema de iluminação, e não o cidadão; um aplicativo nativo acrescentaria superfície de desenvolvimento sem acrescentar função verificável. Registra-se como decisão, e não como omissão</w:t>
            </w:r>
          </w:p>
        </w:tc>
      </w:tr>
      <w:tr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Software embarcado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Sim. Firmware próprio no nó, responsável pela atuação e pela medição</w:t>
            </w:r>
          </w:p>
        </w:tc>
        <w:tc>
          <w:tcPr>
            <w:tcW w:w="42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Medir a iluminância entregue é o que permite confrontar o nível decidido com o nível efetivamente produzido</w:t>
            </w:r>
          </w:p>
        </w:tc>
      </w:tr>
      <w:tr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Localização do serviço de decisão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Serviço municipal autônomo, externo à plataforma de monitoramento e ao sistema de telegestão: consome a interface da primeira e comanda o segundo</w:t>
            </w:r>
          </w:p>
        </w:tc>
        <w:tc>
          <w:tcPr>
            <w:tcW w:w="422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Alojá-lo na plataforma converteria integração em extensão e transformaria a garantia arquitetural de proteção de dados de 7.9 em compromisso de política. Justificativa completa em 7.2</w:t>
            </w:r>
          </w:p>
        </w:tc>
      </w:tr>
    </w:tbl>
    <w:p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 xml:space="preserve">Fonte: Elaborado pelos autores (2026).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O Quadro 10 discrimina os componentes, a tecnologia adotada em cada um e a responsabilidade que lhe cabe.</w:t>
      </w:r>
    </w:p>
    <w:p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 xml:space="preserve">Quadro 10 – Componentes, tecnologias adotadas e responsabilidades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3771"/>
      </w:tblGrid>
      <w:tr>
        <w:trPr>
          <w:tblHeader/>
        </w:trPr>
        <w:tc>
          <w:tcPr>
            <w:tcW w:w="23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w="30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 adotada</w:t>
            </w:r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Interface de dados urbanos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Python 3 com framework FastAPI; interface REST sobre HTTP, cargas em JSON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Receber, validar e disponibilizar os eventos que descrevem o estado da via</w:t>
            </w:r>
          </w:p>
        </w:tc>
      </w:tr>
      <w:t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Serviço de decisão — previsão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Python 3 com biblioteca de árvores impulsionadas por gradiente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Produzir a estimativa de demanda para o horizonte de curto prazo, conforme 7.5</w:t>
            </w:r>
          </w:p>
        </w:tc>
      </w:tr>
      <w:t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Serviço de decisão — inferência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Python 3 com biblioteca de lógica nebulosa, método de Mamdani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Determinar o nível pretendido de iluminação a partir do estado descrito, conforme 7.6</w:t>
            </w:r>
          </w:p>
        </w:tc>
      </w:tr>
      <w:t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Camada de verificação normativa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Módulo próprio em Python 3, com critérios lidos da tabela de classes de iluminação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Confrontar o nível pretendido com as restrições rígidas, corrigi-lo quando necessário e registrar a correção</w:t>
            </w:r>
          </w:p>
        </w:tc>
      </w:tr>
      <w:t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Intermediário de mensagens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Broker MQTT 5.0 sobre canal cifrado, com credencial por dispositivo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Desacoplar a emissão do comando de sua execução e receber a telemetria publicada pelo nó</w:t>
            </w:r>
          </w:p>
        </w:tc>
      </w:tr>
      <w:t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PostgreSQL em instância gerenciada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Registrar a cadeia completa de cada ciclo de decisão</w:t>
            </w:r>
          </w:p>
        </w:tc>
      </w:tr>
      <w:t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Painel de acompanhamento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HTML, CSS e JavaScript, sem framework, consumindo a interface REST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Exibir o dado recebido, o nível pretendido, a correção imposta e a iluminância medida</w:t>
            </w:r>
          </w:p>
        </w:tc>
      </w:tr>
      <w:t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Firmware do nó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C++ sobre o núcleo Arduino para ESP32, com cliente MQTT e controle por modulação por largura de pulso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Aplicar o ciclo de trabalho comandado e publicar a iluminância lida</w:t>
            </w:r>
          </w:p>
        </w:tc>
      </w:tr>
    </w:tbl>
    <w:p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 xml:space="preserve">Fonte: Elaborado pelos autores (2026).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adoção de uma única linguagem para os três serviços de nuvem é deliberada e tem razão prática: o mesmo ambiente de execução atende à biblioteca de previsão e à de inferência nebulosa, o que dispensa serializar o modelo entre processos distintos e reduz o número de partes a implantar em um trabalho de prazo curto. A ausência de framework no painel decorre do mesmo critério: a aplicação exibe uma série temporal e uma tabela, e não há requisito que justifique introduzir uma camada adicional de dependências.</w:t>
      </w:r>
    </w:p>
    <w:p>
      <w:pPr>
        <w:pStyle w:val="Heading2"/>
        <w:spacing w:before="360" w:after="240" w:line="360" w:lineRule="auto"/>
        <w:rPr>
          <w:lang w:val="pt-BR"/>
        </w:rPr>
      </w:pPr>
      <w:r>
        <w:rPr>
          <w:lang w:val="pt-BR"/>
        </w:rPr>
        <w:t xml:space="preserve">8.2 Requisitos funcionais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Os requisitos funcionais descrevem o que o sistema deve fazer. Cada um remete à subseção que o origina, de modo que nenhuma função apareça sem fundamento no corpo do trabalho.</w:t>
      </w:r>
    </w:p>
    <w:p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 xml:space="preserve">Quadro 11 – Requisitos funcionais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171"/>
        <w:gridCol w:w="2000"/>
      </w:tblGrid>
      <w:tr>
        <w:trPr>
          <w:tblHeader/>
        </w:trPr>
        <w:tc>
          <w:tcPr>
            <w:tcW w:w="9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61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w="20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RF01</w:t>
            </w:r>
          </w:p>
        </w:tc>
        <w:tc>
          <w:tcPr>
            <w:tcW w:w="6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Receber, validar e persistir os eventos publicados na interface de dados urbanos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7.2 e 7.4</w:t>
            </w:r>
          </w:p>
        </w:tc>
      </w:tr>
      <w:t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RF02</w:t>
            </w:r>
          </w:p>
        </w:tc>
        <w:tc>
          <w:tcPr>
            <w:tcW w:w="6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Produzir, a cada ciclo, estimativa da demanda para o horizonte de curto prazo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7.5</w:t>
            </w:r>
          </w:p>
        </w:tc>
      </w:tr>
      <w:t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RF03</w:t>
            </w:r>
          </w:p>
        </w:tc>
        <w:tc>
          <w:tcPr>
            <w:tcW w:w="6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Determinar o nível pretendido de iluminação por inferência nebulosa, a partir do estado observado e da estimativa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7.6</w:t>
            </w:r>
          </w:p>
        </w:tc>
      </w:tr>
      <w:t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RF04</w:t>
            </w:r>
          </w:p>
        </w:tc>
        <w:tc>
          <w:tcPr>
            <w:tcW w:w="6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Confrontar o nível pretendido com as restrições rígidas da ABNT NBR 5101 e corrigi-lo quando necessário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6.5, 7.6 e 7.7</w:t>
            </w:r>
          </w:p>
        </w:tc>
      </w:tr>
      <w:t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RF05</w:t>
            </w:r>
          </w:p>
        </w:tc>
        <w:tc>
          <w:tcPr>
            <w:tcW w:w="6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Emitir ao nó o comando resultante e registrar a emissão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7.2.1</w:t>
            </w:r>
          </w:p>
        </w:tc>
      </w:tr>
      <w:t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RF06</w:t>
            </w:r>
          </w:p>
        </w:tc>
        <w:tc>
          <w:tcPr>
            <w:tcW w:w="6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Aplicar no nó o ciclo de trabalho comandado e medir a iluminância no plano de trabalho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7.3</w:t>
            </w:r>
          </w:p>
        </w:tc>
      </w:tr>
      <w:t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RF07</w:t>
            </w:r>
          </w:p>
        </w:tc>
        <w:tc>
          <w:tcPr>
            <w:tcW w:w="6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Registrar a cadeia completa de cada decisão: evento, estimativa, nível pretendido, nível emitido, restrição aplicada, versão da base de regras e telemetria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7.2.2</w:t>
            </w:r>
          </w:p>
        </w:tc>
      </w:tr>
      <w:t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RF08</w:t>
            </w:r>
          </w:p>
        </w:tc>
        <w:tc>
          <w:tcPr>
            <w:tcW w:w="6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Apresentar em painel, durante a execução, o dado recebido, o nível pretendido, a correção imposta e a iluminância medida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7.2.1</w:t>
            </w:r>
          </w:p>
        </w:tc>
      </w:tr>
      <w:t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RF09</w:t>
            </w:r>
          </w:p>
        </w:tc>
        <w:tc>
          <w:tcPr>
            <w:tcW w:w="6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Permitir a alteração dos parâmetros normativos e da classe atribuída ao ponto de luz por operação sobre dado, sem alteração de código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7.2.2</w:t>
            </w:r>
          </w:p>
        </w:tc>
      </w:tr>
      <w:t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RF10</w:t>
            </w:r>
          </w:p>
        </w:tc>
        <w:tc>
          <w:tcPr>
            <w:tcW w:w="6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Reproduzir a suíte de cenários com a mesma sequência de eventos, para efeito de comparação entre execuções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7.4 e 7.8</w:t>
            </w:r>
          </w:p>
        </w:tc>
      </w:tr>
      <w:t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RF11</w:t>
            </w:r>
          </w:p>
        </w:tc>
        <w:tc>
          <w:tcPr>
            <w:tcW w:w="6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Detectar a falha do ponto de luz e emitir alerta quando a divergência entre o nível emitido e a iluminância medida persistir acima da tolerância declarada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7.3.5</w:t>
            </w:r>
          </w:p>
        </w:tc>
      </w:tr>
      <w:t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RF12</w:t>
            </w:r>
          </w:p>
        </w:tc>
        <w:tc>
          <w:tcPr>
            <w:tcW w:w="61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Estimar o consumo de energia do ponto de luz a partir da potência declarada do módulo de luz e da trajetória de ciclo de trabalho registrada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7.10</w:t>
            </w:r>
          </w:p>
        </w:tc>
      </w:tr>
    </w:tbl>
    <w:p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 xml:space="preserve">Fonte: Elaborado pelos autores (2026).</w:t>
      </w:r>
    </w:p>
    <w:p>
      <w:pPr>
        <w:pStyle w:val="Heading2"/>
        <w:spacing w:before="360" w:after="240" w:line="360" w:lineRule="auto"/>
        <w:rPr>
          <w:lang w:val="pt-BR"/>
        </w:rPr>
      </w:pPr>
      <w:r>
        <w:rPr>
          <w:lang w:val="pt-BR"/>
        </w:rPr>
        <w:t xml:space="preserve">8.3 Requisitos não funcionais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Os requisitos não funcionais estão classificados segundo as características de qualidade de produto da norma ISO/IEC 25010 (INTERNATIONAL ORGANIZATION FOR STANDARDIZATION; INTERNATIONAL ELECTROTECHNICAL COMMISSION, 2023) e acompanhados da forma pela qual cada um será verificado. A exigência de declarar a verificação é aqui deliberada: requisito não funcional que não indique como será constatado não é requisito, é intenção.</w:t>
      </w:r>
    </w:p>
    <w:p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 xml:space="preserve">Quadro 12 – Requisitos não funcionais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500"/>
        <w:gridCol w:w="1750"/>
        <w:gridCol w:w="2971"/>
      </w:tblGrid>
      <w:tr>
        <w:trPr>
          <w:tblHeader/>
        </w:trPr>
        <w:tc>
          <w:tcPr>
            <w:tcW w:w="85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35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w="175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Característica de qualidade</w:t>
            </w:r>
          </w:p>
        </w:tc>
        <w:tc>
          <w:tcPr>
            <w:tcW w:w="29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 de verificação</w:t>
            </w:r>
          </w:p>
        </w:tc>
      </w:tr>
      <w:tr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RNF01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Nenhum comando emitido pode resultar em iluminância inferior ao piso da classe atribuída ao ponto de luz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Segurança de funcionamento</w:t>
            </w:r>
          </w:p>
        </w:tc>
        <w:tc>
          <w:tcPr>
            <w:tcW w:w="29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Contagem de violações sobre a suíte de cenários; o valor esperado é zero</w:t>
            </w:r>
          </w:p>
        </w:tc>
      </w:tr>
      <w:tr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RNF02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 taxa de decréscimo aplicada não pode exceder um décimo da iluminância plena por minuto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Segurança de funcionamento</w:t>
            </w:r>
          </w:p>
        </w:tc>
        <w:tc>
          <w:tcPr>
            <w:tcW w:w="29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Derivada da série de telemetria entre comandos consecutivos</w:t>
            </w:r>
          </w:p>
        </w:tc>
      </w:tr>
      <w:tr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RNF03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O intervalo entre a publicação do evento e a aplicação do ciclo de trabalho no nó deve permanecer inferior a dois segundos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Eficiência de desempenho</w:t>
            </w:r>
          </w:p>
        </w:tc>
        <w:tc>
          <w:tcPr>
            <w:tcW w:w="29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Diferença entre os carimbos de tempo do evento e da telemetria correspondente</w:t>
            </w:r>
          </w:p>
        </w:tc>
      </w:tr>
      <w:tr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RNF04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Toda decisão deve ser reconstituível a partir do banco, inclusive quanto à versão da base de regras vigente no momento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Manutenibilidade</w:t>
            </w:r>
          </w:p>
        </w:tc>
        <w:tc>
          <w:tcPr>
            <w:tcW w:w="29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Reexecução de decisão registrada e comparação com o valor gravado</w:t>
            </w:r>
          </w:p>
        </w:tc>
      </w:tr>
      <w:tr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RNF05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 base de regras deve ser legível em linguagem natural e alterável sem novo treinamento de modelo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Flexibilidade</w:t>
            </w:r>
          </w:p>
        </w:tc>
        <w:tc>
          <w:tcPr>
            <w:tcW w:w="29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Inspeção da base e alteração de uma regra, com nova execução da suíte</w:t>
            </w:r>
          </w:p>
        </w:tc>
      </w:tr>
      <w:tr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RNF06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 comunicação entre o nó e o intermediário deve ocorrer sobre canal cifrado, com credencial própria do dispositivo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Segurança da informação</w:t>
            </w:r>
          </w:p>
        </w:tc>
        <w:tc>
          <w:tcPr>
            <w:tcW w:w="29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Verificação da negociação do canal cifrado e da recusa de conexão sem credencial válida</w:t>
            </w:r>
          </w:p>
        </w:tc>
      </w:tr>
      <w:tr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RNF07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Na ausência de comando por intervalo definido, o nó deve assumir o nível pleno de iluminação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Confiabilidade</w:t>
            </w:r>
          </w:p>
        </w:tc>
        <w:tc>
          <w:tcPr>
            <w:tcW w:w="29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Interrupção deliberada do serviço de decisão, com medição do estado assumido pelo nó</w:t>
            </w:r>
          </w:p>
        </w:tc>
      </w:tr>
      <w:tr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RNF08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Nenhum dado pessoal, imagem ou áudio pode trafegar pelo sistema ou nele ser persistido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Segurança da informação</w:t>
            </w:r>
          </w:p>
        </w:tc>
        <w:tc>
          <w:tcPr>
            <w:tcW w:w="29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Inspeção do modelo de dados de 8.5 e das cargas trafegadas, conforme 7.9</w:t>
            </w:r>
          </w:p>
        </w:tc>
      </w:tr>
      <w:tr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RNF09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 inclusão de novos nós não deve exigir alteração do serviço de decisão</w:t>
            </w:r>
          </w:p>
        </w:tc>
        <w:tc>
          <w:tcPr>
            <w:tcW w:w="1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Flexibilidade</w:t>
            </w:r>
          </w:p>
        </w:tc>
        <w:tc>
          <w:tcPr>
            <w:tcW w:w="29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Registro de um segundo assinante no intermediário, sem alteração de código do serviço</w:t>
            </w:r>
          </w:p>
        </w:tc>
      </w:tr>
    </w:tbl>
    <w:p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 xml:space="preserve">Fonte: Elaborado pelos autores (2026).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O RNF07 merece registro em separado, por ser a decisão de projeto que protege o sistema contra a própria falha. A iluminação pública é serviço cuja interrupção tem consequência sobre a segurança da via, e um sistema adaptativo acrescenta um modo de falha que o regime fixo não possui: a possibilidade de o comando não chegar. A regra adotada resolve o caso pelo lado conservador — sem comando, o nó ilumina plenamente. A consequência é que a falha do sistema degrada a operação para o regime convencional, e não para a escuridão. É a mesma lógica que rege a camada de verificação: o benefício da adaptação é condicional, a garantia normativa não é.</w:t>
      </w:r>
    </w:p>
    <w:p>
      <w:pPr>
        <w:pStyle w:val="Heading2"/>
        <w:spacing w:before="360" w:after="240" w:line="360" w:lineRule="auto"/>
        <w:rPr>
          <w:lang w:val="pt-BR"/>
        </w:rPr>
      </w:pPr>
      <w:r>
        <w:rPr>
          <w:lang w:val="pt-BR"/>
        </w:rPr>
        <w:t xml:space="preserve">8.4 Contratos das interfaces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O Quadro 13 especifica as interfaces pelas quais os componentes se comunicam. A interface REST é consumida pelo serviço de decisão e pelo painel; os tópicos MQTT ligam o serviço ao nó.</w:t>
      </w:r>
    </w:p>
    <w:p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 xml:space="preserve">Quadro 13 – Interfaces de comunicação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3771"/>
      </w:tblGrid>
      <w:tr>
        <w:trPr>
          <w:tblHeader/>
        </w:trPr>
        <w:tc>
          <w:tcPr>
            <w:tcW w:w="26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w="27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Operação</w:t>
            </w:r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REST – POST /eventos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Publicação de evento urbano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Carimbo de tempo, tipo do evento, valor, abrangência e origem</w:t>
            </w:r>
          </w:p>
        </w:tc>
      </w:tr>
      <w:tr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REST – GET /eventos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Consulta dos eventos em intervalo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Coleção de eventos, filtrada por carimbo de tempo</w:t>
            </w:r>
          </w:p>
        </w:tc>
      </w:tr>
      <w:tr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REST – GET /decisoes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Consulta do histórico de decisões, usada pelo painel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Nível pretendido, nível emitido, restrição aplicada e versão da base de regras</w:t>
            </w:r>
          </w:p>
        </w:tc>
      </w:tr>
      <w:tr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REST – GET /telemetria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Consulta das medições devolvidas pelo nó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Ciclo de trabalho aplicado e iluminância medida, por ponto de luz</w:t>
            </w:r>
          </w:p>
        </w:tc>
      </w:tr>
      <w:tr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MQTT – iluminacao/{ponto}/comando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Tópico assinado pelo nó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Nível emitido, expresso como fração do fluxo pleno, e identificador da decisão</w:t>
            </w:r>
          </w:p>
        </w:tc>
      </w:tr>
      <w:tr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MQTT – iluminacao/{ponto}/telemetria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Tópico publicado pelo nó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Ciclo de trabalho efetivamente aplicado, iluminância medida e identificador da decisão correspondente</w:t>
            </w:r>
          </w:p>
        </w:tc>
      </w:tr>
    </w:tbl>
    <w:p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 xml:space="preserve">Fonte: Elaborado pelos autores (2026).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O identificador da decisão trafega nos dois sentidos, e não por conveniência de implementação: é ele que permite ligar a telemetria à decisão que a originou sem depender de proximidade temporal entre as mensagens. Mensagens podem ser reordenadas ou reentregues, e um vínculo estabelecido por horário seria frágil justamente nos casos em que a auditoria importa. A especificação da interface REST, por sua vez, constitui resultado do trabalho na acepção registrada em 7.2: define o que uma plataforma municipal de monitoramento precisaria publicar para que um sistema de iluminação pudesse consumi-la.</w:t>
      </w:r>
    </w:p>
    <w:p>
      <w:pPr>
        <w:pStyle w:val="Heading2"/>
        <w:spacing w:before="360" w:after="240" w:line="360" w:lineRule="auto"/>
        <w:rPr>
          <w:lang w:val="pt-BR"/>
        </w:rPr>
      </w:pPr>
      <w:r>
        <w:rPr>
          <w:lang w:val="pt-BR"/>
        </w:rPr>
        <w:t xml:space="preserve">8.5 Modelo de dados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Figura 2 apresenta o modelo de dados em nível de relacionamento. A justificativa da escolha pelo modelo relacional e a função de cada entidade estão registradas em 7.2.2 e no Quadro 2; o que a figura acrescenta são as cardinalidades e uma entidade que aquele quadro não discrimina.</w:t>
      </w:r>
    </w:p>
    <w:p>
      <w:pPr>
        <w:keepNext/>
        <w:spacing w:before="240" w:after="0"/>
        <w:jc w:val="center"/>
        <w:rPr>
          <w:lang w:val="pt-BR"/>
        </w:rPr>
      </w:pPr>
      <w:r>
        <w:rPr>
          <w:lang w:val="pt-BR"/>
        </w:rPr>
        <w:drawing>
          <wp:inline distT="0" distB="0" distL="0" distR="0">
            <wp:extent cx="5400000" cy="5088000"/>
            <wp:effectExtent l="0" t="0" r="0" b="0"/>
            <wp:docPr id="102" name="Figura 2 - Diagrama entidade-relacion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ura 2 - Diagrama entidade-relacionamento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30" w:after="60"/>
        <w:jc w:val="center"/>
        <w:rPr>
          <w:lang w:val="pt-BR"/>
        </w:rPr>
      </w:pPr>
      <w:r>
        <w:rPr>
          <w:sz w:val="20"/>
          <w:szCs w:val="20"/>
          <w:lang w:val="pt-BR"/>
        </w:rPr>
        <w:t xml:space="preserve">Figura 2 – Diagrama entidade-relacionamento do banco de dados</w:t>
      </w:r>
    </w:p>
    <w:p>
      <w:pPr>
        <w:spacing w:before="0" w:after="280"/>
        <w:jc w:val="center"/>
        <w:rPr>
          <w:lang w:val="pt-BR"/>
        </w:rPr>
      </w:pPr>
      <w:r>
        <w:rPr>
          <w:sz w:val="20"/>
          <w:szCs w:val="20"/>
          <w:lang w:val="pt-BR"/>
        </w:rPr>
        <w:t xml:space="preserve">Fonte: Elaborado pelos autores (2026).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entidade associativa que liga decisão e evento urbano resolve uma relação de muitos para muitos e não é formalidade de modelagem: uma decisão é produzida a partir de um conjunto de eventos, e o mesmo evento pode sustentar decisões sucessivas enquanto permanecer vigente. Sem ela, o registro permitiria afirmar qual foi a decisão e quando, mas não sobre qual informação ela se apoiou — e é precisamente essa a pergunta que uma auditoria faria. Com ela, a cadeia fica completa: evento, estimativa, nível pretendido, restrição aplicada, nível emitido e medição.</w:t>
      </w:r>
    </w:p>
    <w:p>
      <w:pPr>
        <w:spacing w:after="12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Duas cardinalidades merecem nota. A relação entre decisão e telemetria é de um para um, e não de um para muitos, porque cada comando emitido produz uma leitura de confirmação; leituras periódicas do sensor que não correspondam a comando não constituem telemetria de decisão e não são registradas nessa entidade. A relação entre classe de iluminação e ponto de luz, por sua vez, é o que permite recuperar por junção o critério normativo aplicável a qualquer decisão passada, mesmo após reclassificação da via — desde que a reclassificação seja registrada como dado novo, e não como alteração do registro existente.</w:t>
      </w:r>
    </w:p>
    <w:p w14:paraId="52840CE3" w14:textId="77777777" w:rsidR="006B1E66" w:rsidRPr="000F5B8B" w:rsidRDefault="00000000">
      <w:pPr>
        <w:pStyle w:val="Heading1"/>
        <w:pageBreakBefore/>
        <w:spacing w:before="480" w:after="280" w:line="360" w:lineRule="auto"/>
        <w:rPr>
          <w:lang w:val="pt-BR"/>
        </w:rPr>
      </w:pPr>
      <w:bookmarkStart w:id="35" w:name="_Toc240223155"/>
      <w:r>
        <w:rPr>
          <w:lang w:val="pt-BR"/>
        </w:rPr>
        <w:t>9 RESULTADOS ESPERADOS</w:t>
      </w:r>
      <w:bookmarkEnd w:id="35"/>
    </w:p>
    <w:p w14:paraId="2EEF4099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O resultado principal é um artefato: o protótipo funcional que executa o fluxo completo, do dado urbano à luz. Os demais resultados caracterizam seu comportamento e sustentam a proposta de integração.</w:t>
      </w:r>
    </w:p>
    <w:p w14:paraId="2B8E0925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O protótipo integrado, capaz de executar em tempo real o percurso completo — dado urbano recebido, análise pela inteligência artificial, decisão de iluminação, comando ao nó e alteração da intensidade —, com a iluminância medida exibida simultaneamente em painel. É o resultado principal e o objeto da demonstração de defesa.</w:t>
      </w:r>
    </w:p>
    <w:p w14:paraId="0301A8F0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A caracterização documentada da infraestrutura de iluminação, telegestão e monitoramento urbano do município de São Paulo, com identificação precisa do que existe, do que está contratado e do que falta para conectá-los. É o que sustenta a afirmação de que a proposta não demanda novo investimento em infraestrutura.</w:t>
      </w:r>
    </w:p>
    <w:p w14:paraId="71BAA027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A demonstração de que a camada de verificação normativa impede a violação dos três limites da ABNT NBR 5101 em todas as decisões da suíte, incluídos os cenários adversariais. É o resultado de critério externo e, por isso, o mais robusto do trabalho.</w:t>
      </w:r>
    </w:p>
    <w:p w14:paraId="1F9EF561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A especificação da interface de integração entre plataforma de monitoramento urbano e sistema de telegestão: que informação precisaria ser publicada, em que semântica e com que periodicidade, para que a iluminação pública pudesse consumi-la. É a contribuição de projeto do trabalho e o que o torna aproveitável por terceiros.</w:t>
      </w:r>
    </w:p>
    <w:p w14:paraId="3038425C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A base de regras e as funções de pertinência do sistema de inferência, documentadas de modo a permitir reprodução, com a origem normativa de cada regra rígida explicitada.</w:t>
      </w:r>
    </w:p>
    <w:p w14:paraId="3038425C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O modelo de previsão de curto prazo treinado e avaliado, com o erro reportado contra as referências de persistência e de média sazonal, acompanhado da discussão do que a comparação revela sobre a necessidade de aprendizado no caso e sobre a periodicidade em que a série municipal precisaria ser publicada.</w:t>
      </w:r>
    </w:p>
    <w:p w14:paraId="79569F22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lastRenderedPageBreak/>
        <w:t>A latência do percurso completo, da recepção do dado à estabilização da iluminância, reportada como distribuição e discutida quanto à adequação ao regime de operação de um sistema de iluminação.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As funções de diagnóstico do ponto de luz — detecção de falha, apuração da divergência entre o nível emitido e o nível entregue e alerta de perda de controle —, com a tolerância adotada, o resultado da falha induzida deliberadamente e a taxa de detecção observada. É o que sustenta a correspondência entre o nó e as atribuições de gestão de ativo do sistema de telegestão contratado.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A estimativa de consumo do ponto de luz sob o regime adaptativo, confrontada com a do fluxo pleno constante e com a de um regime de atenuação por horário fixo, reportada ao lado da aderência de cada regime ao envelope esperado e acompanhada das hipóteses que a sustentam. Não constitui medição elétrica, e seu alcance está delimitado em 7.10.</w:t>
      </w:r>
    </w:p>
    <w:p w14:paraId="0B23C1C8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A suíte de cenários de avaliação, derivada de conjuntos de dados públicos municipais e documentada com o envelope esperado de cada caso, constituindo artefato reutilizável.</w:t>
      </w:r>
    </w:p>
    <w:p w14:paraId="75CDD4D1" w14:textId="77777777" w:rsidR="006B1E66" w:rsidRPr="000F5B8B" w:rsidRDefault="00000000">
      <w:pPr>
        <w:pStyle w:val="Heading1"/>
        <w:pageBreakBefore/>
        <w:spacing w:before="480" w:after="280" w:line="360" w:lineRule="auto"/>
        <w:rPr>
          <w:lang w:val="pt-BR"/>
        </w:rPr>
      </w:pPr>
      <w:bookmarkStart w:id="36" w:name="_Toc240223156"/>
      <w:r>
        <w:rPr>
          <w:lang w:val="pt-BR"/>
        </w:rPr>
        <w:t>10 LIMITAÇÕES DO TRABALHO</w:t>
      </w:r>
      <w:bookmarkEnd w:id="36"/>
    </w:p>
    <w:p w14:paraId="746A5AD9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>
        <w:rPr>
          <w:lang w:val="pt-BR"/>
        </w:rPr>
        <w:t>Os resultados deverão ser interpretados à luz das seguintes limitações, decorrentes de restrições de escopo assumidas deliberadamente.</w:t>
      </w:r>
    </w:p>
    <w:p w14:paraId="2F2C19AA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Não há integração efetiva com o Smart Sampa nem com o sistema de telegestão da concessionária, pela razão e nos termos delimitados em 7.4.</w:t>
      </w:r>
    </w:p>
    <w:p w14:paraId="49E158B6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Os dados públicos empregados são agregados e não são publicados em tempo real, conforme declarado em 7.4.</w:t>
      </w:r>
    </w:p>
    <w:p w14:paraId="651522AB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O envelope de decisão esperado é definido pelos autores onde não deriva de prescrição normativa, com a consequência exposta em 7.8. A verificação do invariante de segurança não padece dessa limitação, por ter critério integralmente externo.</w:t>
      </w:r>
    </w:p>
    <w:p w14:paraId="76DFF12E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O protótipo é um nó único, em escala reduzida e em baixa tensão de corrente contínua, não reproduzindo a potência, a altura de montagem nem a geometria fotométrica de uma luminária viária real. O que se transpõe é a arquitetura e o procedimento, não os valores medidos.</w:t>
      </w:r>
    </w:p>
    <w:p w14:paraId="0834639B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lastRenderedPageBreak/>
        <w:t>A bancada não realiza verificação fotométrica normativa, e as condições que a norma exigiria para aferir uma instalação estão discriminadas na abertura de 7.3.2. A medição realizada indica a correspondência entre o nível decidido e o nível entregue; não certifica conformidade fotométrica de instalação. A campanha de verificação sobre ponto de luz efetivamente instalado figura entre os trabalhos futuros.</w:t>
      </w:r>
    </w:p>
    <w:p w14:paraId="5CDDE861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lang w:val="pt-BR"/>
        </w:rPr>
        <w:t xml:space="preserve">Considera-se uma única classe de via, derivada de um conjunto declarado de valores para os parâmetros de seleção da norma. </w:t>
      </w:r>
      <w:r>
        <w:t xml:space="preserve">Conjuntos distintos conduzem a classes e faixas admissíveis distintas.</w:t>
      </w:r>
    </w:p>
    <w:p w14:paraId="4828BE7C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Os sensores da bancada não têm calibração rastreável a padrão metrológico e a cadeia de medição é única, sem verificação cruzada contra instrumento de referência. O trabalho afirma repetibilidade, monotonicidade e consistência interna da escala, e não exatidão absoluta em iluminância, nos termos de 7.3.4.</w:t>
      </w:r>
    </w:p>
    <w:p w14:paraId="5E206E71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O enlace de rádio do nó é Wi-Fi, ao passo que implantações de telegestão empregam tecnologias de longo alcance e baixo consumo. A escolha não afeta a camada avaliada, por ser o protocolo de mensagens independente do meio, mas a caracterização do enlace em condições de campo permanece fora do escopo.</w:t>
      </w:r>
    </w:p>
    <w:p w14:paraId="1D39C543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O acionamento é feito por modulação de largura de pulso sobre fita de LED com resistores de limitação integrados, e não por regulador de corrente constante, por indisponibilidade de módulo pronto no mercado nacional em </w:t>
        <w:lastRenderedPageBreak/>
        <w:t>prazo compatível. A corrente do segmento varia com a tensão da fonte, e a estabilidade do fluxo fica condicionada à da fonte adotada.</w:t>
      </w:r>
    </w:p>
    <w:p w14:paraId="4C515782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O aprendizado limita-se à camada de previsão: a base de regras permanece fixa e não é ajustada pela operação. Seu ajuste automático, por sistemas neuro-nebulosos ou por aprendizado por reforço, reintroduziria a circularidade recusada em 6.6 e figura entre os trabalhos futuros.</w:t>
      </w:r>
    </w:p>
    <w:p w14:paraId="4C515782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O modelo de previsão é treinado sobre série de contagem de pedestres de outra cidade, pela razão documentada em 7.5. Demonstra-se o procedimento, e não o desempenho que o modelo teria sobre uma via paulistana, que depende de retreinamento sobre dados locais.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O consumo de energia é estimado, e não medido. A estimativa deriva da potência declarada do módulo de luz e da trajetória de ciclo de trabalho registrada, supõe proporcionalidade entre ciclo e potência e despreza a eficiência variável do regulador de corrente e o consumo fixo do módulo de telegestão — hipóteses que a tornam um limite superior otimista quando transposta a equipamento viário, nos termos de 7.10. Não se afirma economia anual, em escala de parque, nem valor monetário. A quantificação com medição elétrica rastreável figura entre os trabalhos futuros.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A depreciação do fluxo luminoso não é demonstrada, por constituir fenômeno de milhares de horas de operação, incompatível com o prazo de execução. A arquitetura habilita sua estimativa empírica, nos termos de 7.3.5, que figura entre os trabalhos futuros.</w:t>
      </w:r>
    </w:p>
    <w:p w14:paraId="23B2B74A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>
        <w:rPr>
          <w:lang w:val="pt-BR"/>
        </w:rPr>
        <w:t>Não se contempla o controle coordenado de múltiplas luminárias em rede nem a operação em tensão de rede. Uma integração efetiva com plataforma que opere reconhecimento facial exigiria, ademais, tratamento jurídico próprio quanto à proteção de dados pessoais, não abordado aqui.</w:t>
      </w:r>
    </w:p>
    <w:p w14:paraId="1A2E6535" w14:textId="77777777" w:rsidR="006B1E66" w:rsidRPr="000F5B8B" w:rsidRDefault="00000000">
      <w:pPr>
        <w:pStyle w:val="Heading1"/>
        <w:pageBreakBefore/>
        <w:spacing w:before="480" w:after="280" w:line="360" w:lineRule="auto"/>
        <w:rPr>
          <w:lang w:val="pt-BR"/>
        </w:rPr>
      </w:pPr>
      <w:bookmarkStart w:id="37" w:name="_Toc240223157"/>
      <w:r>
        <w:rPr>
          <w:lang w:val="pt-BR"/>
        </w:rPr>
        <w:t>11 REFERÊNCIAS BIBLIOGRÁFICAS</w:t>
      </w:r>
      <w:bookmarkEnd w:id="37"/>
    </w:p>
    <w:p w14:paraId="00ED5522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AGÊNCIA NACIONAL DE ENERGIA ELÉTRICA. </w:t>
      </w:r>
      <w:r>
        <w:rPr>
          <w:b/>
          <w:bCs/>
          <w:lang w:val="pt-BR"/>
        </w:rPr>
        <w:t>Despacho nº 3.423, de 29 de novembro de 2022</w:t>
      </w:r>
      <w:r>
        <w:rPr>
          <w:lang w:val="pt-BR"/>
        </w:rPr>
        <w:t>: aprova o manual de instruções do art. 474 da Resolução Normativa nº 1.000/2021, para operacionalizar o faturamento destinado à iluminação pública caso sejam instalados sistemas de gestão. Brasília: ANEEL, 2022. Disponível em: https://www.gov.br/aneel/pt-br/assuntos/iluminacao-publica. Acesso em: 12 set. 2026.</w:t>
      </w:r>
    </w:p>
    <w:p w14:paraId="2BE7B9A4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ALVES, Maria Abadia; DIAS, Ricardo Cunha; SEIXAS, Paulo Castro. Smart Cities no Brasil e em Portugal: o estado da arte. </w:t>
      </w:r>
      <w:r>
        <w:rPr>
          <w:b/>
          <w:bCs/>
          <w:lang w:val="pt-BR"/>
        </w:rPr>
        <w:t>urbe. Revista Brasileira de Gestão Urbana</w:t>
      </w:r>
      <w:r>
        <w:rPr>
          <w:lang w:val="pt-BR"/>
        </w:rPr>
        <w:t>, v. 11, e20190061, 2019. DOI: 10.1590/2175-3369.011.e20190061.</w:t>
      </w:r>
    </w:p>
    <w:p w14:paraId="73C99C92" w14:textId="77777777" w:rsidR="006B1E66" w:rsidRDefault="00000000">
      <w:pPr>
        <w:spacing w:after="240"/>
      </w:pPr>
      <w:r>
        <w:rPr>
          <w:lang w:val="pt-BR"/>
        </w:rPr>
        <w:t xml:space="preserve">ANTHONY JNR, Bokolo. </w:t>
      </w:r>
      <w:r>
        <w:t xml:space="preserve">Enabling seamless interoperability of digital systems in smart cities using API: a systematic literature review. </w:t>
      </w:r>
      <w:r>
        <w:rPr>
          <w:b/>
          <w:bCs/>
        </w:rPr>
        <w:t>Journal of Urban Technology</w:t>
      </w:r>
      <w:r>
        <w:t>, v. 31, n. 4-5, p. 123-156, 2024. DOI: 10.1080/10630732.2024.2427543.</w:t>
      </w:r>
    </w:p>
    <w:p w14:paraId="18888A22" w14:textId="77777777" w:rsidR="006B1E66" w:rsidRPr="000F5B8B" w:rsidRDefault="00000000">
      <w:pPr>
        <w:spacing w:after="240"/>
        <w:rPr>
          <w:lang w:val="pt-BR"/>
        </w:rPr>
      </w:pPr>
      <w:r>
        <w:t xml:space="preserve">ASKOLA, Janne; KÄRHÄ, Petri; BAUMGARTNER, Hannu; PORRASMAA, Saku; IKONEN, Erkki. Effect of adaptive control on the LED street luminaire lifetime and on the lifecycle costs of a lighting installation. </w:t>
      </w:r>
      <w:r>
        <w:rPr>
          <w:b/>
          <w:bCs/>
          <w:lang w:val="pt-BR"/>
        </w:rPr>
        <w:t>Lighting Research &amp; Technology</w:t>
      </w:r>
      <w:r>
        <w:rPr>
          <w:lang w:val="pt-BR"/>
        </w:rPr>
        <w:t>, v. 54, n. 1, p. 75-89, 2022. DOI: 10.1177/14771535211008179.</w:t>
      </w:r>
    </w:p>
    <w:p w14:paraId="49280A99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lastRenderedPageBreak/>
        <w:t xml:space="preserve">ASSOCIAÇÃO BRASILEIRA DAS CONCESSIONÁRIAS DE ILUMINAÇÃO PÚBLICA. </w:t>
      </w:r>
      <w:r>
        <w:rPr>
          <w:b/>
          <w:bCs/>
          <w:lang w:val="pt-BR"/>
        </w:rPr>
        <w:t>Censo da iluminação pública no Brasil</w:t>
      </w:r>
      <w:r>
        <w:rPr>
          <w:lang w:val="pt-BR"/>
        </w:rPr>
        <w:t>: base 2023. Brasília: ABCIP, set. 2024. Elaborado a partir da Base de Dados Geográfica da Distribuidora da ANEEL. Disponível em: https://abcip.com.br/publicacoes/. Acesso em: 13 set. 2026.</w:t>
      </w:r>
    </w:p>
    <w:p w14:paraId="202B7E07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ASSOCIAÇÃO BRASILEIRA DE NORMAS TÉCNICAS. </w:t>
      </w:r>
      <w:r>
        <w:rPr>
          <w:b/>
          <w:bCs/>
          <w:lang w:val="pt-BR"/>
        </w:rPr>
        <w:t>NBR 5101</w:t>
      </w:r>
      <w:r>
        <w:rPr>
          <w:lang w:val="pt-BR"/>
        </w:rPr>
        <w:t>: iluminação viária – procedimentos. 4. ed. Rio de Janeiro: ABNT, 2024. Versão corrigida 2, 20 set. 2024.</w:t>
      </w:r>
    </w:p>
    <w:p w14:paraId="3F8EA258" w14:textId="77777777" w:rsidR="006B1E66" w:rsidRDefault="00000000">
      <w:pPr>
        <w:spacing w:after="240"/>
      </w:pPr>
      <w:r>
        <w:rPr>
          <w:lang w:val="pt-BR"/>
        </w:rPr>
        <w:t xml:space="preserve">BELLONI, Elisa; BURATTI, Cinzia; LUNGHI, Lorenzo; MARTIRANO, Luigi. </w:t>
      </w:r>
      <w:r>
        <w:t xml:space="preserve">A new street lighting control algorithm based on forecasted traffic data for electricity consumption reduction. </w:t>
      </w:r>
      <w:r>
        <w:rPr>
          <w:b/>
          <w:bCs/>
        </w:rPr>
        <w:t>Lighting Research &amp; Technology</w:t>
      </w:r>
      <w:r>
        <w:t>, v. 56, n. 5, p. 481-501, 2024. DOI: 10.1177/14771535231194536.</w:t>
      </w:r>
    </w:p>
    <w:p w14:paraId="5DF6CE9A" w14:textId="77777777" w:rsidR="006B1E66" w:rsidRPr="000F5B8B" w:rsidRDefault="00000000">
      <w:pPr>
        <w:spacing w:after="240"/>
        <w:rPr>
          <w:lang w:val="pt-BR"/>
        </w:rPr>
      </w:pPr>
      <w:r>
        <w:t xml:space="preserve">BUYUKKINACI, Bedrettin; ONAYGIL, Sermin; GULER, Onder; YURTSEVEN, Mehmet Berker. Road lighting automation scenarios depending on traffic speed and volume. </w:t>
      </w:r>
      <w:r>
        <w:rPr>
          <w:b/>
          <w:bCs/>
          <w:lang w:val="pt-BR"/>
        </w:rPr>
        <w:t>Lighting Research &amp; Technology</w:t>
      </w:r>
      <w:r>
        <w:rPr>
          <w:lang w:val="pt-BR"/>
        </w:rPr>
        <w:t>, v. 51, n. 6, p. 910-921, 2019. DOI: 10.1177/1477153518812536.</w:t>
      </w:r>
    </w:p>
    <w:p w14:paraId="6060D278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BRASIL. </w:t>
      </w:r>
      <w:r>
        <w:rPr>
          <w:b/>
          <w:bCs/>
          <w:lang w:val="pt-BR"/>
        </w:rPr>
        <w:t>Lei nº 13.709, de 14 de agosto de 2018</w:t>
      </w:r>
      <w:r>
        <w:rPr>
          <w:lang w:val="pt-BR"/>
        </w:rPr>
        <w:t>. Lei Geral de Proteção de Dados Pessoais (LGPD). Brasília: Presidência da República, 2018. Disponível em: https://www.planalto.gov.br/ccivil_03/_ato2015-2018/2018/lei/l13709.htm. Acesso em: 13 set. 2026.</w:t>
      </w:r>
    </w:p>
    <w:p w14:paraId="7D772E57" w14:textId="77777777" w:rsidR="006B1E66" w:rsidRDefault="00000000">
      <w:pPr>
        <w:spacing w:after="240"/>
      </w:pPr>
      <w:r>
        <w:t xml:space="preserve">CATLETT, Charlie E.; BECKMAN, Peter H.; SANKARAN, Rajesh; GALVIN, Kate Keahey. Array of Things: a scientific research instrument in the public way – platform design and early lessons learned. In: INTERNATIONAL WORKSHOP ON SCIENCE OF SMART CITY OPERATIONS AND PLATFORMS ENGINEERING, 2., 2017, Pittsburgh. </w:t>
      </w:r>
      <w:r>
        <w:rPr>
          <w:b/>
          <w:bCs/>
        </w:rPr>
        <w:t>Proceedings [...]</w:t>
      </w:r>
      <w:r>
        <w:t>. New York: ACM, 2017. p. 26-33. DOI: 10.1145/3063386.3063771.</w:t>
      </w:r>
    </w:p>
    <w:p w14:paraId="7D772E57" w14:textId="77777777" w:rsidR="006B1E66" w:rsidRDefault="00000000">
      <w:pPr>
        <w:spacing w:after="240"/>
      </w:pPr>
      <w:r>
        <w:rPr>
          <w:lang w:val="pt-BR"/>
        </w:rPr>
        <w:t xml:space="preserve">CHEN, Tianqi; GUESTRIN, Carlos. XGBoost: a scalable tree boosting system. In: </w:t>
      </w:r>
      <w:r>
        <w:rPr>
          <w:b/>
          <w:bCs/>
          <w:lang w:val="pt-BR"/>
        </w:rPr>
        <w:t xml:space="preserve">Proceedings of the 22nd ACM SIGKDD International Conference on Knowledge Discovery and Data Mining</w:t>
      </w:r>
      <w:r>
        <w:rPr>
          <w:lang w:val="pt-BR"/>
        </w:rPr>
        <w:t xml:space="preserve">. Nova York: ACM, 2016. p. 785-794. DOI: 10.1145/2939672.2939785.</w:t>
      </w:r>
    </w:p>
    <w:p w14:paraId="7D772E57" w14:textId="77777777" w:rsidR="006B1E66" w:rsidRDefault="00000000">
      <w:pPr>
        <w:spacing w:after="240"/>
      </w:pPr>
      <w:r>
        <w:rPr>
          <w:lang w:val="pt-BR"/>
        </w:rPr>
        <w:t xml:space="preserve">CITY OF MELBOURNE. </w:t>
      </w:r>
      <w:r>
        <w:rPr>
          <w:b/>
          <w:bCs/>
          <w:lang w:val="pt-BR"/>
        </w:rPr>
        <w:t xml:space="preserve">Pedestrian Counting System (counts per hour)</w:t>
      </w:r>
      <w:r>
        <w:rPr>
          <w:lang w:val="pt-BR"/>
        </w:rPr>
        <w:t xml:space="preserve">. Melbourne: City of Melbourne Open Data, 2026. Conjunto de dados. Disponível em: https://data.melbourne.vic.gov.au/explore/dataset/pedestrian-counting-system-monthly-counts-per-hour/. Acesso em: 15 set. 2026.</w:t>
      </w:r>
    </w:p>
    <w:p w14:paraId="6039BD42" w14:textId="77777777" w:rsidR="006B1E66" w:rsidRDefault="00000000">
      <w:pPr>
        <w:spacing w:after="240"/>
      </w:pPr>
      <w:r>
        <w:t xml:space="preserve">COMMISSION INTERNATIONALE DE L'ÉCLAIRAGE. </w:t>
      </w:r>
      <w:r>
        <w:rPr>
          <w:b/>
          <w:bCs/>
        </w:rPr>
        <w:t>CIE 115:2010</w:t>
      </w:r>
      <w:r>
        <w:t>: lighting of roads for motor and pedestrian traffic. 2. ed. Viena: CIE, 2010.</w:t>
      </w:r>
    </w:p>
    <w:p w14:paraId="221E7E58" w14:textId="77777777" w:rsidR="006B1E66" w:rsidRPr="000F5B8B" w:rsidRDefault="00000000">
      <w:pPr>
        <w:spacing w:after="240"/>
        <w:rPr>
          <w:lang w:val="pt-BR"/>
        </w:rPr>
      </w:pPr>
      <w:r>
        <w:t xml:space="preserve">DIZON, Excel; PRANGGONO, Bernardi. Smart streetlights in Smart City: a case study of Sheffield. </w:t>
      </w:r>
      <w:r>
        <w:rPr>
          <w:b/>
          <w:bCs/>
        </w:rPr>
        <w:t>Journal of Ambient Intelligence and Humanized Computing</w:t>
      </w:r>
      <w:r>
        <w:t xml:space="preserve">, v. 13, n. 4, p. 2045-2060, 2022. </w:t>
      </w:r>
      <w:r>
        <w:rPr>
          <w:lang w:val="pt-BR"/>
        </w:rPr>
        <w:t>DOI: 10.1007/s12652-021-02970-y.</w:t>
      </w:r>
    </w:p>
    <w:p w14:paraId="06E1C8FE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ESPRESSIF SYSTEMS. </w:t>
      </w:r>
      <w:r>
        <w:rPr>
          <w:b/>
          <w:bCs/>
          <w:lang w:val="pt-BR"/>
        </w:rPr>
        <w:t>ESP32 series datasheet</w:t>
      </w:r>
      <w:r>
        <w:rPr>
          <w:lang w:val="pt-BR"/>
        </w:rPr>
        <w:t>. Versão 4.3. Xangai: Espressif Systems, 2023.</w:t>
      </w:r>
    </w:p>
    <w:p w14:paraId="1EE875A4" w14:textId="77777777" w:rsidR="006B1E66" w:rsidRDefault="00000000">
      <w:pPr>
        <w:spacing w:after="240"/>
      </w:pPr>
      <w:r>
        <w:rPr>
          <w:lang w:val="pt-BR"/>
        </w:rPr>
        <w:t xml:space="preserve">FRANÇA FILHO, Cleunio; TAVARES, Eduardo. </w:t>
      </w:r>
      <w:r>
        <w:t xml:space="preserve">Stochastic modeling of smart street lighting systems: maintenance models assessment. </w:t>
      </w:r>
      <w:r>
        <w:rPr>
          <w:b/>
          <w:bCs/>
        </w:rPr>
        <w:t>Computing</w:t>
      </w:r>
      <w:r>
        <w:t>, v. 107, n. 1, art. 19, 2025. DOI: 10.1007/s00607-024-01359-x.</w:t>
      </w:r>
    </w:p>
    <w:p w14:paraId="56F5E55A" w14:textId="77777777" w:rsidR="006B1E66" w:rsidRPr="000F5B8B" w:rsidRDefault="00000000">
      <w:pPr>
        <w:spacing w:after="240"/>
        <w:rPr>
          <w:lang w:val="pt-BR"/>
        </w:rPr>
      </w:pPr>
      <w:r>
        <w:t xml:space="preserve">GALIČ, Maša; GELLERT, Raphaël. Data protection law beyond identifiability? Atmospheric profiles, nudging and the Stratumseind Living Lab. </w:t>
      </w:r>
      <w:r>
        <w:rPr>
          <w:b/>
          <w:bCs/>
        </w:rPr>
        <w:t>Computer Law &amp; Security Review</w:t>
      </w:r>
      <w:r>
        <w:t xml:space="preserve">, v. 40, art. 105486, 2021. </w:t>
      </w:r>
      <w:r>
        <w:rPr>
          <w:lang w:val="pt-BR"/>
        </w:rPr>
        <w:t>DOI: 10.1016/j.clsr.2020.105486.</w:t>
      </w:r>
    </w:p>
    <w:p w14:paraId="7D772E57" w14:textId="77777777" w:rsidR="006B1E66" w:rsidRDefault="00000000">
      <w:pPr>
        <w:spacing w:after="240"/>
      </w:pPr>
      <w:r>
        <w:rPr>
          <w:lang w:val="pt-BR"/>
        </w:rPr>
        <w:t xml:space="preserve">GRINSZTAJN, Léo; OYALLON, Edouard; VAROQUAUX, Gaël. Why do tree-based models still outperform deep learning on typical tabular data? In: </w:t>
      </w:r>
      <w:r>
        <w:rPr>
          <w:b/>
          <w:bCs/>
          <w:lang w:val="pt-BR"/>
        </w:rPr>
        <w:t xml:space="preserve">Advances in Neural Information Processing Systems 35</w:t>
      </w:r>
      <w:r>
        <w:rPr>
          <w:lang w:val="pt-BR"/>
        </w:rPr>
        <w:t xml:space="preserve"> (NeurIPS 2022), Datasets and Benchmarks Track. [S. l.]: Curran Associates, 2022. Disponível em: https://proceedings.neurips.cc/paper_files/paper/2022/hash/0378c7692da36807bdec87ab043cdadc-Abstract-Datasets_and_Benchmarks.html. Acesso em: 15 set. 2026.</w:t>
      </w:r>
    </w:p>
    <w:p w14:paraId="326C8031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HIROKI, Stella Marina Yurí. Mobilidade, participação e dados: o caso da aplicação do Waze for Cities Data na cidade de Joinville (SC). </w:t>
      </w:r>
      <w:r>
        <w:rPr>
          <w:b/>
          <w:bCs/>
          <w:lang w:val="pt-BR"/>
        </w:rPr>
        <w:t>urbe. Revista Brasileira de Gestão Urbana</w:t>
      </w:r>
      <w:r>
        <w:rPr>
          <w:lang w:val="pt-BR"/>
        </w:rPr>
        <w:t>, v. 13, e20200030, 2021. DOI: 10.1590/2175-3369.013.e20200030.</w:t>
      </w:r>
    </w:p>
    <w:p w14:paraId="7D772E57" w14:textId="77777777" w:rsidR="006B1E66" w:rsidRDefault="00000000">
      <w:pPr>
        <w:spacing w:after="240"/>
      </w:pPr>
      <w:r>
        <w:rPr>
          <w:lang w:val="pt-BR"/>
        </w:rPr>
        <w:t xml:space="preserve">INTERNATIONAL ORGANIZATION FOR STANDARDIZATION; INTERNATIONAL ELECTROTECHNICAL COMMISSION. ISO/IEC 25010: systems and software engineering – systems and software quality requirements and evaluation (SQuaRE) – product quality model. 2. ed. Genebra: ISO, 2023.</w:t>
      </w:r>
      <w:r>
        <w:rPr>
          <w:b/>
          <w:bCs/>
          <w:lang w:val="pt-BR"/>
        </w:rPr>
        <w:t xml:space="preserve">IEEE Intelligent Transportation Systems Magazine</w:t>
      </w:r>
      <w:r>
        <w:rPr>
          <w:lang w:val="pt-BR"/>
        </w:rPr>
        <w:t xml:space="preserve">, v. 10, n. 2, p. 93-109, 2018. DOI: 10.1109/MITS.2018.2806634.</w:t>
      </w:r>
    </w:p>
    <w:p w14:paraId="7D772E57" w14:textId="77777777" w:rsidR="006B1E66" w:rsidRDefault="00000000">
      <w:pPr>
        <w:spacing w:after="240"/>
      </w:pPr>
      <w:r>
        <w:rPr>
          <w:lang w:val="pt-BR"/>
        </w:rPr>
        <w:t xml:space="preserve">LANA, Ibai; DEL SER, Javier; VELEZ, Manuel; VLAHOGIANNI, Eleni I. Road traffic forecasting: recent advances and new challenges. </w:t>
      </w:r>
      <w:r>
        <w:rPr>
          <w:b/>
          <w:bCs/>
          <w:lang w:val="pt-BR"/>
        </w:rPr>
        <w:t xml:space="preserve">IEEE Intelligent Transportation Systems Magazine</w:t>
      </w:r>
      <w:r>
        <w:rPr>
          <w:lang w:val="pt-BR"/>
        </w:rPr>
        <w:t xml:space="preserve">, v. 10, n. 2, p. 93-109, 2018. DOI: 10.1109/MITS.2018.2806634.</w:t>
      </w:r>
    </w:p>
    <w:p w14:paraId="077EB11E" w14:textId="77777777" w:rsidR="006B1E66" w:rsidRDefault="00000000">
      <w:pPr>
        <w:spacing w:after="240"/>
      </w:pPr>
      <w:r>
        <w:rPr>
          <w:lang w:val="pt-BR"/>
        </w:rPr>
        <w:lastRenderedPageBreak/>
        <w:t xml:space="preserve">LIN, Jie; YU, Wei; ZHANG, Nan; YANG, Xinyu; ZHANG, Hanlin; ZHAO, Wei. </w:t>
      </w:r>
      <w:r>
        <w:t xml:space="preserve">A survey on Internet of Things: architecture, enabling technologies, security and privacy, and applications. </w:t>
      </w:r>
      <w:r>
        <w:rPr>
          <w:b/>
          <w:bCs/>
        </w:rPr>
        <w:t>IEEE Internet of Things Journal</w:t>
      </w:r>
      <w:r>
        <w:t>, v. 4, n. 5, p. 1125-1142, 2017. DOI: 10.1109/JIOT.2017.2683200.</w:t>
      </w:r>
    </w:p>
    <w:p w14:paraId="225D9328" w14:textId="77777777" w:rsidR="006B1E66" w:rsidRPr="000F5B8B" w:rsidRDefault="00000000">
      <w:pPr>
        <w:spacing w:after="240"/>
        <w:rPr>
          <w:lang w:val="pt-BR"/>
        </w:rPr>
      </w:pPr>
      <w:r>
        <w:t xml:space="preserve">MAMDANI, Ebrahim H.; ASSILIAN, Sedrak. An experiment in linguistic synthesis with a fuzzy logic controller. </w:t>
      </w:r>
      <w:r>
        <w:rPr>
          <w:b/>
          <w:bCs/>
          <w:lang w:val="pt-BR"/>
        </w:rPr>
        <w:t>International Journal of Man-Machine Studies</w:t>
      </w:r>
      <w:r>
        <w:rPr>
          <w:lang w:val="pt-BR"/>
        </w:rPr>
        <w:t>, v. 7, n. 1, p. 1-13, 1975.</w:t>
      </w:r>
    </w:p>
    <w:p w14:paraId="7AE33567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NIPE – NÚCLEO INTERDISCIPLINAR DE PLANEJAMENTO ENERGÉTICO. </w:t>
      </w:r>
      <w:r>
        <w:rPr>
          <w:b/>
          <w:bCs/>
          <w:lang w:val="pt-BR"/>
        </w:rPr>
        <w:t>CePIL participa de cerimônia de entrega de dispositivos de telegestão para projeto de iluminação na Unicamp</w:t>
      </w:r>
      <w:r>
        <w:rPr>
          <w:lang w:val="pt-BR"/>
        </w:rPr>
        <w:t>. Campinas: NIPE/Unicamp, 27 jan. 2026. Disponível em: https://www.nipe.unicamp.br/2026/01/27/cepil-participa-de-cerimonia-de-entrega-dos-dispositivos-de-telegestao/. Acesso em: 12 set. 2026.</w:t>
      </w:r>
    </w:p>
    <w:p w14:paraId="7984A261" w14:textId="77777777" w:rsidR="006B1E66" w:rsidRDefault="00000000">
      <w:pPr>
        <w:spacing w:after="240"/>
      </w:pPr>
      <w:r>
        <w:rPr>
          <w:lang w:val="pt-BR"/>
        </w:rPr>
        <w:t xml:space="preserve">NOGUEIRA, Bruno César. </w:t>
      </w:r>
      <w:r>
        <w:rPr>
          <w:b/>
          <w:bCs/>
          <w:lang w:val="pt-BR"/>
        </w:rPr>
        <w:t>Uma proposta de adaptação dinâmica da iluminação urbana baseada em IoT e DCOP</w:t>
      </w:r>
      <w:r>
        <w:rPr>
          <w:lang w:val="pt-BR"/>
        </w:rPr>
        <w:t xml:space="preserve">. 2024. Dissertação (Mestrado) – Universidade Federal Fluminense, Niterói, 2024. Disponível na Biblioteca Digital Brasileira de Teses e Dissertações em: https://bdtd.ibict.br/vufind/Record/MB_26af3fc1de96227a6a1aa0392ba78ed0. </w:t>
      </w:r>
      <w:r>
        <w:t xml:space="preserve">Acesso em: 13 set. 2026.</w:t>
      </w:r>
    </w:p>
    <w:p w14:paraId="70566E14" w14:textId="77777777" w:rsidR="006B1E66" w:rsidRPr="000F5B8B" w:rsidRDefault="00000000">
      <w:pPr>
        <w:spacing w:after="240"/>
        <w:rPr>
          <w:lang w:val="pt-BR"/>
        </w:rPr>
      </w:pPr>
      <w:r>
        <w:t xml:space="preserve">OASIS. </w:t>
      </w:r>
      <w:r>
        <w:rPr>
          <w:b/>
          <w:bCs/>
        </w:rPr>
        <w:t>MQTT Version 5.0</w:t>
      </w:r>
      <w:r>
        <w:t xml:space="preserve">: OASIS Standard. Burlington: OASIS Open, 2019. </w:t>
      </w:r>
      <w:r>
        <w:rPr>
          <w:lang w:val="pt-BR"/>
        </w:rPr>
        <w:t>Disponível em: https://docs.oasis-open.org/mqtt/mqtt/v5.0/mqtt-v5.0.html. Acesso em: 12 set. 2026.</w:t>
      </w:r>
    </w:p>
    <w:p w14:paraId="3EC9E56F" w14:textId="77777777" w:rsidR="006B1E66" w:rsidRDefault="00000000">
      <w:pPr>
        <w:spacing w:after="240"/>
      </w:pPr>
      <w:r>
        <w:rPr>
          <w:lang w:val="pt-BR"/>
        </w:rPr>
        <w:t xml:space="preserve">OLIVEIRA, Cyntia Barbosa; FAGUNDES, Mari Cristina de Freitas; SPOLLE, Marcus Vinicius. Racismo digital e gestão populacional: uma análise sobre câmeras com reconhecimento facial. </w:t>
      </w:r>
      <w:r>
        <w:rPr>
          <w:b/>
          <w:bCs/>
        </w:rPr>
        <w:t>Mosaico</w:t>
      </w:r>
      <w:r>
        <w:t>, v. 17, n. 27, e1727202546, 2025. DOI: 10.12660/rm.v17n27.2025.92355.</w:t>
      </w:r>
    </w:p>
    <w:p w14:paraId="6273AA04" w14:textId="77777777" w:rsidR="006B1E66" w:rsidRDefault="00000000">
      <w:pPr>
        <w:spacing w:after="240"/>
      </w:pPr>
      <w:r>
        <w:t xml:space="preserve">PERRY, Tekla S. Cops tap smart streetlights, sparking controversy and legislation. </w:t>
      </w:r>
      <w:r>
        <w:rPr>
          <w:b/>
          <w:bCs/>
          <w:lang w:val="pt-BR"/>
        </w:rPr>
        <w:t>IEEE Spectrum</w:t>
      </w:r>
      <w:r>
        <w:rPr>
          <w:lang w:val="pt-BR"/>
        </w:rPr>
        <w:t xml:space="preserve">, 8 ago. 2020. Disponível em: https://spectrum.ieee.org/cops-smart-street-lights. </w:t>
      </w:r>
      <w:r>
        <w:t xml:space="preserve">Acesso em: 13 set. 2026.</w:t>
      </w:r>
    </w:p>
    <w:p w14:paraId="0A4E3B5D" w14:textId="77777777" w:rsidR="006B1E66" w:rsidRDefault="00000000">
      <w:pPr>
        <w:spacing w:after="240"/>
      </w:pPr>
      <w:r>
        <w:t xml:space="preserve">PICKERING, Lynn; COHEN, Kelly; DE BAETS, Bernard. A narrative review on the interpretability of fuzzy rule-based models from a modern interpretable machine learning perspective. </w:t>
      </w:r>
      <w:r>
        <w:rPr>
          <w:b/>
          <w:bCs/>
        </w:rPr>
        <w:t>International Journal of Fuzzy Systems</w:t>
      </w:r>
      <w:r>
        <w:t>, v. 28, n. 4, p. 1313-1332, 2026. DOI: 10.1007/s40815-025-02022-z.</w:t>
      </w:r>
    </w:p>
    <w:p w14:paraId="76482571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REIA, Jess; CRUZ, Luã. Cidades inteligentes no Brasil: conexões entre poder corporativo, direitos e engajamento cívico. </w:t>
      </w:r>
      <w:r>
        <w:rPr>
          <w:b/>
          <w:bCs/>
          <w:lang w:val="pt-BR"/>
        </w:rPr>
        <w:t>Cadernos Metrópole</w:t>
      </w:r>
      <w:r>
        <w:rPr>
          <w:lang w:val="pt-BR"/>
        </w:rPr>
        <w:t>, v. 25, n. 57, p. 467-490, 2023. DOI: 10.1590/2236-9996.2023-5705.</w:t>
      </w:r>
    </w:p>
    <w:p w14:paraId="48D144E7" w14:textId="77777777" w:rsidR="006B1E66" w:rsidRDefault="00000000">
      <w:pPr>
        <w:spacing w:after="240"/>
      </w:pPr>
      <w:r>
        <w:rPr>
          <w:lang w:val="pt-BR"/>
        </w:rPr>
        <w:t xml:space="preserve">RIBEIRO, Maria Carolina Hernandez. </w:t>
      </w:r>
      <w:r>
        <w:rPr>
          <w:b/>
          <w:bCs/>
          <w:lang w:val="pt-BR"/>
        </w:rPr>
        <w:t>Projeto de iluminação pública da Unicamp prevê redução de custos e de consumo energético</w:t>
      </w:r>
      <w:r>
        <w:rPr>
          <w:lang w:val="pt-BR"/>
        </w:rPr>
        <w:t xml:space="preserve">. Campinas: Portal Unicamp, 28 jan. 2026. Disponível em: https://www.unicamp.br/noticias/2026/01/28/projeto-de-iluminacao-publica-da-unicamp-preve-reducao-de-custos-e-de-consumo-energetico/. </w:t>
      </w:r>
      <w:r>
        <w:t xml:space="preserve">Acesso em: 12 set. 2026.</w:t>
      </w:r>
    </w:p>
    <w:p w14:paraId="1F4D3EA4" w14:textId="77777777" w:rsidR="006B1E66" w:rsidRDefault="00000000">
      <w:pPr>
        <w:spacing w:after="240"/>
      </w:pPr>
      <w:r>
        <w:lastRenderedPageBreak/>
        <w:t xml:space="preserve">RUDIN, Cynthia. Stop explaining black box machine learning models for high stakes decisions and use interpretable models instead. </w:t>
      </w:r>
      <w:r>
        <w:rPr>
          <w:b/>
          <w:bCs/>
        </w:rPr>
        <w:t>Nature Machine Intelligence</w:t>
      </w:r>
      <w:r>
        <w:t>, v. 1, n. 5, p. 206-215, 2019. DOI: 10.1038/s42256-019-0048-x.</w:t>
      </w:r>
    </w:p>
    <w:p w14:paraId="7168E28E" w14:textId="77777777" w:rsidR="006B1E66" w:rsidRPr="000F5B8B" w:rsidRDefault="00000000">
      <w:pPr>
        <w:spacing w:after="240"/>
        <w:rPr>
          <w:lang w:val="pt-BR"/>
        </w:rPr>
      </w:pPr>
      <w:r>
        <w:t xml:space="preserve">SANCHEZ, Luis; MUÑOZ, Luis; GALACHE, José Antonio; SOTRES, Pablo; SANTANA, Juan R.; GUTIERREZ, Veronica; RAMDHANY, Rasheed; GLUHAK, Alex; KRCO, Srdjan; THEODORIDIS, Evangelos; PFISTERER, Dennis. SmartSantander: IoT experimentation over a smart city testbed. </w:t>
      </w:r>
      <w:r>
        <w:rPr>
          <w:b/>
          <w:bCs/>
        </w:rPr>
        <w:t>Computer Networks</w:t>
      </w:r>
      <w:r>
        <w:t xml:space="preserve">, v. 61, p. 217-238, 2014. </w:t>
      </w:r>
      <w:r>
        <w:rPr>
          <w:lang w:val="pt-BR"/>
        </w:rPr>
        <w:t>DOI: 10.1016/j.bjp.2013.12.020.</w:t>
      </w:r>
    </w:p>
    <w:p w14:paraId="5FC85EA4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SÃO PAULO (Município). </w:t>
      </w:r>
      <w:r>
        <w:rPr>
          <w:b/>
          <w:bCs/>
          <w:lang w:val="pt-BR"/>
        </w:rPr>
        <w:t>Contrato de Concessão nº 003/SMSO/2018</w:t>
      </w:r>
      <w:r>
        <w:rPr>
          <w:lang w:val="pt-BR"/>
        </w:rPr>
        <w:t>: parceria público-privada na modalidade de concessão administrativa para modernização, otimização, expansão, operação, manutenção e controle remoto e em tempo real da infraestrutura da rede de iluminação pública do Município de São Paulo. São Paulo: Prefeitura do Município de São Paulo, 2018a. Originado da Concorrência Internacional nº 01/SES/2015. Contrato e termos aditivos disponíveis em: https://prefeitura.sp.gov.br/web/spregula/iluminacao_publica/contratos/. Acesso em: 13 set. 2026.</w:t>
      </w:r>
    </w:p>
    <w:p w14:paraId="24E39990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SÃO PAULO (Município). </w:t>
      </w:r>
      <w:r>
        <w:rPr>
          <w:b/>
          <w:bCs/>
          <w:lang w:val="pt-BR"/>
        </w:rPr>
        <w:t>Anexo III do Contrato – Caderno de Encargos da Concessionária</w:t>
      </w:r>
      <w:r>
        <w:rPr>
          <w:lang w:val="pt-BR"/>
        </w:rPr>
        <w:t>. Concorrência Internacional nº 01/SES/2015. São Paulo: Secretaria Municipal de Serviços, 2015. Edital republicado e seus anexos disponíveis em: https://prefeitura.sp.gov.br/web/spregula/w/iluminacao_publica/noticias/206645. Acesso em: 13 set. 2026.</w:t>
      </w:r>
    </w:p>
    <w:p w14:paraId="4A86F6F0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SÃO PAULO (Município). </w:t>
      </w:r>
      <w:r>
        <w:rPr>
          <w:b/>
          <w:bCs/>
          <w:lang w:val="pt-BR"/>
        </w:rPr>
        <w:t>Prefeitura assina contrato com consórcio responsável pela modernização da iluminação pública</w:t>
      </w:r>
      <w:r>
        <w:rPr>
          <w:lang w:val="pt-BR"/>
        </w:rPr>
        <w:t>. São Paulo: Prefeitura do Município de São Paulo, 2018b. Disponível em: https://prefeitura.sp.gov.br/w/noticia/prefeitura-assina-contrato-com-consorcio-responsavel-pela-modernizacao-da-iluminacao-publica. Acesso em: 12 set. 2026.</w:t>
      </w:r>
    </w:p>
    <w:p w14:paraId="36BC35EC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SÃO PAULO (Município). </w:t>
      </w:r>
      <w:r>
        <w:rPr>
          <w:b/>
          <w:bCs/>
          <w:lang w:val="pt-BR"/>
        </w:rPr>
        <w:t>Prefeitura avança na modernização com LED da rede de iluminação pública de São Paulo</w:t>
      </w:r>
      <w:r>
        <w:rPr>
          <w:lang w:val="pt-BR"/>
        </w:rPr>
        <w:t>. São Paulo: Prefeitura do Município de São Paulo, 8 out. 2021. Disponível em: https://prefeitura.sp.gov.br/w/noticia/prefeitura-avanca-na-modernizacao-com-led-da-rede-de-iluminacao-publica-de-sao-paulo. Acesso em: 13 set. 2026.</w:t>
      </w:r>
    </w:p>
    <w:p w14:paraId="6D6D6550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SÃO PAULO (Município). </w:t>
      </w:r>
      <w:r>
        <w:rPr>
          <w:b/>
          <w:bCs/>
          <w:lang w:val="pt-BR"/>
        </w:rPr>
        <w:t>Programa Smart Sampa atinge meta para 2025 e já soma 40 mil câmeras integradas</w:t>
      </w:r>
      <w:r>
        <w:rPr>
          <w:lang w:val="pt-BR"/>
        </w:rPr>
        <w:t>. São Paulo: Secretaria Municipal de Segurança Urbana, 19 set. 2025. Disponível em: https://prefeitura.sp.gov.br/web/seguranca_urbana/w/programa-smart-sampa-atinge-meta-para-2025-e-já-soma-40-mil-câmeras-integradas-ao-maior-sistema-de-monitoramento-da-américa-latina. Acesso em: 13 set. 2026.</w:t>
      </w:r>
    </w:p>
    <w:p w14:paraId="18D4B250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SÃO PAULO (Município). </w:t>
      </w:r>
      <w:r>
        <w:rPr>
          <w:b/>
          <w:bCs/>
          <w:lang w:val="pt-BR"/>
        </w:rPr>
        <w:t>Termo de Referência – Plataforma Smart Sampa (Anexo A)</w:t>
      </w:r>
      <w:r>
        <w:rPr>
          <w:lang w:val="pt-BR"/>
        </w:rPr>
        <w:t>. São Paulo: Secretaria Municipal de Segurança Urbana, 2022. Versão submetida a consulta pública virtual entre 12 e 31 de agosto de 2022, na plataforma Participe+. Anexos II, IV, V e VIII. Disponível em: https://participemais.prefeitura.sp.gov.br/legislation/processes/209/topics. Acesso em: 13 set. 2026.</w:t>
      </w:r>
    </w:p>
    <w:p w14:paraId="32C97178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lastRenderedPageBreak/>
        <w:t xml:space="preserve">SÃO PAULO (Município). </w:t>
      </w:r>
      <w:r>
        <w:rPr>
          <w:b/>
          <w:bCs/>
          <w:lang w:val="pt-BR"/>
        </w:rPr>
        <w:t>Termo de Contrato nº 032/SMSU/2023</w:t>
      </w:r>
      <w:r>
        <w:rPr>
          <w:lang w:val="pt-BR"/>
        </w:rPr>
        <w:t>: Programa Smart Sampa. Contratada: Consórcio Smart City SP. São Paulo: Secretaria Municipal de Segurança Urbana, 7 ago. 2023. Originado do Pregão Eletrônico nº 079/SMSU/2022, processo 6029.2021/0015253-1. Disponível em: https://prefeitura.sp.gov.br/web/seguranca_urbana/w/menu/366662. Acesso em: 13 set. 2026.</w:t>
      </w:r>
    </w:p>
    <w:p w14:paraId="7512CA3A" w14:textId="77777777" w:rsidR="006B1E66" w:rsidRPr="000F5B8B" w:rsidRDefault="00000000">
      <w:pPr>
        <w:spacing w:after="240"/>
        <w:rPr>
          <w:lang w:val="pt-BR"/>
        </w:rPr>
      </w:pPr>
      <w:r>
        <w:rPr>
          <w:lang w:val="pt-BR"/>
        </w:rPr>
        <w:t xml:space="preserve">SÃO PAULO (Município). </w:t>
      </w:r>
      <w:r>
        <w:rPr>
          <w:b/>
          <w:bCs/>
          <w:lang w:val="pt-BR"/>
        </w:rPr>
        <w:t>Portal de dados abertos da cidade de São Paulo</w:t>
      </w:r>
      <w:r>
        <w:rPr>
          <w:lang w:val="pt-BR"/>
        </w:rPr>
        <w:t>. São Paulo: Prefeitura do Município de São Paulo, 2026. Disponível em: https://dados.prefeitura.sp.gov.br/. Acesso em: 12 set. 2026.</w:t>
      </w:r>
    </w:p>
    <w:p w14:paraId="6CE517C4" w14:textId="77777777" w:rsidR="006B1E66" w:rsidRDefault="00000000">
      <w:pPr>
        <w:spacing w:after="240"/>
      </w:pPr>
      <w:r>
        <w:rPr>
          <w:lang w:val="pt-BR"/>
        </w:rPr>
        <w:t xml:space="preserve">SÃO PAULO (Município). </w:t>
      </w:r>
      <w:r>
        <w:rPr>
          <w:b/>
          <w:bCs/>
          <w:lang w:val="pt-BR"/>
        </w:rPr>
        <w:t>Termos de aditamento ao Contrato de Concessão nº 003/SMSO/2018</w:t>
      </w:r>
      <w:r>
        <w:rPr>
          <w:lang w:val="pt-BR"/>
        </w:rPr>
        <w:t xml:space="preserve">. São Paulo: SP Regula – Agência Reguladora de Serviços Públicos do Município de São Paulo, 2019-2022. Disponível em: https://prefeitura.sp.gov.br/web/spregula/iluminacao_publica/contratos/. </w:t>
      </w:r>
      <w:r>
        <w:t xml:space="preserve">Acesso em: 13 set. 2026.</w:t>
      </w:r>
    </w:p>
    <w:p w14:paraId="2BCDAE6B" w14:textId="77777777" w:rsidR="006B1E66" w:rsidRDefault="00000000">
      <w:pPr>
        <w:spacing w:after="240"/>
      </w:pPr>
      <w:r>
        <w:t xml:space="preserve">ZADEH, Lotfi A. Fuzzy sets. </w:t>
      </w:r>
      <w:r>
        <w:rPr>
          <w:b/>
          <w:bCs/>
        </w:rPr>
        <w:t>Information and Control</w:t>
      </w:r>
      <w:r>
        <w:t>, v. 8, n. 3, p. 338-353, 1965.</w:t>
      </w:r>
    </w:p>
    <w:p>
      <w:pPr>
        <w:pStyle w:val="Heading1"/>
        <w:spacing w:before="480" w:after="280" w:line="360" w:lineRule="auto"/>
        <w:rPr>
          <w:lang w:val="pt-BR"/>
        </w:rPr>
      </w:pPr>
      <w:r>
        <w:rPr>
          <w:lang w:val="pt-BR"/>
        </w:rPr>
        <w:t xml:space="preserve">APÊNDICE A — DECLARAÇÃO DE USO DE FERRAMENTAS DE INTELIGÊNCIA ARTIFICIAL GENERATIVA</w:t>
      </w:r>
    </w:p>
    <w:p>
      <w:pPr>
        <w:spacing w:before="280" w:after="140" w:line="360" w:lineRule="auto"/>
        <w:jc w:val="both"/>
        <w:rPr>
          <w:b/>
          <w:bCs/>
          <w:lang w:val="pt-BR"/>
        </w:rPr>
      </w:pPr>
      <w:r>
        <w:rPr>
          <w:b/>
          <w:bCs/>
          <w:lang w:val="pt-BR"/>
        </w:rPr>
        <w:t xml:space="preserve">1 Identificação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Título do trabalho: CONTROLE INTELIGENTE DA ILUMINAÇÃO PÚBLICA A PARTIR DE DADOS URBANOS JÁ EXISTENTES: PROPOSTA DE INTEGRAÇÃO ENTRE PLATAFORMA DE MONITORAMENTO E TELEGESTÃO NO MUNICÍPIO DE SÃO PAULO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Autores: Bruno Bonavigo Dacal, RA N309EC4, CPF _____._____._____-___; Lucas de Araujo Vergara, RA N090758, CPF _____._____._____-___; Vitor Oliveira dos Santos, RA N083DG1, CPF _____._____._____-___.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Curso: Bacharelado em Ciência da Computação — Universidade Paulista (UNIP).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Orientador: Prof. Marco Gomes.</w:t>
      </w:r>
    </w:p>
    <w:p>
      <w:pPr>
        <w:spacing w:before="280" w:after="140" w:line="360" w:lineRule="auto"/>
        <w:jc w:val="both"/>
        <w:rPr>
          <w:b/>
          <w:bCs/>
          <w:lang w:val="pt-BR"/>
        </w:rPr>
      </w:pPr>
      <w:r>
        <w:rPr>
          <w:b/>
          <w:bCs/>
          <w:lang w:val="pt-BR"/>
        </w:rPr>
        <w:t xml:space="preserve">2 Natureza do uso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(     ) Não houve utilização de nenhuma ferramenta de Inteligência Artificial Generativa na elaboração desta obra.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(  X  ) Houve utilização de ferramentas de Inteligência Artificial Generativa, detalhada no Quadro 14.</w:t>
      </w:r>
    </w:p>
    <w:p>
      <w:pPr>
        <w:keepNext/>
        <w:spacing w:before="260" w:after="130"/>
        <w:rPr>
          <w:lang w:val="pt-BR"/>
        </w:rPr>
      </w:pPr>
      <w:r>
        <w:rPr>
          <w:sz w:val="20"/>
          <w:szCs w:val="20"/>
          <w:lang w:val="pt-BR"/>
        </w:rPr>
        <w:t xml:space="preserve">Quadro 14 – Matriz de emprego técnico de inteligência artificial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450"/>
        <w:gridCol w:w="1500"/>
        <w:gridCol w:w="2750"/>
        <w:gridCol w:w="1671"/>
      </w:tblGrid>
      <w:tr>
        <w:trPr>
          <w:tblHeader/>
        </w:trPr>
        <w:tc>
          <w:tcPr>
            <w:tcW w:w="17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Ferramenta e desenvolvedor</w:t>
            </w:r>
          </w:p>
        </w:tc>
        <w:tc>
          <w:tcPr>
            <w:tcW w:w="145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 ou checkpoint</w:t>
            </w:r>
          </w:p>
        </w:tc>
        <w:tc>
          <w:tcPr>
            <w:tcW w:w="15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Seção do trabalho afetada</w:t>
            </w:r>
          </w:p>
        </w:tc>
        <w:tc>
          <w:tcPr>
            <w:tcW w:w="275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Finalidade específica</w:t>
            </w:r>
          </w:p>
        </w:tc>
        <w:tc>
          <w:tcPr>
            <w:tcW w:w="16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Nível de intervenção humana pós-geração (%)</w:t>
            </w:r>
          </w:p>
        </w:tc>
      </w:tr>
      <w:t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Claude Opus 5 (Anthropic)</w:t>
            </w:r>
          </w:p>
        </w:tc>
        <w:tc>
          <w:tcPr>
            <w:tcW w:w="1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claude-opus-5, modo de esforço estendido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Todo o documento</w:t>
            </w:r>
          </w:p>
        </w:tc>
        <w:tc>
          <w:tcPr>
            <w:tcW w:w="2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Edição programática do arquivo em formato Office Open XML: sumário, listas de quadros e de figuras, paginação, numeração de seções e conformidade com a ABNT</w:t>
            </w:r>
          </w:p>
        </w:tc>
        <w:tc>
          <w:tcPr>
            <w:tcW w:w="16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_____</w:t>
            </w:r>
          </w:p>
        </w:tc>
      </w:tr>
      <w:t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Claude Opus 5 (Anthropic)</w:t>
            </w:r>
          </w:p>
        </w:tc>
        <w:tc>
          <w:tcPr>
            <w:tcW w:w="1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claude-opus-5, modo de esforço estendido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Figuras 1 e 2</w:t>
            </w:r>
          </w:p>
        </w:tc>
        <w:tc>
          <w:tcPr>
            <w:tcW w:w="2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Geração dos diagramas de arquitetura e de entidade-relacionamento por script Python, a partir da especificação definida pelos autores</w:t>
            </w:r>
          </w:p>
        </w:tc>
        <w:tc>
          <w:tcPr>
            <w:tcW w:w="16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_____</w:t>
            </w:r>
          </w:p>
        </w:tc>
      </w:tr>
      <w:t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Claude Opus 5 (Anthropic)</w:t>
            </w:r>
          </w:p>
        </w:tc>
        <w:tc>
          <w:tcPr>
            <w:tcW w:w="1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claude-opus-5, modo de esforço estendido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Capítulo 6</w:t>
            </w:r>
          </w:p>
        </w:tc>
        <w:tc>
          <w:tcPr>
            <w:tcW w:w="2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Prospecção bibliográfica: formulação dos termos de busca e dos operadores booleanos e localização das fontes nas bases consultadas</w:t>
            </w:r>
          </w:p>
        </w:tc>
        <w:tc>
          <w:tcPr>
            <w:tcW w:w="16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_____</w:t>
            </w:r>
          </w:p>
        </w:tc>
      </w:tr>
      <w:t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Claude Opus 5 (Anthropic)</w:t>
            </w:r>
          </w:p>
        </w:tc>
        <w:tc>
          <w:tcPr>
            <w:tcW w:w="1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claude-opus-5, modo de esforço estendido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6.2, 6.3 e 7.5</w:t>
            </w:r>
          </w:p>
        </w:tc>
        <w:tc>
          <w:tcPr>
            <w:tcW w:w="2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Consulta a fontes primárias — portal municipal de dados abertos, censo setorial e documentos contratuais — e conferência dos valores numéricos citados no texto</w:t>
            </w:r>
          </w:p>
        </w:tc>
        <w:tc>
          <w:tcPr>
            <w:tcW w:w="16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_____</w:t>
            </w:r>
          </w:p>
        </w:tc>
      </w:tr>
      <w:t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Claude Opus 5 (Anthropic)</w:t>
            </w:r>
          </w:p>
        </w:tc>
        <w:tc>
          <w:tcPr>
            <w:tcW w:w="1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claude-opus-5, modo de esforço estendido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Todo o documento</w:t>
            </w:r>
          </w:p>
        </w:tc>
        <w:tc>
          <w:tcPr>
            <w:tcW w:w="2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Apoio à redação: estruturação de seções, revisão ortográfica e sintática e adequação ao registro acadêmico, sobre conteúdo e decisões definidos pelos autores</w:t>
            </w:r>
          </w:p>
        </w:tc>
        <w:tc>
          <w:tcPr>
            <w:tcW w:w="16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_____</w:t>
            </w:r>
          </w:p>
        </w:tc>
      </w:tr>
      <w:t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ChatGPT GPT-5.6 "Luna" (OpenAI)</w:t>
            </w:r>
          </w:p>
        </w:tc>
        <w:tc>
          <w:tcPr>
            <w:tcW w:w="14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GPT-5.6 "Luna", modo de esforço alto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_____________</w:t>
            </w:r>
          </w:p>
        </w:tc>
        <w:tc>
          <w:tcPr>
            <w:tcW w:w="27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_____________</w:t>
            </w:r>
          </w:p>
        </w:tc>
        <w:tc>
          <w:tcPr>
            <w:tcW w:w="16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_____</w:t>
            </w:r>
          </w:p>
        </w:tc>
      </w:tr>
    </w:tbl>
    <w:p>
      <w:pPr>
        <w:spacing w:before="130" w:after="260"/>
        <w:rPr>
          <w:lang w:val="pt-BR"/>
        </w:rPr>
      </w:pPr>
      <w:r>
        <w:rPr>
          <w:sz w:val="20"/>
          <w:szCs w:val="20"/>
          <w:lang w:val="pt-BR"/>
        </w:rPr>
        <w:t xml:space="preserve">Fonte: Elaborado pelos autores (2026).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Ambiente de acesso e janela temporal de interação. As requisições ao modelo Claude Opus 5 foram executadas pela interface do aplicativo Claude, com execução de código em ambiente isolado fornecido pela própria ferramenta, no período de ___/___/2026 a ___/___/2026. As requisições ao modelo GPT-5.6 foram executadas por ________________, no período de ___/___/2026 a ___/___/2026.</w:t>
      </w:r>
    </w:p>
    <w:p>
      <w:pPr>
        <w:spacing w:before="280" w:after="140" w:line="360" w:lineRule="auto"/>
        <w:jc w:val="both"/>
        <w:rPr>
          <w:b/>
          <w:bCs/>
          <w:lang w:val="pt-BR"/>
        </w:rPr>
      </w:pPr>
      <w:r>
        <w:rPr>
          <w:b/>
          <w:bCs/>
          <w:lang w:val="pt-BR"/>
        </w:rPr>
        <w:t xml:space="preserve">3 Protocolo de auditoria e prompts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Os autores declaram que todos os prompts fornecidos às ferramentas e as saídas brutas correspondentes encontram-se catalogados e arquivados sob sua responsabilidade, comprometendo-se a disponibilizá-los integralmente à banca examinadora ou ao comitê de avaliação, caso requisitado, pelo prazo mínimo regulamentar de cinco anos.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Metodologia de refinamento. As interações empregaram contexto acumulado em sessão longa, instruções persistentes de projeto e recuperação aumentada por geração, com consulta a páginas web e a documentos carregados pelos autores — entre os quais a norma ABNT NBR 5101, os documentos contratuais do município e as orientações do professor responsável. As interações consideradas relevantes podem ser incluídas em apêndice documental, se a banca as requisitar.</w:t>
      </w:r>
    </w:p>
    <w:p>
      <w:pPr>
        <w:spacing w:before="280" w:after="140" w:line="360" w:lineRule="auto"/>
        <w:jc w:val="both"/>
        <w:rPr>
          <w:b/>
          <w:bCs/>
          <w:lang w:val="pt-BR"/>
        </w:rPr>
      </w:pPr>
      <w:r>
        <w:rPr>
          <w:b/>
          <w:bCs/>
          <w:lang w:val="pt-BR"/>
        </w:rPr>
        <w:t xml:space="preserve">4 Declaração de responsabilidade ética e rigor factual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Os abaixo assinados declaram, sob as penas das normas acadêmicas institucionais e da legislação vigente, que: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1. Nenhuma ferramenta de Inteligência Artificial foi listada ou considerada autora ou coautora desta obra.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2. O corpo teórico, a análise crítica, a inferência empírica e as conclusões apresentadas representam o esforço intelectual dos autores humanos, a quem cabe a decisão sobre cada afirmação sustentada no texto.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3. Todas as citações bibliográficas, referências e dados numéricos foram checados individualmente contra as fontes primárias originais, isentando o texto de alucinações geradas por modelos preditivos.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4. Não foram inseridos nas interfaces de Inteligência Artificial dados protegidos por sigilo ético, direitos de propriedade industrial ou dados de caráter pessoal ou sensível, nos termos da Lei nº 13.709/2018.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5. Os autores assumem total responsabilidade pública, ética e legal pelo conteúdo integral da obra submetida.</w:t>
      </w:r>
    </w:p>
    <w:p>
      <w:pPr>
        <w:spacing w:after="120" w:line="360" w:lineRule="auto"/>
        <w:jc w:val="both"/>
        <w:rPr>
          <w:lang w:val="pt-BR"/>
        </w:rPr>
      </w:pPr>
      <w:r>
        <w:rPr>
          <w:lang w:val="pt-BR"/>
        </w:rPr>
        <w:t xml:space="preserve">Local: ______________________________________, Data: ____/____/2026.</w:t>
      </w:r>
    </w:p>
    <w:p>
      <w:pPr>
        <w:spacing w:before="520" w:after="60"/>
        <w:jc w:val="center"/>
        <w:rPr>
          <w:lang w:val="pt-BR"/>
        </w:rPr>
      </w:pPr>
      <w:r>
        <w:rPr>
          <w:lang w:val="pt-BR"/>
        </w:rPr>
        <w:t xml:space="preserve">_______________________________________</w:t>
      </w:r>
    </w:p>
    <w:p>
      <w:pPr>
        <w:spacing w:before="520" w:after="60"/>
        <w:jc w:val="center"/>
        <w:rPr>
          <w:lang w:val="pt-BR"/>
        </w:rPr>
      </w:pPr>
      <w:r>
        <w:rPr>
          <w:lang w:val="pt-BR"/>
        </w:rPr>
        <w:t xml:space="preserve">Bruno Bonavigo Dacal — RA N309EC4</w:t>
      </w:r>
    </w:p>
    <w:p>
      <w:pPr>
        <w:spacing w:before="520" w:after="60"/>
        <w:jc w:val="center"/>
        <w:rPr>
          <w:lang w:val="pt-BR"/>
        </w:rPr>
      </w:pPr>
      <w:r>
        <w:rPr>
          <w:lang w:val="pt-BR"/>
        </w:rPr>
        <w:t xml:space="preserve">_______________________________________</w:t>
      </w:r>
    </w:p>
    <w:p>
      <w:pPr>
        <w:spacing w:before="520" w:after="60"/>
        <w:jc w:val="center"/>
        <w:rPr>
          <w:lang w:val="pt-BR"/>
        </w:rPr>
      </w:pPr>
      <w:r>
        <w:rPr>
          <w:lang w:val="pt-BR"/>
        </w:rPr>
        <w:t xml:space="preserve">Lucas de Araujo Vergara — RA N090758</w:t>
      </w:r>
    </w:p>
    <w:p>
      <w:pPr>
        <w:spacing w:before="520" w:after="60"/>
        <w:jc w:val="center"/>
        <w:rPr>
          <w:lang w:val="pt-BR"/>
        </w:rPr>
      </w:pPr>
      <w:r>
        <w:rPr>
          <w:lang w:val="pt-BR"/>
        </w:rPr>
        <w:t xml:space="preserve">_______________________________________</w:t>
      </w:r>
    </w:p>
    <w:p>
      <w:pPr>
        <w:spacing w:before="520" w:after="60"/>
        <w:jc w:val="center"/>
        <w:rPr>
          <w:lang w:val="pt-BR"/>
        </w:rPr>
      </w:pPr>
      <w:r>
        <w:rPr>
          <w:lang w:val="pt-BR"/>
        </w:rPr>
        <w:t xml:space="preserve">Vitor Oliveira dos Santos — RA N083DG1</w:t>
      </w:r>
    </w:p>
    <w:p>
      <w:pPr>
        <w:spacing w:before="520" w:after="60"/>
        <w:jc w:val="center"/>
        <w:rPr>
          <w:lang w:val="pt-BR"/>
        </w:rPr>
      </w:pPr>
      <w:r>
        <w:rPr>
          <w:lang w:val="pt-BR"/>
        </w:rPr>
        <w:t xml:space="preserve">Ciente e de acordo:</w:t>
      </w:r>
    </w:p>
    <w:p>
      <w:pPr>
        <w:spacing w:before="520" w:after="60"/>
        <w:jc w:val="center"/>
        <w:rPr>
          <w:lang w:val="pt-BR"/>
        </w:rPr>
      </w:pPr>
      <w:r>
        <w:rPr>
          <w:lang w:val="pt-BR"/>
        </w:rPr>
        <w:t xml:space="preserve">_______________________________________</w:t>
      </w:r>
    </w:p>
    <w:p>
      <w:pPr>
        <w:spacing w:before="520" w:after="60"/>
        <w:jc w:val="center"/>
        <w:rPr>
          <w:lang w:val="pt-BR"/>
        </w:rPr>
      </w:pPr>
      <w:r>
        <w:rPr>
          <w:lang w:val="pt-BR"/>
        </w:rPr>
        <w:t xml:space="preserve">Prof. Marco Gomes — Orientador</w:t>
      </w:r>
    </w:p>
    <w:p w14:paraId="0CA90E39" w14:textId="77777777" w:rsidR="006B1E66" w:rsidRDefault="00000000">
      <w:r>
        <w:br w:type="page"/>
      </w:r>
    </w:p>
    <w:p w14:paraId="4C9361E5" w14:textId="77777777" w:rsidR="006B1E66" w:rsidRPr="000F5B8B" w:rsidRDefault="00000000">
      <w:pPr>
        <w:spacing w:after="480" w:line="360" w:lineRule="auto"/>
        <w:jc w:val="center"/>
        <w:rPr>
          <w:lang w:val="pt-BR"/>
        </w:rPr>
      </w:pPr>
      <w:r>
        <w:rPr>
          <w:b/>
          <w:bCs/>
          <w:i/>
          <w:iCs/>
          <w:lang w:val="pt-BR"/>
        </w:rPr>
        <w:lastRenderedPageBreak/>
        <w:t>COMPONENTES DO GRUPO</w:t>
      </w:r>
    </w:p>
    <w:p w14:paraId="4D1F6914" w14:textId="77777777" w:rsidR="006B1E66" w:rsidRPr="000F5B8B" w:rsidRDefault="00000000">
      <w:pPr>
        <w:tabs>
          <w:tab w:val="left" w:pos="3600"/>
        </w:tabs>
        <w:spacing w:after="360" w:line="360" w:lineRule="auto"/>
        <w:rPr>
          <w:lang w:val="pt-BR"/>
        </w:rPr>
      </w:pPr>
      <w:r>
        <w:rPr>
          <w:b/>
          <w:bCs/>
          <w:i/>
          <w:iCs/>
          <w:lang w:val="pt-BR"/>
        </w:rPr>
        <w:t>RA</w:t>
        <w:tab/>
        <w:t>NOME</w:t>
      </w:r>
    </w:p>
    <w:p w14:paraId="490F0AC4" w14:textId="77777777" w:rsidR="006B1E66" w:rsidRPr="000F5B8B" w:rsidRDefault="00000000">
      <w:pPr>
        <w:tabs>
          <w:tab w:val="left" w:pos="3600"/>
        </w:tabs>
        <w:spacing w:after="360" w:line="360" w:lineRule="auto"/>
        <w:rPr>
          <w:lang w:val="pt-BR"/>
        </w:rPr>
      </w:pPr>
      <w:r>
        <w:rPr>
          <w:lang w:val="pt-BR"/>
        </w:rPr>
        <w:t>N309EC4</w:t>
        <w:tab/>
        <w:t>Bruno Bonavigo Dacal</w:t>
      </w:r>
    </w:p>
    <w:p w14:paraId="611CED9F" w14:textId="77777777" w:rsidR="006B1E66" w:rsidRPr="000F5B8B" w:rsidRDefault="00000000">
      <w:pPr>
        <w:tabs>
          <w:tab w:val="left" w:pos="3600"/>
        </w:tabs>
        <w:spacing w:after="360" w:line="360" w:lineRule="auto"/>
        <w:rPr>
          <w:lang w:val="pt-BR"/>
        </w:rPr>
      </w:pPr>
      <w:r>
        <w:rPr>
          <w:lang w:val="pt-BR"/>
        </w:rPr>
        <w:t>N090758</w:t>
        <w:tab/>
        <w:t>Lucas de Araujo Vergara</w:t>
      </w:r>
    </w:p>
    <w:p w14:paraId="2DD4E699" w14:textId="77777777" w:rsidR="006B1E66" w:rsidRPr="000F5B8B" w:rsidRDefault="00000000">
      <w:pPr>
        <w:tabs>
          <w:tab w:val="left" w:pos="3600"/>
        </w:tabs>
        <w:spacing w:after="360" w:line="360" w:lineRule="auto"/>
        <w:rPr>
          <w:lang w:val="pt-BR"/>
        </w:rPr>
      </w:pPr>
      <w:r>
        <w:rPr>
          <w:lang w:val="pt-BR"/>
        </w:rPr>
        <w:t>N083DG1</w:t>
        <w:tab/>
        <w:t>Vitor Oliveira dos Santos</w:t>
      </w:r>
    </w:p>
    <w:p w14:paraId="5B9F3C65" w14:textId="77777777" w:rsidR="006B1E66" w:rsidRDefault="00000000">
      <w:pPr>
        <w:tabs>
          <w:tab w:val="left" w:pos="3600"/>
        </w:tabs>
        <w:spacing w:after="360" w:line="360" w:lineRule="auto"/>
      </w:pPr>
      <w:r>
        <w:t>_______________</w:t>
        <w:tab/>
        <w:t>_________________________________</w:t>
      </w:r>
    </w:p>
    <w:sectPr w:rsidR="006B1E66">
      <w:headerReference w:type="default" r:id="rId8"/>
      <w:pgSz w:w="11906" w:h="16838"/>
      <w:pgMar w:top="1701" w:right="1134" w:bottom="1134" w:left="1701" w:header="1134" w:footer="708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0E79F" w14:textId="77777777" w:rsidR="00BE3F90" w:rsidRDefault="00BE3F90">
      <w:r>
        <w:separator/>
      </w:r>
    </w:p>
  </w:endnote>
  <w:endnote w:type="continuationSeparator" w:id="0">
    <w:p w14:paraId="5AFF5379" w14:textId="77777777" w:rsidR="00BE3F90" w:rsidRDefault="00BE3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80BB5" w14:textId="77777777" w:rsidR="00BE3F90" w:rsidRDefault="00BE3F90">
      <w:r>
        <w:separator/>
      </w:r>
    </w:p>
  </w:footnote>
  <w:footnote w:type="continuationSeparator" w:id="0">
    <w:p w14:paraId="05133BD0" w14:textId="77777777" w:rsidR="00BE3F90" w:rsidRDefault="00BE3F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18C03" w14:textId="01E5D7CC" w:rsidR="006B1E66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F5B8B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2450"/>
    <w:multiLevelType w:val="hybridMultilevel"/>
    <w:tmpl w:val="B77E0128"/>
    <w:lvl w:ilvl="0" w:tplc="C8DEA6BA">
      <w:start w:val="1"/>
      <w:numFmt w:val="bullet"/>
      <w:lvlText w:val="•"/>
      <w:lvlJc w:val="left"/>
      <w:pPr>
        <w:ind w:left="1134" w:hanging="425"/>
      </w:pPr>
    </w:lvl>
    <w:lvl w:ilvl="1" w:tplc="AF02608C">
      <w:numFmt w:val="decimal"/>
      <w:lvlText w:val=""/>
      <w:lvlJc w:val="left"/>
    </w:lvl>
    <w:lvl w:ilvl="2" w:tplc="56B4BA2E">
      <w:numFmt w:val="decimal"/>
      <w:lvlText w:val=""/>
      <w:lvlJc w:val="left"/>
    </w:lvl>
    <w:lvl w:ilvl="3" w:tplc="1A523744">
      <w:numFmt w:val="decimal"/>
      <w:lvlText w:val=""/>
      <w:lvlJc w:val="left"/>
    </w:lvl>
    <w:lvl w:ilvl="4" w:tplc="B080980A">
      <w:numFmt w:val="decimal"/>
      <w:lvlText w:val=""/>
      <w:lvlJc w:val="left"/>
    </w:lvl>
    <w:lvl w:ilvl="5" w:tplc="45924C38">
      <w:numFmt w:val="decimal"/>
      <w:lvlText w:val=""/>
      <w:lvlJc w:val="left"/>
    </w:lvl>
    <w:lvl w:ilvl="6" w:tplc="916A28F6">
      <w:numFmt w:val="decimal"/>
      <w:lvlText w:val=""/>
      <w:lvlJc w:val="left"/>
    </w:lvl>
    <w:lvl w:ilvl="7" w:tplc="B942C8B0">
      <w:numFmt w:val="decimal"/>
      <w:lvlText w:val=""/>
      <w:lvlJc w:val="left"/>
    </w:lvl>
    <w:lvl w:ilvl="8" w:tplc="839ECD50">
      <w:numFmt w:val="decimal"/>
      <w:lvlText w:val=""/>
      <w:lvlJc w:val="left"/>
    </w:lvl>
  </w:abstractNum>
  <w:abstractNum w:abstractNumId="1" w15:restartNumberingAfterBreak="0">
    <w:nsid w:val="1CF8138C"/>
    <w:multiLevelType w:val="hybridMultilevel"/>
    <w:tmpl w:val="4F664A48"/>
    <w:lvl w:ilvl="0" w:tplc="4176DFC2">
      <w:start w:val="1"/>
      <w:numFmt w:val="bullet"/>
      <w:lvlText w:val="●"/>
      <w:lvlJc w:val="left"/>
      <w:pPr>
        <w:ind w:left="720" w:hanging="360"/>
      </w:pPr>
    </w:lvl>
    <w:lvl w:ilvl="1" w:tplc="AD506968">
      <w:start w:val="1"/>
      <w:numFmt w:val="bullet"/>
      <w:lvlText w:val="○"/>
      <w:lvlJc w:val="left"/>
      <w:pPr>
        <w:ind w:left="1440" w:hanging="360"/>
      </w:pPr>
    </w:lvl>
    <w:lvl w:ilvl="2" w:tplc="2F589BDE">
      <w:start w:val="1"/>
      <w:numFmt w:val="bullet"/>
      <w:lvlText w:val="■"/>
      <w:lvlJc w:val="left"/>
      <w:pPr>
        <w:ind w:left="2160" w:hanging="360"/>
      </w:pPr>
    </w:lvl>
    <w:lvl w:ilvl="3" w:tplc="1FDCB1A8">
      <w:start w:val="1"/>
      <w:numFmt w:val="bullet"/>
      <w:lvlText w:val="●"/>
      <w:lvlJc w:val="left"/>
      <w:pPr>
        <w:ind w:left="2880" w:hanging="360"/>
      </w:pPr>
    </w:lvl>
    <w:lvl w:ilvl="4" w:tplc="2BE8F312">
      <w:start w:val="1"/>
      <w:numFmt w:val="bullet"/>
      <w:lvlText w:val="○"/>
      <w:lvlJc w:val="left"/>
      <w:pPr>
        <w:ind w:left="3600" w:hanging="360"/>
      </w:pPr>
    </w:lvl>
    <w:lvl w:ilvl="5" w:tplc="B7EA2B4A">
      <w:start w:val="1"/>
      <w:numFmt w:val="bullet"/>
      <w:lvlText w:val="■"/>
      <w:lvlJc w:val="left"/>
      <w:pPr>
        <w:ind w:left="4320" w:hanging="360"/>
      </w:pPr>
    </w:lvl>
    <w:lvl w:ilvl="6" w:tplc="18E68E20">
      <w:start w:val="1"/>
      <w:numFmt w:val="bullet"/>
      <w:lvlText w:val="●"/>
      <w:lvlJc w:val="left"/>
      <w:pPr>
        <w:ind w:left="5040" w:hanging="360"/>
      </w:pPr>
    </w:lvl>
    <w:lvl w:ilvl="7" w:tplc="C43E377A">
      <w:start w:val="1"/>
      <w:numFmt w:val="bullet"/>
      <w:lvlText w:val="●"/>
      <w:lvlJc w:val="left"/>
      <w:pPr>
        <w:ind w:left="5760" w:hanging="360"/>
      </w:pPr>
    </w:lvl>
    <w:lvl w:ilvl="8" w:tplc="923200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865A16"/>
    <w:multiLevelType w:val="hybridMultilevel"/>
    <w:tmpl w:val="B1408194"/>
    <w:lvl w:ilvl="0" w:tplc="685E62BC">
      <w:start w:val="1"/>
      <w:numFmt w:val="lowerLetter"/>
      <w:lvlText w:val="%1)"/>
      <w:lvlJc w:val="left"/>
      <w:pPr>
        <w:ind w:left="1134" w:hanging="425"/>
      </w:pPr>
    </w:lvl>
    <w:lvl w:ilvl="1" w:tplc="599ADBD2">
      <w:numFmt w:val="decimal"/>
      <w:lvlText w:val=""/>
      <w:lvlJc w:val="left"/>
    </w:lvl>
    <w:lvl w:ilvl="2" w:tplc="80409778">
      <w:numFmt w:val="decimal"/>
      <w:lvlText w:val=""/>
      <w:lvlJc w:val="left"/>
    </w:lvl>
    <w:lvl w:ilvl="3" w:tplc="76669430">
      <w:numFmt w:val="decimal"/>
      <w:lvlText w:val=""/>
      <w:lvlJc w:val="left"/>
    </w:lvl>
    <w:lvl w:ilvl="4" w:tplc="8DFA44DA">
      <w:numFmt w:val="decimal"/>
      <w:lvlText w:val=""/>
      <w:lvlJc w:val="left"/>
    </w:lvl>
    <w:lvl w:ilvl="5" w:tplc="AD2E4106">
      <w:numFmt w:val="decimal"/>
      <w:lvlText w:val=""/>
      <w:lvlJc w:val="left"/>
    </w:lvl>
    <w:lvl w:ilvl="6" w:tplc="E9DA0D32">
      <w:numFmt w:val="decimal"/>
      <w:lvlText w:val=""/>
      <w:lvlJc w:val="left"/>
    </w:lvl>
    <w:lvl w:ilvl="7" w:tplc="B5669E76">
      <w:numFmt w:val="decimal"/>
      <w:lvlText w:val=""/>
      <w:lvlJc w:val="left"/>
    </w:lvl>
    <w:lvl w:ilvl="8" w:tplc="8E3868DE">
      <w:numFmt w:val="decimal"/>
      <w:lvlText w:val=""/>
      <w:lvlJc w:val="left"/>
    </w:lvl>
  </w:abstractNum>
  <w:num w:numId="1" w16cid:durableId="1135174018">
    <w:abstractNumId w:val="1"/>
    <w:lvlOverride w:ilvl="0">
      <w:startOverride w:val="1"/>
    </w:lvlOverride>
  </w:num>
  <w:num w:numId="2" w16cid:durableId="1531604903">
    <w:abstractNumId w:val="0"/>
    <w:lvlOverride w:ilvl="0">
      <w:startOverride w:val="1"/>
    </w:lvlOverride>
  </w:num>
  <w:num w:numId="3" w16cid:durableId="20191138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E66"/>
    <w:rsid w:val="000F5B8B"/>
    <w:rsid w:val="006B1E66"/>
    <w:rsid w:val="006C013E"/>
    <w:rsid w:val="007B78AE"/>
    <w:rsid w:val="009E28C2"/>
    <w:rsid w:val="00BE3F90"/>
    <w:rsid w:val="00C0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AF59"/>
  <w15:docId w15:val="{4E7188AB-76FC-4733-8D33-717B9482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F5B8B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F5B8B"/>
    <w:pPr>
      <w:spacing w:after="10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0F5B8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0F5B8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413C5-9B04-4900-8CCF-13CDB2A76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52</Pages>
  <Words>16285</Words>
  <Characters>92830</Characters>
  <Application>Microsoft Office Word</Application>
  <DocSecurity>0</DocSecurity>
  <Lines>773</Lines>
  <Paragraphs>217</Paragraphs>
  <ScaleCrop>false</ScaleCrop>
  <Company/>
  <LinksUpToDate>false</LinksUpToDate>
  <CharactersWithSpaces>108898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Oliveira</cp:lastModifiedBy>
  <cp:revision>3</cp:revision>
  <dcterms:created xsi:type="dcterms:W3CDTF">2026-09-13T22:13:00Z</dcterms:created>
  <dcterms:modified xsi:type="dcterms:W3CDTF">2026-09-13T23:18:00Z</dcterms:modified>
</cp:coreProperties>
</file>