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Neste trabalho, cidade inteligente designa</w:t>
      </w:r>
      <w:r>
        <w:rPr>
          <w:lang w:val="pt-BR"/>
        </w:rPr>
        <w:t xml:space="preserve"> o emprego de tecnologias da informação e comunicação para elevar a eficiência dos serviços públicos, a sustentabilidade ambiental e a qualidade de vida da população.</w:t>
      </w:r>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r>
        <w:rPr>
          <w:lang w:val="pt-BR"/>
        </w:rPr>
        <w:t xml:space="preserve">ambas as coisas já estão contratadas.</w:t>
      </w:r>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r>
        <w:rPr>
          <w:lang w:val="pt-BR"/>
        </w:rPr>
        <w:t xml:space="preserve">funções que o fluxo pleno e a programação fixa não exercem.</w:t>
      </w:r>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r>
        <w:rPr>
          <w:lang w:val="pt-BR"/>
        </w:rPr>
        <w:t xml:space="preserve">Operada em fluxo pleno durante toda a noite, oferece</w:t>
      </w:r>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 xml:space="preserve">Especificar o conjunto de variáveis do ambiente urbano pertinentes à decisão de iluminação e as faixas em que cada uma opera, </w:t>
      </w:r>
      <w:r>
        <w:rPr>
          <w:lang w:val="pt-BR"/>
        </w:rPr>
        <w:t xml:space="preserve">a partir do cadastro georreferenciado do município e de séries públicas de contagem de pedestres.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 xml:space="preserve">A revisão é narrativa, e não sistemática: as fontes foram reunidas a partir dos eixos que estruturam esta seção, e cada inclusão obedece aos critérios declarados a seguir, de modo que possa ser auditada pelo leitor.</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r>
        <w:rPr>
          <w:lang w:val="pt-BR"/>
        </w:rPr>
        <w:t xml:space="preserve">e nenhuma afirmação sobre o estado da arte da técnica depende de literatura anterior ao recorte.</w:t>
      </w:r>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 xml:space="preserve">Uma terceira exceção, mais restrita, </w:t>
      </w:r>
      <w:r>
        <w:rPr>
          <w:lang w:val="pt-BR"/>
        </w:rPr>
        <w:t xml:space="preserve">alcança uma fonte nominalmente identificada: a publicação normativa</w:t>
      </w:r>
      <w:r>
        <w:rPr>
          <w:lang w:val="pt-BR"/>
        </w:rPr>
        <w:t xml:space="preserve"> da Commission Internationale de l'Éclairage sobre iluminação viária, de 2010: documento técnico normativo não se avalia pela data de publicação, e sim pela vigência, e a edição citada é a que permanece em vigor.</w:t>
      </w:r>
      <w:r>
        <w:rPr>
          <w:lang w:val="pt-BR"/>
        </w:rPr>
        <w:t xml:space="preserve"> Dela não se extrai</w:t>
      </w:r>
      <w:r>
        <w:rPr>
          <w:lang w:val="pt-BR"/>
        </w:rPr>
        <w:t xml:space="preserve"> afirmação sobre o estado da arte da técnica.</w:t>
      </w:r>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 xml:space="preserve">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w:t>
      </w:r>
      <w:r>
        <w:rPr>
          <w:lang w:val="pt-BR"/>
        </w:rPr>
        <w:t xml:space="preserve">Os autores registram ainda que a iluminação pública e a mobilidade aparecem como áreas de destaque dos projetos.</w:t>
      </w:r>
      <w:r>
        <w:rPr>
          <w:lang w:val="pt-BR"/>
        </w:rPr>
        <w:t xml:space="preserve">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7A99D7C9"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w:t>
      </w:r>
      <w:r>
        <w:rPr>
          <w:lang w:val="pt-BR"/>
        </w:rPr>
        <w:t xml:space="preserve">aponta os sistemas isolados, sem padronização de interfaces, como obstáculo à integração,</w:t>
      </w:r>
      <w:r>
        <w:rPr>
          <w:lang w:val="pt-BR"/>
        </w:rPr>
        <w:t xml:space="preserve"> e que a especificação da interface é o instrumento pelo qual essa fragmentação se resolve. </w:t>
      </w:r>
      <w:r>
        <w:rPr>
          <w:lang w:val="pt-BR"/>
        </w:rPr>
        <w:t xml:space="preserve">Reia e Cruz (2023), examinando a agenda brasileira de cidades inteligentes, registram o peso de atores corporativos em sua condução, inclusive de consultorias privadas na elaboração de planos municipais.</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r>
        <w:rPr>
          <w:lang w:val="pt-BR"/>
        </w:rPr>
        <w:t xml:space="preserve">já estão contratadas na cidade.</w:t>
      </w:r>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 xml:space="preserve">Não se localizou registro público de controle conforme o uso da via</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r>
        <w:rPr>
          <w:lang w:val="pt-BR"/>
        </w:rPr>
        <w:t xml:space="preserve">é padrão aberto de troca de mensagens, com cabeçalho reduzido e desacoplamento entre produtores e consumidores,</w:t>
      </w:r>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r>
        <w:rPr>
          <w:lang w:val="pt-BR"/>
        </w:rPr>
        <w:t xml:space="preserve">Adota-se, neste trabalho, o critério de que um dispositivo constitui elemento de Internet das Coisas quando reúne quatro atributos:</w:t>
      </w:r>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r>
        <w:rPr>
          <w:lang w:val="pt-BR"/>
        </w:rPr>
        <w:t xml:space="preserve">derivando suas regras da norma técnica e de critérios de projeto declarados, mantém a base de decisão auditável e livre dessa circularidade.</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 xml:space="preserve">A previsão de curto prazo de variáveis de tráfego é campo consolidado. Lana et al. (2018) revisam o estado da arte e </w:t>
      </w:r>
      <w:r>
        <w:rPr>
          <w:lang w:val="pt-BR"/>
        </w:rPr>
        <w:t xml:space="preserve">registram o deslocamento do campo dos modelos autorregressivos para procedimentos orientados por dados.</w:t>
      </w:r>
      <w:r>
        <w:rPr>
          <w:lang w:val="pt-BR"/>
        </w:rPr>
        <w:t xml:space="preserve">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w:t>
      </w:r>
      <w:r>
        <w:rPr>
          <w:lang w:val="pt-BR"/>
        </w:rPr>
        <w:t xml:space="preserve">dados de câmeras e de sensores acústicos alimentam perfis que acionam cenários dinâmicos de iluminação</w:t>
      </w:r>
      <w:r>
        <w:rPr>
          <w:lang w:val="pt-BR"/>
        </w:rPr>
        <w:t xml:space="preserve">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r>
        <w:rPr>
          <w:lang w:val="pt-BR"/>
        </w:rPr>
        <w:t xml:space="preserve">admitida pela ABNT NBR 5101 desde a revisão de 2024,</w:t>
      </w:r>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r>
        <w:rPr>
          <w:lang w:val="pt-BR"/>
        </w:rPr>
        <w:t xml:space="preserve">estão contratadas,</w:t>
      </w:r>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t xml:space="preserve">A terceira é de governança. </w:t>
      </w:r>
      <w:r>
        <w:rPr>
          <w:lang w:val="pt-BR"/>
        </w:rPr>
        <w:t xml:space="preserve">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w:t>
      </w:r>
      <w:r>
        <w:rPr>
          <w:lang w:val="pt-BR"/>
        </w:rPr>
        <w:t xml:space="preserve">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 xml:space="preserve">Contratada;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sete já existem: </w:t>
      </w:r>
      <w:r>
        <w:rPr>
          <w:lang w:val="pt-BR"/>
        </w:rPr>
        <w:t xml:space="preserve">estão contratados ou normalizados,</w:t>
      </w:r>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r>
        <w:rPr>
          <w:lang w:val="pt-BR"/>
        </w:rPr>
        <w:t xml:space="preserve">O modelo do controlador instalado no município não é informação divulgada.</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r>
        <w:rPr>
          <w:lang w:val="pt-BR"/>
        </w:rPr>
        <w:t xml:space="preserve">segundo três critérios declarados previamente:</w:t>
      </w:r>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r>
              <w:rPr>
                <w:sz w:val="20"/>
                <w:szCs w:val="20"/>
                <w:lang w:val="pt-BR"/>
              </w:rPr>
              <w:t xml:space="preserve">O refletor de 12 V e a luminária viária têm fluxo muito superior ao necessário para obter 10 lux a menos de meio metro. A lâmpada incandescente não representa a tecnologia instalada no município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não iluminância;</w:t>
            </w:r>
            <w:r>
              <w:rPr>
                <w:sz w:val="20"/>
                <w:szCs w:val="20"/>
                <w:lang w:val="pt-BR"/>
              </w:rPr>
              <w:t xml:space="preserve">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 xml:space="preserve">As alternativas constam entre as tecnologias de enlace relacionadas pelo guia setorial de telegestão (ASSOCIAÇÃO BRASILEIRA DAS CONCESSIONÁRIAS DE ILUMINAÇÃO PÚBLICA, 2024b).</w:t>
            </w:r>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r>
        <w:rPr>
          <w:lang w:val="pt-BR"/>
        </w:rPr>
        <w:t xml:space="preserve">declaram fluxos divergentes entre si.</w:t>
      </w:r>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com queda máxima</w:t>
            </w:r>
            <w:r>
              <w:rPr>
                <w:sz w:val="20"/>
                <w:szCs w:val="20"/>
              </w:rPr>
              <w:t xml:space="preserve">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w:t>
      </w:r>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r>
        <w:rPr>
          <w:lang w:val="pt-BR"/>
        </w:rPr>
        <w:t xml:space="preserve">No ensaio realizado na primeira caixa,</w:t>
      </w:r>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 xml:space="preserve">A exatidão absoluta do sensor adotado não é verificada, e a bancada</w:t>
      </w:r>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r>
        <w:rPr>
          <w:lang w:val="pt-BR"/>
        </w:rPr>
        <w:t xml:space="preserve">sobre o nível decidido pelo sistema, como fração do fluxo pleno, antes</w:t>
      </w:r>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r>
        <w:rPr>
          <w:lang w:val="pt-BR"/>
        </w:rPr>
        <w:t xml:space="preserve">apesar de a exatidão absoluta do sensor não ser verificada.</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p>
    <w:p w14:paraId="7AED012E" w14:textId="77777777" w:rsidR="006B1E66" w:rsidRPr="000F5B8B" w:rsidRDefault="00CC3326">
      <w:pPr>
        <w:spacing w:after="120" w:line="360" w:lineRule="auto"/>
        <w:ind w:firstLine="709"/>
        <w:jc w:val="both"/>
        <w:rPr>
          <w:lang w:val="pt-BR"/>
        </w:rPr>
      </w:pPr>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 xml:space="preserve">A suíte de cenários de avaliação é composta</w:t>
      </w:r>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w:t>
      </w:r>
      <w:r>
        <w:rPr>
          <w:lang w:val="pt-BR"/>
        </w:rPr>
        <w:t xml:space="preserve">reforça</w:t>
      </w:r>
      <w:r>
        <w:rPr>
          <w:lang w:val="pt-BR"/>
        </w:rPr>
        <w:t xml:space="preserve">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cerca de 1 %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r>
        <w:rPr>
          <w:lang w:val="pt-BR"/>
        </w:rPr>
        <w:t xml:space="preserve">Emprega-se a janela de 2016 a 2019, anterior à pandemia;</w:t>
      </w:r>
      <w:r>
        <w:rPr>
          <w:lang w:val="pt-BR"/>
        </w:rPr>
        <w:t xml:space="preserve"> o arquivo foi baixado em 30 de setembro de 2026, e o resumo SHA-256 da cópia empregada é registrado, uma vez que o portal o atualiza. </w:t>
      </w:r>
      <w:r>
        <w:rPr>
          <w:lang w:val="pt-BR"/>
        </w:rPr>
        <w:t xml:space="preserve">Entre as séries públicas com histórico de anos localizadas pelos autores, a de 15 min é a mais próxima do período de 5 min</w:t>
      </w:r>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r>
        <w:rPr>
          <w:lang w:val="pt-BR"/>
        </w:rPr>
        <w:t xml:space="preserve">a média do nível na mesma hora das até quatro semanas anteriores, sem treino</w:t>
      </w:r>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r>
        <w:rPr>
          <w:lang w:val="pt-BR"/>
        </w:rPr>
        <w:t xml:space="preserve">Os valores não são arbitrados: derivam do dado e são reproduzíveis por qualquer leitor que aplique o mesmo procedimento à mesma série; a escolha dos tercis como critério é dos autores (6.3).</w:t>
      </w:r>
      <w:r>
        <w:rPr>
          <w:lang w:val="pt-BR"/>
        </w:rPr>
        <w:t xml:space="preserve"> A necessidade do critério decorre de uma lacuna da norma: a ABNT NBR 5101 condiciona a classe ao nível de atividade </w:t>
      </w:r>
      <w:r>
        <w:rPr>
          <w:lang w:val="pt-BR"/>
        </w:rPr>
        <w:t xml:space="preserve">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Mais recentemente, a troca da série de treino (3.6) mudou os tercis e a largura das rampas, sem mudar as sete regras.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r>
        <w:rPr>
          <w:lang w:val="pt-BR"/>
        </w:rPr>
        <w:t xml:space="preserve">A diferença aparece quando o volume oscila em torno de uma fronteira: a tabela salta entre classes em degraus inteiros, e a inferência nebulosa responde com ajustes menores e mais frequentes.</w:t>
      </w:r>
      <w:r>
        <w:rPr>
          <w:lang w:val="pt-BR"/>
        </w:rPr>
        <w:t xml:space="preserv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máxima de 0,0083 do fluxo pleno por passo,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O serviço verifica o piso: o nível-alvo emitido é o maior entre o pretendido e o piso, e registra-se como restrição aplicada o piso, quando houve correção, ou nenhuma.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 xml:space="preserve">A série pública de contagem de pedestres empregada no treino e nos cenários é agregada por ponto de contagem e não identifica pessoas.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 xml:space="preserve">Limite inferior da faixa de 40 W a 440 W da tabela de distribuição de luz do Caderno, que admite outras potências</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r>
        <w:rPr>
          <w:lang w:val="pt-BR"/>
        </w:rPr>
        <w:t xml:space="preserve">e a segunda, um regime de atenuação por horário fixo, das 0 h às 5 h, janela escolhida pelos autores, que</w:t>
      </w:r>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r>
        <w:rPr>
          <w:lang w:val="pt-BR"/>
        </w:rPr>
        <w:t xml:space="preserve">a eficiência do regulador de corrente de um ponto de luz viário pode variar com o nível de saída, e há ainda uma parcela fixa</w:t>
      </w:r>
      <w:r>
        <w:rPr>
          <w:lang w:val="pt-BR"/>
        </w:rPr>
        <w:t xml:space="preserve"> no próprio regulador e no controlador de telegestão, que não se reduz com a dimerização e que não é aqui quantificada, por não haver valor público para o equipamento instalado. </w:t>
      </w:r>
      <w:r>
        <w:rPr>
          <w:lang w:val="pt-BR"/>
        </w:rPr>
        <w:t xml:space="preserve">Os dois efeitos, se presentes, atuam no mesmo sentido</w:t>
      </w:r>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r>
        <w:rPr>
          <w:lang w:val="pt-BR"/>
        </w:rPr>
        <w:t xml:space="preserve">aplica em seguida a verificação do piso e publica o comando resultante, com o piso e a taxa que o nó aplica.</w:t>
      </w:r>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r>
        <w:rPr>
          <w:lang w:val="pt-BR"/>
        </w:rPr>
        <w:t xml:space="preserve">porque o serviço de decisão é processo sempre ligado, com conexão contínua ao intermediário de mensagens.</w:t>
      </w:r>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 xml:space="preserve">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r>
              <w:rPr>
                <w:sz w:val="20"/>
                <w:szCs w:val="20"/>
                <w:lang w:val="pt-BR"/>
              </w:rPr>
              <w:t xml:space="preserve">geometria; referência de pessoas inicial e régua aprendida, com a data do cálculo</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r>
              <w:rPr>
                <w:sz w:val="20"/>
                <w:szCs w:val="20"/>
                <w:lang w:val="pt-BR"/>
              </w:rPr>
              <w:t xml:space="preserve">instante de publicação; validade do comando;</w:t>
            </w:r>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r>
              <w:rPr>
                <w:sz w:val="20"/>
                <w:szCs w:val="20"/>
                <w:lang w:val="pt-BR"/>
              </w:rPr>
              <w:t xml:space="preserve">iluminância medida; nível que o nó aplicava ao responder;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r>
              <w:rPr>
                <w:sz w:val="20"/>
                <w:szCs w:val="20"/>
                <w:lang w:val="pt-BR"/>
              </w:rPr>
              <w:t xml:space="preserve">referência de pessoas inicial, positiva; régua aprendida, positiva, e instante do cálculo</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r>
              <w:rPr>
                <w:sz w:val="20"/>
                <w:szCs w:val="20"/>
                <w:lang w:val="pt-BR"/>
              </w:rPr>
              <w:t xml:space="preserve">instante de publicação; validade do comando, positiva;</w:t>
            </w:r>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r>
              <w:rPr>
                <w:sz w:val="20"/>
                <w:szCs w:val="20"/>
                <w:lang w:val="pt-BR"/>
              </w:rPr>
              <w:t xml:space="preserve">iluminância não negativa; nível aplicado entre 0 e 1</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 xml:space="preserve">Cerca de 170 mensagens por segundo para 50 mil câmeras, sem picos</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10 min em cada um,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r>
        <w:t xml:space="preserve">um mesmo ponto de luz pode iluminar a pista e a calçada</w:t>
      </w:r>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e não uma das tecnologias de longo alcance e baixo consumo também admitidas para telegestão.</w:t>
      </w:r>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 xml:space="preserve">O acionamento é feito por modulação de largura de pulso sobre fita de LED com resistores de limitação integrados, e não por regulador de corrente constante, </w:t>
      </w:r>
      <w:r>
        <w:rPr>
          <w:lang w:val="pt-BR"/>
        </w:rPr>
        <w:t xml:space="preserve">por decisão dos autores.</w:t>
      </w:r>
      <w:r>
        <w:rPr>
          <w:lang w:val="pt-BR"/>
        </w:rPr>
        <w:t xml:space="preserve">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(4.10 e 5.3).</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item 71 para a arquitetura de implantação e </w:t>
      </w:r>
      <w:r>
        <w:rPr>
          <w:lang w:val="pt-BR"/>
        </w:rPr>
        <w:t xml:space="preserve">item 72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5.3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