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No CT17, as trinta repetições ficaram abaixo de 2 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pPr>
        <w:spacing w:after="120" w:line="360" w:lineRule="auto"/>
        <w:ind w:firstLine="709"/>
        <w:jc w:val="both"/>
      </w:pPr>
      <w:r>
        <w:rPr>
          <w:highlight w:val="yellow"/>
          <w:lang w:val="pt-BR"/>
        </w:rPr>
        <w:t xml:space="preserve">Na mesma partição, a regressão linear apresentou erro absoluto médio de 0,070 e a floresta aleatória, de 0,047. Pela regra registrada antes do treino, o modelo de reforço de gradiente é superior à regressão linear, com erro 33 % menor e menor em todos os 49 sensores, e equivalente à floresta aleatória, com diferença de 0,5 %, abaixo do limiar de 2 %, e erro menor em 31 dos 49 sensores. À noite, as duas acertam a faixa de movimentação — baixa, média ou alta, a grandeza lida pelas regras — em 91,3 % dos casos, contra 88,2 % da regressão linear e 87,0 % da média sazonal. No mesmo computador, os dois modelos de árvores treinaram em tempo semelhante, 23 s e 27 s, e o de reforço de gradiente previu o conjunto de teste em 0,29 s, contra 1,17 s da floresta aleatória. A permanência do reforço de gradiente apoia-se, assim, na referência de 2.7 e no menor custo de previsão, e não em superioridade de erro sobre a floresta aleatória.</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t>
      </w:r>
    </w:p>
    <w:p>
      <w:pPr>
        <w:spacing w:after="120" w:line="360" w:lineRule="auto"/>
        <w:ind w:firstLine="709"/>
        <w:jc w:val="both"/>
      </w:pPr>
      <w:r>
        <w:rPr>
          <w:highlight w:val="yellow"/>
          <w:lang w:val="pt-BR"/>
        </w:rPr>
        <w: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t>
      </w:r>
    </w:p>
    <w:p>
      <w:pPr>
        <w:spacing w:after="120" w:line="360" w:lineRule="auto"/>
        <w:ind w:firstLine="709"/>
        <w:jc w:val="both"/>
      </w:pPr>
      <w:r>
        <w:rPr>
          <w:highlight w:val="yellow"/>
          <w:lang w:val="pt-BR"/>
        </w:rPr>
        <w: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t>
      </w:r>
    </w:p>
    <w:p>
      <w:pPr>
        <w:spacing w:after="120" w:line="360" w:lineRule="auto"/>
        <w:ind w:firstLine="709"/>
        <w:jc w:val="both"/>
      </w:pPr>
      <w:r>
        <w:rPr>
          <w:highlight w:val="yellow"/>
          <w:lang w:val="pt-BR"/>
        </w:rPr>
        <w: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volume cuja viabilidade não foi avaliada. Uma alternativa seria emitir comando apenas quando o nível muda, com sinal de vida mais espaçado e failsafe proporcionalmente mais longo, preservando no serviço o controle da taxa de decréscimo; essa variante não foi implementada nem testada.</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os resultados de 5.6 e itens 65 e 66 para a sessão de bancada.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comparação com regressão linear e floresta aleatória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mesma série e modelo salvo de 5.1</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3.4.4 e 5.3 — conferência da calibração</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bancada/conferir.py, com o firmware/no/no.ino gravado no nó; tolerância do diagnóstico sobre bancada/resultados/sessao_72.json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bancada.conferir --vm. Registro em bancada/resultados/conferencia_20261004_211601.json. Versão aeeb6f7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alertas, piso e credencial, na ordem do roteiro. Registros em bancada/resultados/ct*.json e ct18_*. Versões 9861caf, 6d40dfe, 38bce0f, 069d21e e 7ed1265</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bancada/energia_bancada.py, sobre a telemetria da descida ao piso guardada em bancada/resultados/energia_bancada_ct18_descida.json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bancada.energia_bancada bancada/resultados/energia_bancada_ct18_descida.json. Versão 9047ec9</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