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com queda máxima</w:t>
            </w:r>
            <w:r>
              <w:rPr>
                <w:sz w:val="20"/>
                <w:szCs w:val="20"/>
              </w:rPr>
              <w:t xml:space="preserve">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cerca de 1 %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período de maior número de pontos de contagem e anterior à pandemia; o arquivo foi baixado em 30 de setembro de 2026, e o resumo SHA-256 da cópia empregada é registrado, uma vez que o portal o atualiza. A resolução de 15 min é a mais próxima, entre as séries públicas localizadas, do período de 5 min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t xml:space="preserve">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Mais recentemente, a troca da série de treino (3.6) mudou os tercis e a largura das rampas, sem mudar as sete regras.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máxima de 0,0083 do fluxo pleno por passo,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aplica em seguida as duas restrições rígidas da camada de verificação e publica o comando resultante.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4 e 5 de outubro de 2026, com o nó de bancada ligado ao ambiente implantado e a calibração conferida no início da sessão (3.4.4); o registro de cada caso está no repositório (Apêndice B). Cinco foram satisfeitos. No CT15, a iluminância medida ficou 3,0 % acima do valor esperado para o nível emitido, dentro da tolerância de 3,4 %. No CT16, o alerta de falha total foi aberto após três ciclos com a fonte da fita desligada e encerrado ao religá-la. </w:t>
      </w:r>
      <w:r>
        <w:rPr>
          <w:highlight w:val="yellow"/>
          <w:lang w:val="pt-BR"/>
        </w:rPr>
        <w:t xml:space="preserve">No CT17, as trinta repetições ficaram abaixo de 2 s, critério da época, mais estrito que o vigente, de 180 s.</w:t>
      </w:r>
      <w:r>
        <w:rPr>
          <w:highlight w:val="yellow"/>
          <w:lang w:val="pt-BR"/>
        </w:rPr>
        <w:t xml:space="preserve">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O CT18 não foi satisfeito nos termos em que foi fixado: o nó assumiu o nível pleno 15,0 s após o último comando, como exige o RNF07, mas o sensor só registrou o pleno 17,3 s após o último comando, porque a primeira leitura depois da troca ainda corresponde à conversão iniciada antes dela. O CT17 exigiu três execuções, todas registradas; os números estão em 5.3.</w:t>
      </w:r>
      <w:r>
        <w:rPr>
          <w:highlight w:val="yellow"/>
          <w:lang w:val="pt-BR"/>
        </w:rPr>
        <w:t xml:space="preserve"> A sessão foi conduzida com o failsafe anterior, de 15 s sem comando. Com a arquitetura de 3.5.2, o failsafe passou a ser o vencimento da validade do comando, e o firmware correspondente não foi ainda gravado no nó: o CT18 e a medição da rampa precisam ser repetidos com ele.</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Em trinta repetições independentes, espaçadas de 20 s, a latência variou de 0,98 s a 1,93 s, com mediana de 1,23 s e percentil 95 de 1,51 s; a decisão foi registrada em até 7 ms após o evento em todas elas. Em quatro das trinta repetições, a telemetria veio da decisão seguinte, apoiada no mesmo evento: o ciclo periódico de 5 s emitiu novo comando antes de concluída a leitura, e a relação entre decisão e telemetria, que é de um para um sem ser obrigatória (4.7.2), deixou a primeira decisão sem medição.</w:t>
      </w:r>
      <w:r>
        <w:rPr>
          <w:highlight w:val="yellow"/>
          <w:lang w:val="pt-BR"/>
        </w:rPr>
        <w:t xml:space="preserve"> A medição foi feita com a arquitetura anterior, de comando a cada 5 s; o RNF03 vigente, de 180 s, é satisfeito com folga.</w:t>
      </w:r>
    </w:p>
    <w:p>
      <w:pPr>
        <w:spacing w:after="120" w:line="360" w:lineRule="auto"/>
        <w:ind w:firstLine="709"/>
        <w:jc w:val="both"/>
      </w:pPr>
      <w:r>
        <w:rPr>
          <w:highlight w:val="yellow"/>
          <w:lang w:val="pt-BR"/>
        </w:rPr>
        <w:t xml:space="preserve">Essa forma de medição resultou de duas correções feitas depois de execuções anteriores, mantido o critério. Na primeira execução, a latência variou de 2,3 s a 7,1 s: o computador que publicava os eventos tinha o relógio cerca de 1 s adiantado em relação ao servidor, e o serviço, que desconsidera publicações com instante posterior ao do seu relógio, só as incorporou no ciclo periódico seguinte. Na segunda, com o instante corrigido pela diferença medida entre os relógios, seis repetições ficaram sem a telemetria da primeira decisão, pelo motivo descrito acima. A primeira execução expõe uma condição da integração: a resposta imediata pressupõe relógios sincronizados entre a plataforma e o serviço, e uma publicação com instante adiantado retarda a decisão em até um período do ciclo.</w:t>
      </w:r>
    </w:p>
    <w:p>
      <w:pPr>
        <w:spacing w:after="120" w:line="360" w:lineRule="auto"/>
        <w:ind w:firstLine="709"/>
        <w:jc w:val="both"/>
      </w:pPr>
      <w:r>
        <w:rPr>
          <w:highlight w:val="yellow"/>
          <w:lang w:val="pt-BR"/>
        </w:rPr>
        <w:t xml:space="preserve">A conferência da calibração, no início da sessão, mediu residual nula e iluminâncias 2,1 %, 2,7 % e 2,3 % acima do esperado nos níveis 1,0, 0,75 e 0,5, dentro da tolerância de 3,4 %. Essa tolerância decorre da resolução do sensor sobre o piso, nos termos de 3.4.5, porque as repetições da calibração não apresentaram dispersão. A falha induzida — a fonte da fita retirada da tomada com o nó energizado pela porta USB — produziu razão nula entre a iluminância entregue e a esperada e abriu o alerta de falha total após três ciclos consecutivos; religada a fonte, o alerta foi encerrado 35 s após a abertura. A única falha induzida foi detectada.</w:t>
      </w:r>
    </w:p>
    <w:p>
      <w:pPr>
        <w:spacing w:after="120" w:line="360" w:lineRule="auto"/>
        <w:ind w:firstLine="709"/>
        <w:jc w:val="both"/>
      </w:pPr>
      <w:r>
        <w:rPr>
          <w:highlight w:val="yellow"/>
          <w:lang w:val="pt-BR"/>
        </w:rPr>
        <w:t xml:space="preserve">No ensaio do failsafe, o nó foi levado ao piso, 5,1 lux, em 5,3 min, à taxa admitida, e o serviço de decisão foi então interrompido. O nó aplicou o nível pleno 15,0 s após o último comando, e o sensor registrou 10,19 lux 2,3 s depois. Retomado o serviço, a rampa recomeçou do pleno, e não do último nível gravado.</w:t>
      </w:r>
      <w:r>
        <w:rPr>
          <w:highlight w:val="yellow"/>
          <w:lang w:val="pt-BR"/>
        </w:rPr>
        <w:t xml:space="preserve"> O ensaio é da arquitetura anterior, em que o failsafe disparava após 15 s sem comando; o da arquitetura vigente, pelo vencimento da validade, ainda não foi feito na bancada (4.10).</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10 min em cada um,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de ciclo de trabalho registrada na descida ao piso do ensaio de failsafe: 68 telemetrias em 5,5 min, com o segmento de fita de 6 cm, de potência plena de 0,86 W pela especificação de 14,4 W/m. Pelo ciclo de trabalho, a descida consumiu 34,4 mWh, 75,7 % do consumo no pleno da classe no mesmo intervalo, proporção próxima da obtida pela fórmula fechada de 3.11 para a rampa de P3 a P5, de 75 %. A estimativa derivada da iluminância medida resultou em 34,8 mWh, divergência de 1,3 % em relação à derivada do ciclo de trabalho.</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O firmware correspondente compila, mas não foi ensaiado na bancada até esta versão, e a medição de 5.3 é da arquitetura anterior.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item 71 para a arquitetura de implantação e item 72 para o teste de sensibilidade da régua.</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3.4.4 e 5.3 — conferência da calibração</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bancada/conferir.py, com o firmware/no/no.ino gravado no nó; tolerância do diagnóstico sobre bancada/resultados/sessao_72.json</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bancada.conferir --vm. Registro em bancada/resultados/conferencia_20261004_211601.json. Versão aeeb6f7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alertas, piso e credencial, na ordem do roteiro. Registros em bancada/resultados/ct*.json e ct18_*. Versões 9861caf, 6d40dfe, 38bce0f, 069d21e e 7ed1265</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bancada/energia_bancada.py, sobre a telemetria da descida ao piso guardada em bancada/resultados/energia_bancada_ct18_descida.json</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bancada.energia_bancada bancada/resultados/energia_bancada_ct18_descida.json. Versão 9047ec9</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