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05291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b/>
          <w:bCs/>
          <w:lang w:val="pt-BR"/>
        </w:rPr>
        <w:t>UNIVERSIDADE PAULISTA – UNIP</w:t>
      </w:r>
    </w:p>
    <w:p w14:paraId="089C8A5A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b/>
          <w:bCs/>
          <w:lang w:val="pt-BR"/>
        </w:rPr>
        <w:t>CIÊNCIA DA COMPUTAÇÃO – 8º SEMESTRE</w:t>
      </w:r>
    </w:p>
    <w:p w14:paraId="787453F7" w14:textId="77777777" w:rsidR="00B359A8" w:rsidRPr="00797FC2" w:rsidRDefault="00B359A8">
      <w:pPr>
        <w:spacing w:line="360" w:lineRule="auto"/>
        <w:rPr>
          <w:lang w:val="pt-BR"/>
        </w:rPr>
      </w:pPr>
    </w:p>
    <w:p w14:paraId="21C6308E" w14:textId="77777777" w:rsidR="00B359A8" w:rsidRPr="00797FC2" w:rsidRDefault="00B359A8">
      <w:pPr>
        <w:spacing w:line="360" w:lineRule="auto"/>
        <w:rPr>
          <w:lang w:val="pt-BR"/>
        </w:rPr>
      </w:pPr>
    </w:p>
    <w:p w14:paraId="4B417AF2" w14:textId="77777777" w:rsidR="00B359A8" w:rsidRPr="00797FC2" w:rsidRDefault="00B359A8">
      <w:pPr>
        <w:spacing w:line="360" w:lineRule="auto"/>
        <w:rPr>
          <w:lang w:val="pt-BR"/>
        </w:rPr>
      </w:pPr>
    </w:p>
    <w:p w14:paraId="2A167B12" w14:textId="77777777" w:rsidR="00B359A8" w:rsidRPr="00797FC2" w:rsidRDefault="00B359A8">
      <w:pPr>
        <w:spacing w:line="360" w:lineRule="auto"/>
        <w:rPr>
          <w:lang w:val="pt-BR"/>
        </w:rPr>
      </w:pPr>
    </w:p>
    <w:p w14:paraId="3B7C1D42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BRUNO BONAVIGO DACAL – N309EC4</w:t>
      </w:r>
    </w:p>
    <w:p w14:paraId="237B3DE7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LUCAS DE ARAUJO VERGARA – N090758</w:t>
      </w:r>
    </w:p>
    <w:p w14:paraId="4A0280FD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VITOR OLIVEIRA DOS SANTOS – N083DG1</w:t>
      </w:r>
    </w:p>
    <w:p w14:paraId="5D1B3AFB" w14:textId="77777777" w:rsidR="00B359A8" w:rsidRPr="00797FC2" w:rsidRDefault="00B359A8">
      <w:pPr>
        <w:spacing w:line="360" w:lineRule="auto"/>
        <w:rPr>
          <w:lang w:val="pt-BR"/>
        </w:rPr>
      </w:pPr>
    </w:p>
    <w:p w14:paraId="78B29D8D" w14:textId="77777777" w:rsidR="00B359A8" w:rsidRPr="00797FC2" w:rsidRDefault="00B359A8">
      <w:pPr>
        <w:spacing w:line="360" w:lineRule="auto"/>
        <w:rPr>
          <w:lang w:val="pt-BR"/>
        </w:rPr>
      </w:pPr>
    </w:p>
    <w:p w14:paraId="7753196A" w14:textId="77777777" w:rsidR="00B359A8" w:rsidRPr="00797FC2" w:rsidRDefault="00B359A8">
      <w:pPr>
        <w:spacing w:line="360" w:lineRule="auto"/>
        <w:rPr>
          <w:lang w:val="pt-BR"/>
        </w:rPr>
      </w:pPr>
    </w:p>
    <w:p w14:paraId="4A02E6A0" w14:textId="77777777" w:rsidR="00B359A8" w:rsidRPr="00797FC2" w:rsidRDefault="00B359A8">
      <w:pPr>
        <w:spacing w:line="360" w:lineRule="auto"/>
        <w:rPr>
          <w:lang w:val="pt-BR"/>
        </w:rPr>
      </w:pPr>
    </w:p>
    <w:p w14:paraId="6C567059" w14:textId="77777777" w:rsidR="00B359A8" w:rsidRPr="00797FC2" w:rsidRDefault="00B359A8">
      <w:pPr>
        <w:spacing w:line="360" w:lineRule="auto"/>
        <w:rPr>
          <w:lang w:val="pt-BR"/>
        </w:rPr>
      </w:pPr>
    </w:p>
    <w:p w14:paraId="4B20F992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4B133DF7" w14:textId="77777777" w:rsidR="00B359A8" w:rsidRPr="00797FC2" w:rsidRDefault="00B359A8">
      <w:pPr>
        <w:spacing w:line="360" w:lineRule="auto"/>
        <w:rPr>
          <w:lang w:val="pt-BR"/>
        </w:rPr>
      </w:pPr>
    </w:p>
    <w:p w14:paraId="3C3D0419" w14:textId="77777777" w:rsidR="00B359A8" w:rsidRPr="00797FC2" w:rsidRDefault="00B359A8">
      <w:pPr>
        <w:spacing w:line="360" w:lineRule="auto"/>
        <w:rPr>
          <w:lang w:val="pt-BR"/>
        </w:rPr>
      </w:pPr>
    </w:p>
    <w:p w14:paraId="0BD304FB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PRÉ-PROJETO DE TRABALHO DE CONCLUSÃO DE CURSO</w:t>
      </w:r>
    </w:p>
    <w:p w14:paraId="3972D91E" w14:textId="77777777" w:rsidR="00B359A8" w:rsidRPr="00797FC2" w:rsidRDefault="00B359A8">
      <w:pPr>
        <w:spacing w:line="360" w:lineRule="auto"/>
        <w:rPr>
          <w:lang w:val="pt-BR"/>
        </w:rPr>
      </w:pPr>
    </w:p>
    <w:p w14:paraId="060015C4" w14:textId="77777777" w:rsidR="00B359A8" w:rsidRPr="00797FC2" w:rsidRDefault="00B359A8">
      <w:pPr>
        <w:spacing w:line="360" w:lineRule="auto"/>
        <w:rPr>
          <w:lang w:val="pt-BR"/>
        </w:rPr>
      </w:pPr>
    </w:p>
    <w:p w14:paraId="4C4FA6B7" w14:textId="77777777" w:rsidR="00B359A8" w:rsidRPr="00797FC2" w:rsidRDefault="00B359A8">
      <w:pPr>
        <w:spacing w:line="360" w:lineRule="auto"/>
        <w:rPr>
          <w:lang w:val="pt-BR"/>
        </w:rPr>
      </w:pPr>
    </w:p>
    <w:p w14:paraId="26BBA242" w14:textId="77777777" w:rsidR="00B359A8" w:rsidRPr="00797FC2" w:rsidRDefault="00B359A8">
      <w:pPr>
        <w:spacing w:line="360" w:lineRule="auto"/>
        <w:rPr>
          <w:lang w:val="pt-BR"/>
        </w:rPr>
      </w:pPr>
    </w:p>
    <w:p w14:paraId="074C8769" w14:textId="77777777" w:rsidR="00B359A8" w:rsidRPr="00797FC2" w:rsidRDefault="00B359A8">
      <w:pPr>
        <w:spacing w:line="360" w:lineRule="auto"/>
        <w:rPr>
          <w:lang w:val="pt-BR"/>
        </w:rPr>
      </w:pPr>
    </w:p>
    <w:p w14:paraId="1DF37AEC" w14:textId="77777777" w:rsidR="00B359A8" w:rsidRPr="00797FC2" w:rsidRDefault="00B359A8">
      <w:pPr>
        <w:spacing w:line="360" w:lineRule="auto"/>
        <w:rPr>
          <w:lang w:val="pt-BR"/>
        </w:rPr>
      </w:pPr>
    </w:p>
    <w:p w14:paraId="20BF76EB" w14:textId="77777777" w:rsidR="00B359A8" w:rsidRPr="00797FC2" w:rsidRDefault="00B359A8">
      <w:pPr>
        <w:spacing w:line="360" w:lineRule="auto"/>
        <w:rPr>
          <w:lang w:val="pt-BR"/>
        </w:rPr>
      </w:pPr>
    </w:p>
    <w:p w14:paraId="6C41DE46" w14:textId="77777777" w:rsidR="00B359A8" w:rsidRPr="00797FC2" w:rsidRDefault="00B359A8">
      <w:pPr>
        <w:spacing w:line="360" w:lineRule="auto"/>
        <w:rPr>
          <w:lang w:val="pt-BR"/>
        </w:rPr>
      </w:pPr>
    </w:p>
    <w:p w14:paraId="35F91985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SÃO PAULO</w:t>
      </w:r>
    </w:p>
    <w:p w14:paraId="3054C0FC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2026</w:t>
      </w:r>
    </w:p>
    <w:p w14:paraId="3E7C49D4" w14:textId="77777777" w:rsidR="00B359A8" w:rsidRPr="00797FC2" w:rsidRDefault="00000000">
      <w:pPr>
        <w:rPr>
          <w:lang w:val="pt-BR"/>
        </w:rPr>
      </w:pPr>
      <w:r w:rsidRPr="00797FC2">
        <w:rPr>
          <w:lang w:val="pt-BR"/>
        </w:rPr>
        <w:br w:type="page"/>
      </w:r>
    </w:p>
    <w:p w14:paraId="41293264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lastRenderedPageBreak/>
        <w:t>BRUNO BONAVIGO DACAL – N309EC4</w:t>
      </w:r>
    </w:p>
    <w:p w14:paraId="647F0124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LUCAS DE ARAUJO VERGARA – N090758</w:t>
      </w:r>
    </w:p>
    <w:p w14:paraId="775BA19C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VITOR OLIVEIRA DOS SANTOS – N083DG1</w:t>
      </w:r>
    </w:p>
    <w:p w14:paraId="1153CE38" w14:textId="77777777" w:rsidR="00B359A8" w:rsidRPr="00797FC2" w:rsidRDefault="00B359A8">
      <w:pPr>
        <w:spacing w:line="360" w:lineRule="auto"/>
        <w:rPr>
          <w:lang w:val="pt-BR"/>
        </w:rPr>
      </w:pPr>
    </w:p>
    <w:p w14:paraId="571AE73A" w14:textId="77777777" w:rsidR="00B359A8" w:rsidRPr="00797FC2" w:rsidRDefault="00B359A8">
      <w:pPr>
        <w:spacing w:line="360" w:lineRule="auto"/>
        <w:rPr>
          <w:lang w:val="pt-BR"/>
        </w:rPr>
      </w:pPr>
    </w:p>
    <w:p w14:paraId="3E256E58" w14:textId="77777777" w:rsidR="00B359A8" w:rsidRPr="00797FC2" w:rsidRDefault="00B359A8">
      <w:pPr>
        <w:spacing w:line="360" w:lineRule="auto"/>
        <w:rPr>
          <w:lang w:val="pt-BR"/>
        </w:rPr>
      </w:pPr>
    </w:p>
    <w:p w14:paraId="3D06EA61" w14:textId="77777777" w:rsidR="00B359A8" w:rsidRPr="00797FC2" w:rsidRDefault="00B359A8">
      <w:pPr>
        <w:spacing w:line="360" w:lineRule="auto"/>
        <w:rPr>
          <w:lang w:val="pt-BR"/>
        </w:rPr>
      </w:pPr>
    </w:p>
    <w:p w14:paraId="4D5A5EDC" w14:textId="77777777" w:rsidR="00B359A8" w:rsidRPr="00797FC2" w:rsidRDefault="00B359A8">
      <w:pPr>
        <w:spacing w:line="360" w:lineRule="auto"/>
        <w:rPr>
          <w:lang w:val="pt-BR"/>
        </w:rPr>
      </w:pPr>
    </w:p>
    <w:p w14:paraId="1EF5ECAD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b/>
          <w:bCs/>
          <w:lang w:val="pt-BR"/>
        </w:rPr>
        <w:t>CONTROLE INTELIGENTE DA ILUMINAÇÃO PÚBLICA A PARTIR DE DADOS URBANOS JÁ EXISTENTES: PROPOSTA DE INTEGRAÇÃO ENTRE PLATAFORMA DE MONITORAMENTO E TELEGESTÃO NO MUNICÍPIO DE SÃO PAULO</w:t>
      </w:r>
    </w:p>
    <w:p w14:paraId="5B8558A7" w14:textId="77777777" w:rsidR="00B359A8" w:rsidRPr="00797FC2" w:rsidRDefault="00B359A8">
      <w:pPr>
        <w:spacing w:line="360" w:lineRule="auto"/>
        <w:rPr>
          <w:lang w:val="pt-BR"/>
        </w:rPr>
      </w:pPr>
    </w:p>
    <w:p w14:paraId="25A6D42A" w14:textId="77777777" w:rsidR="00B359A8" w:rsidRPr="00797FC2" w:rsidRDefault="00B359A8">
      <w:pPr>
        <w:spacing w:line="360" w:lineRule="auto"/>
        <w:rPr>
          <w:lang w:val="pt-BR"/>
        </w:rPr>
      </w:pPr>
    </w:p>
    <w:p w14:paraId="0C260C67" w14:textId="77777777" w:rsidR="00B359A8" w:rsidRPr="00797FC2" w:rsidRDefault="00B359A8">
      <w:pPr>
        <w:spacing w:line="360" w:lineRule="auto"/>
        <w:rPr>
          <w:lang w:val="pt-BR"/>
        </w:rPr>
      </w:pPr>
    </w:p>
    <w:p w14:paraId="2AB6874A" w14:textId="77777777" w:rsidR="00B359A8" w:rsidRPr="00797FC2" w:rsidRDefault="00000000">
      <w:pPr>
        <w:ind w:left="4536"/>
        <w:jc w:val="both"/>
        <w:rPr>
          <w:lang w:val="pt-BR"/>
        </w:rPr>
      </w:pPr>
      <w:r w:rsidRPr="00797FC2">
        <w:rPr>
          <w:lang w:val="pt-BR"/>
        </w:rPr>
        <w:t>Pré-projeto de Trabalho de Conclusão de Curso apresentado ao curso de Bacharelado em Ciência da Computação da Universidade Paulista – UNIP, como requisito parcial para a definição do tema do Trabalho de Conclusão de Curso.</w:t>
      </w:r>
    </w:p>
    <w:p w14:paraId="3770DA61" w14:textId="77777777" w:rsidR="00B359A8" w:rsidRPr="00797FC2" w:rsidRDefault="00B359A8">
      <w:pPr>
        <w:spacing w:line="360" w:lineRule="auto"/>
        <w:rPr>
          <w:lang w:val="pt-BR"/>
        </w:rPr>
      </w:pPr>
    </w:p>
    <w:p w14:paraId="7F76936D" w14:textId="77777777" w:rsidR="00B359A8" w:rsidRPr="00797FC2" w:rsidRDefault="00000000">
      <w:pPr>
        <w:ind w:left="4536"/>
        <w:rPr>
          <w:lang w:val="pt-BR"/>
        </w:rPr>
      </w:pPr>
      <w:r w:rsidRPr="00797FC2">
        <w:rPr>
          <w:lang w:val="pt-BR"/>
        </w:rPr>
        <w:t>Orientador: Prof. Marco Gomes</w:t>
      </w:r>
    </w:p>
    <w:p w14:paraId="0302B4C9" w14:textId="77777777" w:rsidR="00B359A8" w:rsidRPr="00797FC2" w:rsidRDefault="00B359A8">
      <w:pPr>
        <w:spacing w:line="360" w:lineRule="auto"/>
        <w:rPr>
          <w:lang w:val="pt-BR"/>
        </w:rPr>
      </w:pPr>
    </w:p>
    <w:p w14:paraId="19DE43FC" w14:textId="77777777" w:rsidR="00B359A8" w:rsidRPr="00797FC2" w:rsidRDefault="00B359A8">
      <w:pPr>
        <w:spacing w:line="360" w:lineRule="auto"/>
        <w:rPr>
          <w:lang w:val="pt-BR"/>
        </w:rPr>
      </w:pPr>
    </w:p>
    <w:p w14:paraId="7EE2E087" w14:textId="77777777" w:rsidR="00B359A8" w:rsidRPr="00797FC2" w:rsidRDefault="00B359A8">
      <w:pPr>
        <w:spacing w:line="360" w:lineRule="auto"/>
        <w:rPr>
          <w:lang w:val="pt-BR"/>
        </w:rPr>
      </w:pPr>
    </w:p>
    <w:p w14:paraId="60CCA4E9" w14:textId="77777777" w:rsidR="00B359A8" w:rsidRPr="00797FC2" w:rsidRDefault="00B359A8">
      <w:pPr>
        <w:spacing w:line="360" w:lineRule="auto"/>
        <w:rPr>
          <w:lang w:val="pt-BR"/>
        </w:rPr>
      </w:pPr>
    </w:p>
    <w:p w14:paraId="25DF60E1" w14:textId="77777777" w:rsidR="00B359A8" w:rsidRPr="00797FC2" w:rsidRDefault="00B359A8">
      <w:pPr>
        <w:spacing w:line="360" w:lineRule="auto"/>
        <w:rPr>
          <w:lang w:val="pt-BR"/>
        </w:rPr>
      </w:pPr>
    </w:p>
    <w:p w14:paraId="0594503D" w14:textId="77777777" w:rsidR="00B359A8" w:rsidRPr="00797FC2" w:rsidRDefault="00B359A8">
      <w:pPr>
        <w:spacing w:line="360" w:lineRule="auto"/>
        <w:rPr>
          <w:lang w:val="pt-BR"/>
        </w:rPr>
      </w:pPr>
    </w:p>
    <w:p w14:paraId="25D6E5FD" w14:textId="77777777" w:rsidR="00B359A8" w:rsidRPr="00797FC2" w:rsidRDefault="00B359A8">
      <w:pPr>
        <w:spacing w:line="360" w:lineRule="auto"/>
        <w:rPr>
          <w:lang w:val="pt-BR"/>
        </w:rPr>
      </w:pPr>
    </w:p>
    <w:p w14:paraId="4041ECBB" w14:textId="77777777" w:rsidR="00B359A8" w:rsidRPr="00797FC2" w:rsidRDefault="00B359A8">
      <w:pPr>
        <w:spacing w:line="360" w:lineRule="auto"/>
        <w:rPr>
          <w:lang w:val="pt-BR"/>
        </w:rPr>
      </w:pPr>
    </w:p>
    <w:p w14:paraId="3C23A943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SÃO PAULO</w:t>
      </w:r>
    </w:p>
    <w:p w14:paraId="3F213553" w14:textId="77777777" w:rsidR="00B359A8" w:rsidRPr="00797FC2" w:rsidRDefault="00000000">
      <w:pPr>
        <w:spacing w:line="360" w:lineRule="auto"/>
        <w:jc w:val="center"/>
        <w:rPr>
          <w:lang w:val="pt-BR"/>
        </w:rPr>
      </w:pPr>
      <w:r w:rsidRPr="00797FC2">
        <w:rPr>
          <w:lang w:val="pt-BR"/>
        </w:rPr>
        <w:t>2026</w:t>
      </w:r>
    </w:p>
    <w:p w14:paraId="129B2413" w14:textId="29E52FCC" w:rsidR="00B359A8" w:rsidRDefault="00000000">
      <w:pPr>
        <w:rPr>
          <w:lang w:val="pt-BR"/>
        </w:rPr>
      </w:pPr>
      <w:r w:rsidRPr="00797FC2">
        <w:rPr>
          <w:lang w:val="pt-BR"/>
        </w:rPr>
        <w:br w:type="page"/>
      </w:r>
    </w:p>
    <w:p w14:paraId="68FF6C28" w14:textId="77777777" w:rsidR="00797FC2" w:rsidRPr="00797FC2" w:rsidRDefault="00797FC2" w:rsidP="00797FC2">
      <w:pPr>
        <w:jc w:val="center"/>
        <w:rPr>
          <w:b/>
          <w:bCs/>
        </w:rPr>
      </w:pPr>
      <w:r w:rsidRPr="00797FC2">
        <w:rPr>
          <w:b/>
          <w:bCs/>
        </w:rPr>
        <w:lastRenderedPageBreak/>
        <w:t>ÍNDICE</w:t>
      </w:r>
    </w:p>
    <w:p w14:paraId="11481273" w14:textId="77777777" w:rsidR="00797FC2" w:rsidRDefault="00797FC2"/>
    <w:sdt>
      <w:sdtPr>
        <w:id w:val="201764175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</w:sdtEndPr>
      <w:sdtContent>
        <w:p w14:paraId="4EE6AA2D" w14:textId="4A541825" w:rsidR="00797FC2" w:rsidRDefault="00797FC2">
          <w:pPr>
            <w:pStyle w:val="TOCHeading"/>
          </w:pPr>
        </w:p>
        <w:p w14:paraId="784CC046" w14:textId="0FB3CACB" w:rsidR="00347481" w:rsidRDefault="00797FC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23051" w:history="1">
            <w:r w:rsidR="00347481" w:rsidRPr="00A27D21">
              <w:rPr>
                <w:rStyle w:val="Hyperlink"/>
                <w:noProof/>
                <w:lang w:val="pt-BR"/>
              </w:rPr>
              <w:t>1 TEMA DO PROJETO</w:t>
            </w:r>
            <w:r w:rsidR="00347481">
              <w:rPr>
                <w:noProof/>
                <w:webHidden/>
              </w:rPr>
              <w:tab/>
            </w:r>
            <w:r w:rsidR="00347481">
              <w:rPr>
                <w:noProof/>
                <w:webHidden/>
              </w:rPr>
              <w:fldChar w:fldCharType="begin"/>
            </w:r>
            <w:r w:rsidR="00347481">
              <w:rPr>
                <w:noProof/>
                <w:webHidden/>
              </w:rPr>
              <w:instrText xml:space="preserve"> PAGEREF _Toc240223051 \h </w:instrText>
            </w:r>
            <w:r w:rsidR="00347481">
              <w:rPr>
                <w:noProof/>
                <w:webHidden/>
              </w:rPr>
            </w:r>
            <w:r w:rsidR="00347481">
              <w:rPr>
                <w:noProof/>
                <w:webHidden/>
              </w:rPr>
              <w:fldChar w:fldCharType="separate"/>
            </w:r>
            <w:r w:rsidR="00347481">
              <w:rPr>
                <w:noProof/>
                <w:webHidden/>
              </w:rPr>
              <w:t>5</w:t>
            </w:r>
            <w:r w:rsidR="00347481">
              <w:rPr>
                <w:noProof/>
                <w:webHidden/>
              </w:rPr>
              <w:fldChar w:fldCharType="end"/>
            </w:r>
          </w:hyperlink>
        </w:p>
        <w:p w14:paraId="337926A1" w14:textId="28D5C029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2" w:history="1">
            <w:r w:rsidRPr="00A27D21">
              <w:rPr>
                <w:rStyle w:val="Hyperlink"/>
                <w:noProof/>
                <w:lang w:val="pt-BR"/>
              </w:rPr>
              <w:t>1.1 Cidades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C93A" w14:textId="6196411F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3" w:history="1">
            <w:r w:rsidRPr="00A27D21">
              <w:rPr>
                <w:rStyle w:val="Hyperlink"/>
                <w:noProof/>
                <w:lang w:val="pt-BR"/>
              </w:rPr>
              <w:t>1.2 Internet das Coisas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8EA3" w14:textId="18D3B9BC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4" w:history="1">
            <w:r w:rsidRPr="00A27D21">
              <w:rPr>
                <w:rStyle w:val="Hyperlink"/>
                <w:noProof/>
                <w:lang w:val="pt-BR"/>
              </w:rPr>
              <w:t>1.3 Inteligência artificial aplicada à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3D183" w14:textId="627558FE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5" w:history="1">
            <w:r w:rsidRPr="00A27D21">
              <w:rPr>
                <w:rStyle w:val="Hyperlink"/>
                <w:noProof/>
                <w:lang w:val="pt-BR"/>
              </w:rPr>
              <w:t>2 DEFINIÇÃO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87AD" w14:textId="24E1B323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6" w:history="1">
            <w:r w:rsidRPr="00A27D21">
              <w:rPr>
                <w:rStyle w:val="Hyperlink"/>
                <w:noProof/>
                <w:lang w:val="pt-BR"/>
              </w:rPr>
              <w:t>3 PROBLEMA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BFB4" w14:textId="4287A8EF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7" w:history="1">
            <w:r w:rsidRPr="00A27D21">
              <w:rPr>
                <w:rStyle w:val="Hyperlink"/>
                <w:noProof/>
                <w:lang w:val="pt-BR"/>
              </w:rPr>
              <w:t>4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3DA6" w14:textId="6DD220F7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8" w:history="1">
            <w:r w:rsidRPr="00A27D21">
              <w:rPr>
                <w:rStyle w:val="Hyperlink"/>
                <w:noProof/>
                <w:lang w:val="pt-BR"/>
              </w:rPr>
              <w:t>4.1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DA4E" w14:textId="2113200F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59" w:history="1">
            <w:r w:rsidRPr="00A27D21">
              <w:rPr>
                <w:rStyle w:val="Hyperlink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A35F" w14:textId="1FA6EED5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0" w:history="1">
            <w:r w:rsidRPr="00A27D21">
              <w:rPr>
                <w:rStyle w:val="Hyperlink"/>
                <w:noProof/>
                <w:lang w:val="pt-BR"/>
              </w:rPr>
              <w:t>5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66D4" w14:textId="43252CAA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1" w:history="1">
            <w:r w:rsidRPr="00A27D21">
              <w:rPr>
                <w:rStyle w:val="Hyperlink"/>
                <w:noProof/>
                <w:lang w:val="pt-BR"/>
              </w:rPr>
              <w:t>6 REVISÃO BIBLIOGRÁFICA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A9B78" w14:textId="232D935D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2" w:history="1">
            <w:r w:rsidRPr="00A27D21">
              <w:rPr>
                <w:rStyle w:val="Hyperlink"/>
                <w:noProof/>
                <w:lang w:val="pt-BR"/>
              </w:rPr>
              <w:t>6.1 Metodologia de seleção das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B3D3B" w14:textId="5C141DAE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3" w:history="1">
            <w:r w:rsidRPr="00A27D21">
              <w:rPr>
                <w:rStyle w:val="Hyperlink"/>
                <w:noProof/>
                <w:lang w:val="pt-BR"/>
              </w:rPr>
              <w:t>6.2 Infraestrutura instalada e integração ausente: um padrão documentado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FD58" w14:textId="0858199B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4" w:history="1">
            <w:r w:rsidRPr="00A27D21">
              <w:rPr>
                <w:rStyle w:val="Hyperlink"/>
                <w:noProof/>
                <w:lang w:val="pt-BR"/>
              </w:rPr>
              <w:t>6.3 A infraestrutura instalada no município de São Paulo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C494" w14:textId="0934FFA5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5" w:history="1">
            <w:r w:rsidRPr="00A27D21">
              <w:rPr>
                <w:rStyle w:val="Hyperlink"/>
                <w:noProof/>
                <w:lang w:val="pt-BR"/>
              </w:rPr>
              <w:t>6.4 Requisitos normativos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30AA" w14:textId="240190AE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6" w:history="1">
            <w:r w:rsidRPr="00A27D21">
              <w:rPr>
                <w:rStyle w:val="Hyperlink"/>
                <w:noProof/>
                <w:lang w:val="pt-BR"/>
              </w:rPr>
              <w:t>6.5 Decisão sob informação imprecisa e a escolha de um modelo interpretável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4CDDC" w14:textId="1910CE3F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7" w:history="1">
            <w:r w:rsidRPr="00A27D21">
              <w:rPr>
                <w:rStyle w:val="Hyperlink"/>
                <w:noProof/>
                <w:lang w:val="pt-BR"/>
              </w:rPr>
              <w:t>6.6 Trabalhos correlatos e lacuna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A6489" w14:textId="0558015B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8" w:history="1">
            <w:r w:rsidRPr="00A27D21">
              <w:rPr>
                <w:rStyle w:val="Hyperlink"/>
                <w:noProof/>
                <w:lang w:val="pt-BR"/>
              </w:rPr>
              <w:t>7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FC01A" w14:textId="4601A3CE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69" w:history="1">
            <w:r w:rsidRPr="00A27D21">
              <w:rPr>
                <w:rStyle w:val="Hyperlink"/>
                <w:noProof/>
                <w:lang w:val="pt-BR"/>
              </w:rPr>
              <w:t>7.1 Classificação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613C" w14:textId="3FB6A001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0" w:history="1">
            <w:r w:rsidRPr="00A27D21">
              <w:rPr>
                <w:rStyle w:val="Hyperlink"/>
                <w:noProof/>
                <w:lang w:val="pt-BR"/>
              </w:rPr>
              <w:t>7.2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390D" w14:textId="176DFB46" w:rsidR="00347481" w:rsidRDefault="003474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1" w:history="1">
            <w:r w:rsidRPr="00A27D21">
              <w:rPr>
                <w:rStyle w:val="Hyperlink"/>
                <w:noProof/>
                <w:lang w:val="pt-BR"/>
              </w:rPr>
              <w:t>7.2.1 Implantação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841D" w14:textId="3FE69EA5" w:rsidR="00347481" w:rsidRDefault="003474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2" w:history="1">
            <w:r w:rsidRPr="00A27D21">
              <w:rPr>
                <w:rStyle w:val="Hyperlink"/>
                <w:noProof/>
                <w:lang w:val="pt-BR"/>
              </w:rPr>
              <w:t>7.2.2 Persistência e 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FE97" w14:textId="5ABD51F3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3" w:history="1">
            <w:r w:rsidRPr="00A27D21">
              <w:rPr>
                <w:rStyle w:val="Hyperlink"/>
                <w:noProof/>
                <w:lang w:val="pt-BR"/>
              </w:rPr>
              <w:t>7.3 O nó de demonstração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A738" w14:textId="41213F4F" w:rsidR="00347481" w:rsidRDefault="003474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4" w:history="1">
            <w:r w:rsidRPr="00A27D21">
              <w:rPr>
                <w:rStyle w:val="Hyperlink"/>
                <w:noProof/>
                <w:lang w:val="pt-BR"/>
              </w:rPr>
              <w:t>7.3.1 Critérios de seleção e alternativas preteridas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EA4E" w14:textId="4BFC70A2" w:rsidR="00347481" w:rsidRDefault="003474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5" w:history="1">
            <w:r w:rsidRPr="00A27D21">
              <w:rPr>
                <w:rStyle w:val="Hyperlink"/>
                <w:noProof/>
                <w:lang w:val="pt-BR"/>
              </w:rPr>
              <w:t>7.3.2 Dimensionamento e condições de medição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9FCF" w14:textId="13281DE3" w:rsidR="00347481" w:rsidRDefault="003474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6" w:history="1">
            <w:r w:rsidRPr="00A27D21">
              <w:rPr>
                <w:rStyle w:val="Hyperlink"/>
                <w:noProof/>
                <w:lang w:val="pt-BR"/>
              </w:rPr>
              <w:t>7.3.3 Incerteza declarada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8A36" w14:textId="38BC06E0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7" w:history="1">
            <w:r w:rsidRPr="00A27D21">
              <w:rPr>
                <w:rStyle w:val="Hyperlink"/>
                <w:noProof/>
                <w:lang w:val="pt-BR"/>
              </w:rPr>
              <w:t>7.4 Dados urbanos e construção dos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E146F" w14:textId="31DA8792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8" w:history="1">
            <w:r w:rsidRPr="00A27D21">
              <w:rPr>
                <w:rStyle w:val="Hyperlink"/>
                <w:noProof/>
                <w:lang w:val="pt-BR"/>
              </w:rPr>
              <w:t>7.5 Mecanismo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9F7E" w14:textId="519B9AED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79" w:history="1">
            <w:r w:rsidRPr="00A27D21">
              <w:rPr>
                <w:rStyle w:val="Hyperlink"/>
                <w:noProof/>
                <w:lang w:val="pt-BR"/>
              </w:rPr>
              <w:t>7.6 Classe de iluminação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9550" w14:textId="05D5A030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80" w:history="1">
            <w:r w:rsidRPr="00A27D21">
              <w:rPr>
                <w:rStyle w:val="Hyperlink"/>
                <w:noProof/>
                <w:lang w:val="pt-BR"/>
              </w:rPr>
              <w:t>7.7 Procedimentos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1786" w14:textId="111C56AF" w:rsidR="00347481" w:rsidRDefault="003474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81" w:history="1">
            <w:r w:rsidRPr="00A27D21">
              <w:rPr>
                <w:rStyle w:val="Hyperlink"/>
                <w:noProof/>
                <w:lang w:val="pt-BR"/>
              </w:rPr>
              <w:t>7.8 Tratamento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3403" w14:textId="4412E3E9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82" w:history="1">
            <w:r w:rsidRPr="00A27D21">
              <w:rPr>
                <w:rStyle w:val="Hyperlink"/>
                <w:noProof/>
                <w:lang w:val="pt-BR"/>
              </w:rPr>
              <w:t>8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4A1A" w14:textId="5663FA0B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83" w:history="1">
            <w:r w:rsidRPr="00A27D21">
              <w:rPr>
                <w:rStyle w:val="Hyperlink"/>
                <w:noProof/>
                <w:lang w:val="pt-BR"/>
              </w:rPr>
              <w:t>9 LIMITAÇÕES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C0C2" w14:textId="405C506A" w:rsidR="00347481" w:rsidRDefault="003474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0223084" w:history="1">
            <w:r w:rsidRPr="00A27D21">
              <w:rPr>
                <w:rStyle w:val="Hyperlink"/>
                <w:noProof/>
                <w:lang w:val="pt-BR"/>
              </w:rPr>
              <w:t>10 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6A86" w14:textId="5D9788F3" w:rsidR="00797FC2" w:rsidRDefault="00797FC2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26C5AF7" w14:textId="5D04CEA9" w:rsidR="00797FC2" w:rsidRPr="00797FC2" w:rsidRDefault="00797FC2">
      <w:pPr>
        <w:sectPr w:rsidR="00797FC2" w:rsidRPr="00797FC2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1EA93C5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0" w:name="_Toc240223051"/>
      <w:r w:rsidRPr="00797FC2">
        <w:rPr>
          <w:lang w:val="pt-BR"/>
        </w:rPr>
        <w:lastRenderedPageBreak/>
        <w:t>1 TEMA DO PROJETO</w:t>
      </w:r>
      <w:bookmarkEnd w:id="0"/>
    </w:p>
    <w:p w14:paraId="3F339E78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trabalho insere-se no domínio das Cidades Inteligentes, com emprego articulado de Internet das Coisas e Inteligência Artificial. O tema específico é o controle dinâmico da iluminação pública a partir de dados urbanos que o município de São Paulo já produz.</w:t>
      </w:r>
    </w:p>
    <w:p w14:paraId="3A533A62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proposta parte de uma constatação factual. São Paulo dispõe hoje das duas pontas necessárias a um sistema de iluminação responsiva: uma plataforma de videomonitoramento com dezenas de milhares de câmeras e detecção automática de eventos, e um parque de mais de seiscentos mil pontos de luz, quase integralmente convertido para tecnologia de estado sólido e sob concessão que obriga telegestão em cada luminária. O que não existe é a ligação entre as duas coisas, e é essa ligação que o trabalho constrói: um serviço em nuvem recebe dados do ambiente urbano por interface que emula a integração com a plataforma municipal, submete-os a análise por inteligência artificial, decide o nível de iluminação e comanda um nó físico, cujo sensor devolve, em tempo real, o valor entregue — de modo que a plateia da defesa acompanhe o dado que entrou, a decisão tomada e a luz que saiu.</w:t>
      </w:r>
    </w:p>
    <w:p w14:paraId="25F3A4CF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" w:name="_Toc240223052"/>
      <w:r w:rsidRPr="00797FC2">
        <w:rPr>
          <w:lang w:val="pt-BR"/>
        </w:rPr>
        <w:t>1.1 Cidades inteligentes</w:t>
      </w:r>
      <w:bookmarkEnd w:id="1"/>
    </w:p>
    <w:p w14:paraId="0F065F8F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Cidade inteligente designa o emprego de tecnologias da informação e comunicação para elevar a eficiência dos serviços públicos, a sustentabilidade e a qualidade de vida, apoiado em sensoriamento e análise de dados em escala urbana. O estágio dessas iniciativas em São Paulo tem um traço decisivo: a instrumentação da cidade deixou de ser proposta e passou a ser infraestrutura instalada e contratada. Não se trata de propor que a cidade colete dados ou controle remotamente suas luminárias — ambas já estão em curso —, e sim de propor um uso para o que já existe.</w:t>
      </w:r>
    </w:p>
    <w:p w14:paraId="028CB9EF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" w:name="_Toc240223053"/>
      <w:r w:rsidRPr="00797FC2">
        <w:rPr>
          <w:lang w:val="pt-BR"/>
        </w:rPr>
        <w:t>1.2 Internet das Coisas</w:t>
      </w:r>
      <w:bookmarkEnd w:id="2"/>
    </w:p>
    <w:p w14:paraId="6BC5B627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A Internet das Coisas designa a interconexão de dispositivos dotados de sensoriamento, processamento e comunicação, com arquitetura em camadas de percepção, rede e aplicação (LIN et al., 2017). Aqui ela responde pela camada física: </w:t>
      </w:r>
      <w:r w:rsidRPr="00797FC2">
        <w:rPr>
          <w:lang w:val="pt-BR"/>
        </w:rPr>
        <w:lastRenderedPageBreak/>
        <w:t>é o nó que recebe a decisão produzida na nuvem, ajusta a luminária e devolve a iluminância medida — telemetria que converte a decisão, abstrata, em grandeza observável e verificável.</w:t>
      </w:r>
    </w:p>
    <w:p w14:paraId="1AE9D615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3" w:name="_Toc240223054"/>
      <w:r w:rsidRPr="00797FC2">
        <w:rPr>
          <w:lang w:val="pt-BR"/>
        </w:rPr>
        <w:t>1.3 Inteligência artificial aplicada à decisão</w:t>
      </w:r>
      <w:bookmarkEnd w:id="3"/>
    </w:p>
    <w:p w14:paraId="17C69B01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inteligência artificial comparece na função de decidir sob informação imprecisa. As variáveis do ambiente urbano não chegam como valores exatos aos quais corresponda uma regra única: chegam parcialmente verdadeiras e simultâneas — movimentação moderada com ocorrência reportada nas proximidades, chuva com via vazia, horário avançado com fluxo intenso. Decidir o nível de iluminação a partir disso é raciocínio aproximado, não consulta a tabela. Adota-se sistema de inferência nebulosa, cuja formulação remonta a Zadeh (1965) e cuja aplicação a controle foi estabelecida por Mamdani e Assilian (1975). A decisão é adaptativa e não preditiva: o sistema não estima estado futuro, mas interpreta as condições observadas no instante.</w:t>
      </w:r>
    </w:p>
    <w:p w14:paraId="393531C2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4" w:name="_Toc240223055"/>
      <w:r w:rsidRPr="00797FC2">
        <w:rPr>
          <w:lang w:val="pt-BR"/>
        </w:rPr>
        <w:t>2 DEFINIÇÃO DO TEMA</w:t>
      </w:r>
      <w:bookmarkEnd w:id="4"/>
    </w:p>
    <w:p w14:paraId="48C2A263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tema é a especificação, construção e avaliação de uma camada de decisão que converte dados do ambiente urbano em comando de intensidade para a iluminação pública, demonstrada em nó físico e situada na infraestrutura instalada em São Paulo. Atende aos quatro critérios de definição do tema: articula competências do curso — serviço em nuvem, interface de programação, modelagem de decisão e programação embarcada; adere a linhas ativas de pesquisa e a contrato público vigente na maior cidade do país; enfrenta problema real, pois a iluminação paulistana opera em regime praticamente invariante embora a cidade possa observar a via e comandar cada luminária; e é viável, por tratar-se de um nó único, de baixo custo e em baixa tensão.</w:t>
      </w:r>
    </w:p>
    <w:p w14:paraId="6DDC91AB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Delimita-se o tema a um nó único, em bancada, alimentado por interface que emula a plataforma municipal. Não se contempla integração efetiva com o Smart Sampa ou com a telegestão da concessionária, controle coordenado de múltiplas luminárias, nem operação em via pública.</w:t>
      </w:r>
    </w:p>
    <w:p w14:paraId="41CD47EE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5" w:name="_Toc240223056"/>
      <w:r w:rsidRPr="00797FC2">
        <w:rPr>
          <w:lang w:val="pt-BR"/>
        </w:rPr>
        <w:lastRenderedPageBreak/>
        <w:t>3 PROBLEMA DE PESQUISA</w:t>
      </w:r>
      <w:bookmarkEnd w:id="5"/>
    </w:p>
    <w:p w14:paraId="7B4D4435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iluminação pública não se adapta adequadamente às variações das condições e da movimentação urbana, podendo oferecer iluminação insuficiente em situações de maior demanda ou iluminação desnecessariamente elevada em situações de menor demanda.</w:t>
      </w:r>
    </w:p>
    <w:p w14:paraId="5E3EA1C9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Existem sistemas capazes de coletar e analisar informações sobre o ambiente urbano. O problema investigado neste trabalho é como utilizar essas informações para tornar a iluminação pública mais responsiva às condições observadas.</w:t>
      </w:r>
    </w:p>
    <w:p w14:paraId="23D171AA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problema é de integração e de decisão, não de sensoriamento nem de atuação: em São Paulo ambas já existem, conforme 6.3. Converter descrição do ambiente em comando de iluminação exige estabelecer quais variáveis são pertinentes, como se combinam quando apontam em direções distintas, e como se garante que a decisão jamais transgrida os limites da normalização técnica.</w:t>
      </w:r>
    </w:p>
    <w:p w14:paraId="350251D6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Formula-se, assim, o seguinte problema de pesquisa:</w:t>
      </w:r>
    </w:p>
    <w:p w14:paraId="350A58BB" w14:textId="77777777" w:rsidR="00B359A8" w:rsidRPr="00797FC2" w:rsidRDefault="00000000">
      <w:pPr>
        <w:spacing w:before="120" w:after="360"/>
        <w:ind w:left="1134" w:right="567"/>
        <w:jc w:val="both"/>
        <w:rPr>
          <w:lang w:val="pt-BR"/>
        </w:rPr>
      </w:pPr>
      <w:r w:rsidRPr="00797FC2">
        <w:rPr>
          <w:sz w:val="20"/>
          <w:szCs w:val="20"/>
          <w:lang w:val="pt-BR"/>
        </w:rPr>
        <w:t>Como utilizar dados urbanos e Inteligência Artificial para determinar dinamicamente o nível adequado de iluminação pública de acordo com as condições do ambiente?</w:t>
      </w:r>
    </w:p>
    <w:p w14:paraId="68FADD8A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Duas hipóteses orientam a investigação. A primeira é que um sistema de inferência nebulosa operando sobre variáveis do ambiente urbano produz decisões de nível luminoso consistentes com as condições observadas, sem estimativa de estado futuro. A segunda é que a interposição de uma camada de verificação normativa entre a inferência e a atuação impede, em todas as decisões, a violação dos limites da ABNT NBR 5101 — de modo que adaptabilidade e conformidade não sejam objetivos concorrentes, mas propriedades simultâneas asseguradas por construção.</w:t>
      </w:r>
    </w:p>
    <w:p w14:paraId="7B11EEA4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6" w:name="_Toc240223057"/>
      <w:r w:rsidRPr="00797FC2">
        <w:rPr>
          <w:lang w:val="pt-BR"/>
        </w:rPr>
        <w:t>4 OBJETIVOS</w:t>
      </w:r>
      <w:bookmarkEnd w:id="6"/>
    </w:p>
    <w:p w14:paraId="79FCFEEA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7" w:name="_Toc240223058"/>
      <w:r w:rsidRPr="00797FC2">
        <w:rPr>
          <w:lang w:val="pt-BR"/>
        </w:rPr>
        <w:t>4.1 Objetivo geral</w:t>
      </w:r>
      <w:bookmarkEnd w:id="7"/>
    </w:p>
    <w:p w14:paraId="79CC423A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Demonstrar que dados do ambiente urbano disponíveis no município de São Paulo, submetidos a decisão por inferência artificial, comandam o ajuste da intensidade de um nó de iluminação pública de forma consistente com as condições </w:t>
      </w:r>
      <w:r w:rsidRPr="00797FC2">
        <w:rPr>
          <w:lang w:val="pt-BR"/>
        </w:rPr>
        <w:lastRenderedPageBreak/>
        <w:t>observadas, dentro de limite de latência especificado, e sem violar em nenhuma decisão os limites estabelecidos pela ABNT NBR 5101.</w:t>
      </w:r>
    </w:p>
    <w:p w14:paraId="2C15A894" w14:textId="77777777" w:rsidR="00B359A8" w:rsidRDefault="00000000">
      <w:pPr>
        <w:pStyle w:val="Heading2"/>
        <w:spacing w:before="360" w:after="240" w:line="360" w:lineRule="auto"/>
      </w:pPr>
      <w:bookmarkStart w:id="8" w:name="_Toc240223059"/>
      <w:r>
        <w:t xml:space="preserve">4.2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8"/>
      <w:proofErr w:type="spellEnd"/>
    </w:p>
    <w:p w14:paraId="55F0F2D5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Caracterizar a infraestrutura de monitoramento urbano e de telegestão instalada no município de São Paulo, identificando que informação é produzida, que capacidade de atuação existe e o que falta para conectá-las.</w:t>
      </w:r>
    </w:p>
    <w:p w14:paraId="17A0B0A5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Especificar as variáveis do ambiente urbano pertinentes à decisão de iluminação e as faixas em que cada uma opera, a partir de conjuntos de dados públicos municipais.</w:t>
      </w:r>
    </w:p>
    <w:p w14:paraId="0AA56690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Construir a base de regras e as funções de pertinência do sistema de inferência, derivando das prescrições da ABNT NBR 5101 as restrições que operam como limites rígidos.</w:t>
      </w:r>
    </w:p>
    <w:p w14:paraId="065C53C5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Demonstrar que a camada de verificação normativa impede a violação do piso de iluminância da classe, da taxa máxima de variação do fluxo e da vedação à dimerização sob condição meteorológica adversa, em todas as decisões da suíte de cenários.</w:t>
      </w:r>
    </w:p>
    <w:p w14:paraId="1F065B8C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Determinar a latência do percurso completo, da recepção do dado urbano à alteração mensurada da iluminância no nó.</w:t>
      </w:r>
    </w:p>
    <w:p w14:paraId="51F2DF6D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Especificar a interface de integração entre plataforma de monitoramento urbano e sistema de telegestão, indicando que informação precisaria ser publicada e em que semântica.</w:t>
      </w:r>
    </w:p>
    <w:p w14:paraId="6D724311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construção do protótipo, a implantação em nuvem e o levantamento bibliográfico não figuram entre os objetivos específicos, ainda que necessários à execução: objetivos específicos correspondem a resultados finais mensuráveis, e aquelas atividades são meios, descritos na metodologia.</w:t>
      </w:r>
    </w:p>
    <w:p w14:paraId="5383E7A6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9" w:name="_Toc240223060"/>
      <w:r w:rsidRPr="00797FC2">
        <w:rPr>
          <w:lang w:val="pt-BR"/>
        </w:rPr>
        <w:t>5 JUSTIFICATIVA</w:t>
      </w:r>
      <w:bookmarkEnd w:id="9"/>
    </w:p>
    <w:p w14:paraId="065AAA8B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O primeiro eixo é o aproveitamento de investimento público. São Paulo contratou, em 2018, a modernização e a operação de seu parque de iluminação por </w:t>
      </w:r>
      <w:r w:rsidRPr="00797FC2">
        <w:rPr>
          <w:lang w:val="pt-BR"/>
        </w:rPr>
        <w:lastRenderedPageBreak/>
        <w:t>vinte anos, ao valor de R$ 6,9 bilhões, com obrigação de telegestão em cada luminária (SÃO PAULO, 2018a, 2018b), e construiu, a partir de 2023, uma plataforma de videomonitoramento com análise automática de eventos. São dois ativos de escala municipal, custeados com recurso público, cujas finalidades declaradas não se comunicam: propor o uso conjunto deles não demanda novo investimento em infraestrutura, e sim uma camada de software.</w:t>
      </w:r>
    </w:p>
    <w:p w14:paraId="5F4D44CD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segundo eixo é social, e a própria norma o ancora: ao fixar iluminância vertical mínima para as classes de pedestres, a ABNT NBR 5101 declara que o critério se destina ao reconhecimento facial e à reação antecipada do pedestre diante de eventual ato de agressão. O terceiro é técnico: decidir sob informação imprecisa é problema legítimo de inteligência artificial. O quarto é normativo: a revisão de 2024 passou a tratar explicitamente a iluminação adaptativa e recomendou o monitoramento contínuo do tráfego e do meio ambiente. Delimita-se, por fim, o escopo quanto à energia: o trabalho não se propõe a quantificar economia, e a avaliação energética figura entre os trabalhos futuros.</w:t>
      </w:r>
    </w:p>
    <w:p w14:paraId="3255500E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10" w:name="_Toc240223061"/>
      <w:r w:rsidRPr="00797FC2">
        <w:rPr>
          <w:lang w:val="pt-BR"/>
        </w:rPr>
        <w:t>6 REVISÃO BIBLIOGRÁFICA</w:t>
      </w:r>
      <w:bookmarkEnd w:id="10"/>
    </w:p>
    <w:p w14:paraId="0DECEBED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1" w:name="_Toc240223062"/>
      <w:r w:rsidRPr="00797FC2">
        <w:rPr>
          <w:lang w:val="pt-BR"/>
        </w:rPr>
        <w:t>6.1 Metodologia de seleção das fontes</w:t>
      </w:r>
      <w:bookmarkEnd w:id="11"/>
    </w:p>
    <w:p w14:paraId="55239779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Foram consultados o Portal de Periódicos da CAPES, a base SciELO, a Biblioteca Digital Brasileira de Teses e Dissertações e os acervos da IEEE, Elsevier, Springer, Taylor &amp; Francis e SAGE, sob três critérios cumulativos: revisão por pares documentada em veículo indexado, ou dissertação de programa avaliado pela CAPES; aderência direta a um dos eixos desta seção; e recorte temporal de dez anos, a partir de 2016.</w:t>
      </w:r>
    </w:p>
    <w:p w14:paraId="5176D586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Três exceções ao recorte são declaradas. As obras de Zadeh (1965) e de Mamdani e Assilian (1975) comparecem apenas como atribuição de origem da técnica — o estado da arte repousa em fontes de 2019 e 2026, em 6.5. Os documentos oficiais e atos regulatórios estabelecem fatos sobre a infraestrutura instalada e o regime jurídico que a rege, sem que deles se extraia afirmação de desempenho. E duas fontes nominalmente identificadas: a publicação normativa da Commission Internationale de l'Éclairage sobre iluminação viária, de 2010, porque documento normativo se avalia </w:t>
      </w:r>
      <w:r w:rsidRPr="00797FC2">
        <w:rPr>
          <w:lang w:val="pt-BR"/>
        </w:rPr>
        <w:lastRenderedPageBreak/>
        <w:t>pela vigência e não pela data; e o relato da plataforma SmartSantander, de 2014, precedente histórico de infraestrutura de sensoriamento implantada, uso em que a anterioridade é a qualidade pertinente.</w:t>
      </w:r>
    </w:p>
    <w:p w14:paraId="56EA43FB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2" w:name="_Toc240223063"/>
      <w:r w:rsidRPr="00797FC2">
        <w:rPr>
          <w:lang w:val="pt-BR"/>
        </w:rPr>
        <w:t>6.2 Infraestrutura instalada e integração ausente: um padrão documentado</w:t>
      </w:r>
      <w:bookmarkEnd w:id="12"/>
    </w:p>
    <w:p w14:paraId="743EC6E7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situação descrita não é peculiaridade local. Alves, Dias e Seixas (2019) concluem que nem o Brasil nem Portugal ultrapassaram a primeira fase das cidades inteligentes, a de implantação de infraestrutura. Dizon e Pranggono (2022) documentam Sheffield, onde 99,5% do parque foi convertido e integrado a telegestão central que, ainda assim, opera por calendário solar. O Array of Things (CATLETT et al., 2017) e o SmartSantander (SANCHEZ et al., 2014) instalam sensoriamento em postes e publicam medições derivadas, sem fechar o laço sobre a iluminação que os sustenta. Quanto à causa, Anthony Jnr (2024) aponta a fragmentação entre sistemas municipais concebidos isoladamente, e Reia e Cruz (2023) explicam por quê: a arquitetura municipal é definida por fornecedores em contratos setoriais. A Unicamp, em 2026, recebeu telegestão para 2.615 pontos em seu campus (RIBEIRO, 2026), com ajuste por horário e condição medida localmente (NIPE, 2026) — sem dado exógeno e sem verificação normativa entre decisão e atuação.</w:t>
      </w:r>
    </w:p>
    <w:p w14:paraId="27617A24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quadro nacional dimensiona o problema. Segundo o censo do setor, elaborado a partir da Base de Dados Geográfica da Distribuidora mantida pela Agência Nacional de Energia Elétrica, o Brasil registrava 19.362.437 pontos de luz nas redes das distribuidoras em 2023, número que o próprio censo estima em 22.037.666 quando incluída a iluminação ornamental. Sobre a base das distribuidoras, 3.793.293 pontos, ou 19,6%, operavam em tecnologia de estado sólido (ABCIP, 2024). São Paulo, que já em 2021 contabilizava cerca de 90% do parque convertido (SÃO PAULO, 2021), é exceção — e é por ser exceção que constitui o caso em que a pergunta deste trabalho pode ser formulada sem depender de investimento ainda não realizado.</w:t>
      </w:r>
    </w:p>
    <w:p w14:paraId="6197720C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3" w:name="_Toc240223064"/>
      <w:r w:rsidRPr="00797FC2">
        <w:rPr>
          <w:lang w:val="pt-BR"/>
        </w:rPr>
        <w:t>6.3 A infraestrutura instalada no município de São Paulo</w:t>
      </w:r>
      <w:bookmarkEnd w:id="13"/>
    </w:p>
    <w:p w14:paraId="09FF0E54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As duas capacidades necessárias a um sistema de iluminação responsiva já existem na cidade, contratadas e em operação.</w:t>
      </w:r>
    </w:p>
    <w:p w14:paraId="18D5696F" w14:textId="77777777" w:rsidR="00B359A8" w:rsidRPr="00797FC2" w:rsidRDefault="00000000">
      <w:pPr>
        <w:spacing w:before="260" w:after="130"/>
        <w:rPr>
          <w:lang w:val="pt-BR"/>
        </w:rPr>
      </w:pPr>
      <w:r w:rsidRPr="00797FC2">
        <w:rPr>
          <w:sz w:val="20"/>
          <w:szCs w:val="20"/>
          <w:lang w:val="pt-BR"/>
        </w:rPr>
        <w:lastRenderedPageBreak/>
        <w:t>Quadro 1 – Infraestrutura urbana instalada no município de São Paulo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B359A8" w:rsidRPr="00797FC2" w14:paraId="5210DF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3A94A6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Ativo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658F87" w14:textId="77777777" w:rsidR="00B359A8" w:rsidRDefault="00000000">
            <w:r>
              <w:rPr>
                <w:b/>
                <w:bCs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bCs/>
                <w:sz w:val="20"/>
                <w:szCs w:val="20"/>
              </w:rPr>
              <w:t>que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existe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0051C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b/>
                <w:bCs/>
                <w:sz w:val="20"/>
                <w:szCs w:val="20"/>
                <w:lang w:val="pt-BR"/>
              </w:rPr>
              <w:t>O que ainda não faz</w:t>
            </w:r>
          </w:p>
        </w:tc>
      </w:tr>
      <w:tr w:rsidR="00B359A8" w:rsidRPr="00797FC2" w14:paraId="34446D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D495D" w14:textId="77777777" w:rsidR="00B359A8" w:rsidRDefault="00000000">
            <w:r>
              <w:rPr>
                <w:sz w:val="20"/>
                <w:szCs w:val="20"/>
              </w:rPr>
              <w:t xml:space="preserve">Parque de </w:t>
            </w:r>
            <w:proofErr w:type="spellStart"/>
            <w:r>
              <w:rPr>
                <w:sz w:val="20"/>
                <w:szCs w:val="20"/>
              </w:rPr>
              <w:t>iluminação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D45B83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618.355 pontos de luz, 535.713 contratados para substituição por tecnologia de estado sólido; cerca de 90% convertido em 2021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C78BA0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Opera em regime praticamente invariante, comandado por horário ou por luz natural</w:t>
            </w:r>
          </w:p>
        </w:tc>
      </w:tr>
      <w:tr w:rsidR="00B359A8" w:rsidRPr="00797FC2" w14:paraId="7CE813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2C117E" w14:textId="77777777" w:rsidR="00B359A8" w:rsidRDefault="00000000">
            <w:proofErr w:type="spellStart"/>
            <w:r>
              <w:rPr>
                <w:sz w:val="20"/>
                <w:szCs w:val="20"/>
              </w:rPr>
              <w:t>Concessão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telegestão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7E2FD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Contrato nº 003/SMSO/2018, de vinte anos e R$ 6,9 bilhões. O Anexo III, Caderno de Encargos, exige telegestão bidirecional, com comandos isolados ou em grupo, e drivers com dimerização de 0 a 10 V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BC0A68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Serve à gestão do ativo — falha, consumo, inventário — e não consome informação sobre o que ocorre na via</w:t>
            </w:r>
          </w:p>
        </w:tc>
      </w:tr>
      <w:tr w:rsidR="00B359A8" w:rsidRPr="00797FC2" w14:paraId="5FE58F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3DCF54" w14:textId="77777777" w:rsidR="00B359A8" w:rsidRDefault="00000000">
            <w:r>
              <w:rPr>
                <w:sz w:val="20"/>
                <w:szCs w:val="20"/>
              </w:rPr>
              <w:t>Plataforma Smart Sampa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7B33D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40 mil câmeras integradas até setembro de 2025. O Termo de Referência exige analíticos de contagem e densidade de pessoas, fluxo de veículos e alarme de congestionamento, além de interoperabilidade por interface de programação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B41063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Destina-se à segurança pública. Sua informação não alcança outro sistema municipal, e o acesso à interface é tratado caso a caso</w:t>
            </w:r>
          </w:p>
        </w:tc>
      </w:tr>
      <w:tr w:rsidR="00B359A8" w:rsidRPr="00797FC2" w14:paraId="33684F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C5942" w14:textId="77777777" w:rsidR="00B359A8" w:rsidRDefault="00000000">
            <w:r>
              <w:rPr>
                <w:sz w:val="20"/>
                <w:szCs w:val="20"/>
              </w:rPr>
              <w:t xml:space="preserve">Regime </w:t>
            </w:r>
            <w:proofErr w:type="spellStart"/>
            <w:r>
              <w:rPr>
                <w:sz w:val="20"/>
                <w:szCs w:val="20"/>
              </w:rPr>
              <w:t>regulatório</w:t>
            </w:r>
            <w:proofErr w:type="spellEnd"/>
            <w:r>
              <w:rPr>
                <w:sz w:val="20"/>
                <w:szCs w:val="20"/>
              </w:rPr>
              <w:t xml:space="preserve"> federal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E8F36B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 ANEEL aprovou, em 2022, instruções para o faturamento da iluminação pública quando há telegestão instalada, substituindo o tempo presumido pela medição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CF43CA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Nenhum ato vincula a operação da iluminação a dados de outras plataformas municipais</w:t>
            </w:r>
          </w:p>
        </w:tc>
      </w:tr>
      <w:tr w:rsidR="00B359A8" w:rsidRPr="00797FC2" w14:paraId="137E2D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99CB9" w14:textId="77777777" w:rsidR="00B359A8" w:rsidRDefault="00000000">
            <w:r>
              <w:rPr>
                <w:sz w:val="20"/>
                <w:szCs w:val="20"/>
              </w:rPr>
              <w:t xml:space="preserve">Dados </w:t>
            </w:r>
            <w:proofErr w:type="spellStart"/>
            <w:r>
              <w:rPr>
                <w:sz w:val="20"/>
                <w:szCs w:val="20"/>
              </w:rPr>
              <w:t>abertos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municipais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8E42B8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Portal com solicitações do SP156, registros do Centro de Gerenciamento de Emergências e base georreferenciada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25AB1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Periodicidade agregada, adequada a caracterizar distribuições e não à operação em tempo real</w:t>
            </w:r>
          </w:p>
        </w:tc>
      </w:tr>
    </w:tbl>
    <w:p w14:paraId="6AB530EB" w14:textId="77777777" w:rsidR="00B359A8" w:rsidRPr="00797FC2" w:rsidRDefault="00000000">
      <w:pPr>
        <w:spacing w:before="130" w:after="260"/>
        <w:rPr>
          <w:lang w:val="pt-BR"/>
        </w:rPr>
      </w:pPr>
      <w:r w:rsidRPr="00797FC2">
        <w:rPr>
          <w:sz w:val="20"/>
          <w:szCs w:val="20"/>
          <w:lang w:val="pt-BR"/>
        </w:rPr>
        <w:t>Fonte: Elaborado pelos autores (2026) a partir de São Paulo (2015, 2018a, 2021, 2022, 2025, 2026) e Agência Nacional de Energia Elétrica (2022).</w:t>
      </w:r>
    </w:p>
    <w:p w14:paraId="44229451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A capacidade de atuação não precisa ser proposta: o Caderno de Encargos da Concessionária (SÃO PAULO, 2015) exige textualmente telegestão bidirecional que leve informações do centro de controle aos ativos, na forma de comandos isolados ou em grupo, e drivers com dimerização por controle analógico de 0 a 10 V — a interface física pela qual a intensidade se altera está especificada em contrato. A capacidade de observação tampouco: o Termo de Referência da plataforma de videomonitoramento exige a detecção de densidade e a contagem de pessoas e, entre os requisitos das câmeras, a contagem de pessoas por área, a densidade de veículos e o alarme de congestionamento (SÃO PAULO, 2022), documento que o Termo de Contrato nº 032/SMSU/2023 incorpora ao edital que originou a contratação (SÃO PAULO, 2023). São exatamente as grandezas que a ABNT NBR 5101 emprega para classificar uma via, e a plataforma deve ainda ser interoperável por interface de </w:t>
      </w:r>
      <w:r w:rsidRPr="00797FC2">
        <w:rPr>
          <w:lang w:val="pt-BR"/>
        </w:rPr>
        <w:lastRenderedPageBreak/>
        <w:t>programação: a capacidade de publicação está prevista, e falta o consumidor do outro lado.</w:t>
      </w:r>
    </w:p>
    <w:p w14:paraId="7DA0C54F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lacuna está no meio. A telegestão foi concebida para gerir o ativo, a plataforma de monitoramento para a segurança pública, e nenhuma das duas para que a segunda informe a primeira. É essa camada ausente que o trabalho especifica, constrói e demonstra. Registra-se que a execução da concessão foi sucessivamente ajustada por termos de aditamento publicados pela agência reguladora municipal (SÃO PAULO, 2019-2022), o que situa a telegestão em implantação ainda em curso — o que reforça o argumento, pois é durante esse período que faz sentido especificar o que se poderá fazer com a capacidade contratada.</w:t>
      </w:r>
    </w:p>
    <w:p w14:paraId="1BBE5865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4" w:name="_Toc240223065"/>
      <w:r w:rsidRPr="00797FC2">
        <w:rPr>
          <w:lang w:val="pt-BR"/>
        </w:rPr>
        <w:t>6.4 Requisitos normativos</w:t>
      </w:r>
      <w:bookmarkEnd w:id="14"/>
    </w:p>
    <w:p w14:paraId="7051D55C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ABNT NBR 5101:2024 (ASSOCIAÇÃO BRASILEIRA DE NORMAS TÉCNICAS, 2024) organiza os requisitos de iluminação viária em classes M, C e P, a última para calçadas e áreas de caminhada, e a classe não é escolhida: é determinada por procedimento normativo que pondera velocidade, volume e composição do tráfego, veículos estacionados, luminância do ambiente e necessidade de reconhecimento facial. Três disposições da revisão de 2024 são determinantes. A subseção 6.10 delimita o espaço de decisões admissíveis: M6, C5 e P6 não são dimerizáveis; as demais só podem sê-lo até no máximo duas classes imediatamente inferiores; a taxa de decréscimo do fluxo não pode exceder um décimo por minuto em relação à iluminação plena; e não é aconselhável dimerizar sob nevoeiro, neblina ou chuva. A subseção 6.10.3 recomenda o monitoramento contínuo do tráfego e do meio ambiente — o emprego de dados urbanos como entrada da decisão é, portanto, o meio que a própria norma indica como preferencial. A subseção 6.3 prescreve, contra a poluição luminosa, o uso de controles adaptáveis nos horários de baixa movimentação.</w:t>
      </w:r>
    </w:p>
    <w:p w14:paraId="0E730CE2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Dessas disposições extraem-se três restrições rígidas: o nível decidido nunca pode situar-se abaixo do piso da classe de dimerização admitida; a transição entre níveis nunca pode exceder a taxa máxima de decréscimo; e a dimerização deve ser suspensa sob nevoeiro, neblina ou chuva. Sua formalização constitui a camada de verificação. Quanto à objeção de que o chaveamento frequente reduziria a vida útil da luminária, Askola et al. (2022) submeteram luminárias de estado sólido a 32 mil horas </w:t>
      </w:r>
      <w:r w:rsidRPr="00797FC2">
        <w:rPr>
          <w:lang w:val="pt-BR"/>
        </w:rPr>
        <w:lastRenderedPageBreak/>
        <w:t>de envelhecimento sob dimerização acelerada e concluíram que, em cenário realista, a redução não ultrapassa cerca de dois por cento.</w:t>
      </w:r>
    </w:p>
    <w:p w14:paraId="6EC1E149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5" w:name="_Toc240223066"/>
      <w:r w:rsidRPr="00797FC2">
        <w:rPr>
          <w:lang w:val="pt-BR"/>
        </w:rPr>
        <w:t>6.5 Decisão sob informação imprecisa e a escolha de um modelo interpretável</w:t>
      </w:r>
      <w:bookmarkEnd w:id="15"/>
    </w:p>
    <w:p w14:paraId="1EECADA6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Rudin (2019) sustenta que, em decisões de alto risco, o caminho adequado não é produzir explicações a posteriori para modelos opacos, mas empregar modelos intrinsecamente interpretáveis, de desempenho comparável em grande parte dos problemas aplicados — e a iluminação de via pública é serviço essencial, fiscalizado por agência reguladora e sujeito a norma com requisitos mínimos de segurança. Pickering, Cohen e De Baets (2026) advertem que a interpretabilidade não decorre automaticamente do formalismo nebuloso, dependendo de restrições impostas ao número de regras, à forma das funções de pertinência e à partição do universo de discurso; a advertência é incorporada como requisito de projeto.</w:t>
      </w:r>
    </w:p>
    <w:p w14:paraId="78CE8428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Três propriedades tornam a abordagem adequada: a composição de evidências parciais numa saída única; a continuidade dessa saída, requisito e não conveniência, já que a norma limita a taxa de variação; e a rastreabilidade de cada decisão às regras que a produziram. A escolha implica renúncia deliberada a abordagens supervisionadas: um classificador exigiria decisões rotuladas como corretas pelos próprios autores, o que introduziria circularidade.</w:t>
      </w:r>
    </w:p>
    <w:p w14:paraId="25B0DDFB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6" w:name="_Toc240223067"/>
      <w:r w:rsidRPr="00797FC2">
        <w:rPr>
          <w:lang w:val="pt-BR"/>
        </w:rPr>
        <w:t>6.6 Trabalhos correlatos e lacuna identificada</w:t>
      </w:r>
      <w:bookmarkEnd w:id="16"/>
    </w:p>
    <w:p w14:paraId="0D40ABF2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A produção nacional concentra-se em duas frentes, e nenhuma é a deste trabalho. França Filho e Tavares (2025) modelam sistemas de iluminação pública inteligente por redes de Petri estocásticas para avaliar disponibilidade e manutenção: o objeto é a confiabilidade da arquitetura, não a política de decisão. Hiroki (2021) documenta Joinville, onde a administração passou a consumir dados de mobilidade de plataforma privada, mas ali o dado alimenta planejamento e obra, sem fechar o laço sobre ativo em operação. O trabalho mais próximo é a dissertação de Nogueira (2024), que formula a adaptação dinâmica da iluminação como otimização distribuída de restrições em rede de luminárias; a diferença é de premissa: ali cada poste dispõe de sensoriamento local e a avaliação é simulada, de modo que a percepção é </w:t>
      </w:r>
      <w:r w:rsidRPr="00797FC2">
        <w:rPr>
          <w:lang w:val="pt-BR"/>
        </w:rPr>
        <w:lastRenderedPageBreak/>
        <w:t>infraestrutura a implantar, ao passo que aqui é infraestrutura já contratada e em operação.</w:t>
      </w:r>
    </w:p>
    <w:p w14:paraId="05111A84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literatura internacional sobre o mecanismo de controle é anterior e mais avançada, e convém enunciá-la sem atenuações. Belloni et al. (2024) implementam dimerização a partir de dados de tráfego previstos; Buyukkinaci et al. (2019) determinam a comutação entre as classes M3 a M5 por volume e velocidade; e a CIE 115 declara, desde 2010, que variáveis dependentes do tempo abrem a possibilidade de iluminação adaptativa (COMMISSION INTERNATIONALE DE L'ÉCLAIRAGE, 2010). A implantação mais próxima é Stratumseind, em Eindhoven, onde câmeras, sensores acústicos e meteorologia acionam cenários dinâmicos há mais de uma década (GALIC; GELLERT, 2021) — precedente do qual três diferenças o separam: finalidade comportamental e não fotométrica, ausência de confronto com classe de iluminação, e literatura de proteção de dados que critica justamente a falta de garantias.</w:t>
      </w:r>
    </w:p>
    <w:p w14:paraId="7C32E4E2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Daí a lacuna e a natureza da contribuição, que é arquitetural e integrativa, não algorítmica: nenhum componente isolado é inédito. O que a revisão não localizou foi o arranjo — a camada de decisão que consome a saída já existente e já custeada de uma plataforma municipal concebida para outra finalidade, seguida de um componente separável que verifica cada nível decidido contra a norma antes de permitir a atuação.</w:t>
      </w:r>
    </w:p>
    <w:p w14:paraId="4783B560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17" w:name="_Toc240223068"/>
      <w:r w:rsidRPr="00797FC2">
        <w:rPr>
          <w:lang w:val="pt-BR"/>
        </w:rPr>
        <w:t>7 METODOLOGIA</w:t>
      </w:r>
      <w:bookmarkEnd w:id="17"/>
    </w:p>
    <w:p w14:paraId="22D206B5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8" w:name="_Toc240223069"/>
      <w:r w:rsidRPr="00797FC2">
        <w:rPr>
          <w:lang w:val="pt-BR"/>
        </w:rPr>
        <w:t>7.1 Classificação da pesquisa</w:t>
      </w:r>
      <w:bookmarkEnd w:id="18"/>
    </w:p>
    <w:p w14:paraId="6E5817A1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Quanto à natureza, a pesquisa é aplicada; quanto à abordagem, quantitativa, pois opera sobre grandezas mensuráveis — nível decidido, iluminância entregue, latência e proporção de decisões conformes; quanto aos objetivos, documental na caracterização da infraestrutura e experimental na avaliação, com o comportamento do sistema observado sob entradas deliberadamente construídas; e quanto aos procedimentos, combina pesquisa bibliográfica e documental, desenvolvimento de protótipo e experimentação em bancada.</w:t>
      </w:r>
    </w:p>
    <w:p w14:paraId="448F7F70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19" w:name="_Toc240223070"/>
      <w:r w:rsidRPr="00797FC2">
        <w:rPr>
          <w:lang w:val="pt-BR"/>
        </w:rPr>
        <w:t>7.2 Arquitetura do sistema</w:t>
      </w:r>
      <w:bookmarkEnd w:id="19"/>
    </w:p>
    <w:p w14:paraId="5018C095" w14:textId="77777777" w:rsidR="00B359A8" w:rsidRDefault="00000000">
      <w:pPr>
        <w:spacing w:after="240" w:line="360" w:lineRule="auto"/>
        <w:ind w:firstLine="709"/>
        <w:jc w:val="both"/>
      </w:pPr>
      <w:r w:rsidRPr="00797FC2">
        <w:rPr>
          <w:lang w:val="pt-BR"/>
        </w:rPr>
        <w:lastRenderedPageBreak/>
        <w:t xml:space="preserve">A arquitetura segue a organização em camadas de percepção, rede e aplicação descrita por Lin et al. (2017), com transporte por MQTT (OASIS, 2019) sobre o rádio nativo do microcontrolador ESP32 (ESPRESSIF SYSTEMS, 2023). O sistema reproduz o fluxo a ser demonstrado na defesa: dado urbano recebido, análise pela inteligência artificial, decisão, comando ao dispositivo e alteração física da intensidade, com a iluminância medida retornando à tela em tempo real. </w:t>
      </w:r>
      <w:r>
        <w:t xml:space="preserve">São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encadeados</w:t>
      </w:r>
      <w:proofErr w:type="spellEnd"/>
      <w:r>
        <w:t>.</w:t>
      </w:r>
    </w:p>
    <w:p w14:paraId="60A0E640" w14:textId="77777777" w:rsidR="00B359A8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</w:pPr>
      <w:r w:rsidRPr="00797FC2">
        <w:rPr>
          <w:lang w:val="pt-BR"/>
        </w:rPr>
        <w:t xml:space="preserve">Interface de dados urbanos. Emula a interface de programação de uma plataforma municipal, publicando eventos que descrevem o estado da via. </w:t>
      </w:r>
      <w:r>
        <w:t xml:space="preserve">Sua </w:t>
      </w:r>
      <w:proofErr w:type="spellStart"/>
      <w:r>
        <w:t>especificação</w:t>
      </w:r>
      <w:proofErr w:type="spellEnd"/>
      <w:r>
        <w:t xml:space="preserve"> é, </w:t>
      </w:r>
      <w:proofErr w:type="spellStart"/>
      <w:r>
        <w:t>ela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, um </w:t>
      </w:r>
      <w:proofErr w:type="spellStart"/>
      <w:r>
        <w:t>resultado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>.</w:t>
      </w:r>
    </w:p>
    <w:p w14:paraId="17AE0217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Serviço de decisão. Recebe a descrição de estado, submete-a à inferência nebulosa e produz o nível pretendido, como fração do fluxo pleno.</w:t>
      </w:r>
    </w:p>
    <w:p w14:paraId="0992E1DC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Camada de verificação normativa. Interposta entre decisão e atuação, confronta o nível pretendido com as três restrições rígidas da ABNT NBR 5101 e corrige a decisão antes de emiti-la, registrando a correção.</w:t>
      </w:r>
    </w:p>
    <w:p w14:paraId="62EF5C8F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Nó de iluminação. Microcontrolador ESP32 que recebe o comando por MQTT, ajusta a intensidade por modulação por largura de pulso e devolve a iluminância medida.</w:t>
      </w:r>
    </w:p>
    <w:p w14:paraId="13BEB72A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decisão é mantida fora do dispositivo por duas razões. A primeira é arquitetural: o serviço precisa acessar a interface de dados urbanos, externa ao nó, e concentrar essa comunicação em um ponto torna o dispositivo simples e substituível. A segunda é de evolução: mantida a decisão em serviço, alterar a base de regras não exige regravação do firmware de nenhum nó implantado. É também a mesma topologia da telegestão contratada pelo município.</w:t>
      </w:r>
    </w:p>
    <w:p w14:paraId="1685783D" w14:textId="77777777" w:rsidR="00B359A8" w:rsidRPr="00797FC2" w:rsidRDefault="00000000">
      <w:pPr>
        <w:pStyle w:val="Heading3"/>
        <w:spacing w:before="320" w:after="200" w:line="360" w:lineRule="auto"/>
        <w:rPr>
          <w:lang w:val="pt-BR"/>
        </w:rPr>
      </w:pPr>
      <w:bookmarkStart w:id="20" w:name="_Toc240223071"/>
      <w:r w:rsidRPr="00797FC2">
        <w:rPr>
          <w:lang w:val="pt-BR"/>
        </w:rPr>
        <w:t>7.2.1 Implantação em nuvem</w:t>
      </w:r>
      <w:bookmarkEnd w:id="20"/>
    </w:p>
    <w:p w14:paraId="1962758F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Tudo o que decide, registra e apresenta é implantado como serviço em nuvem, em modelo de plataforma como serviço; ao nó cabe executar. São cinco os serviços: a interface de dados urbanos, sobre HTTP, expondo interface de programação no estilo REST; o serviço de decisão, que consome os eventos, executa a inferência, aplica as três restrições rígidas e publica o comando; o intermediário de mensagens MQTT, que entrega o comando ao nó assinante e recebe a telemetria em sentido </w:t>
      </w:r>
      <w:r w:rsidRPr="00797FC2">
        <w:rPr>
          <w:lang w:val="pt-BR"/>
        </w:rPr>
        <w:lastRenderedPageBreak/>
        <w:t>inverso; a instância gerenciada de banco de dados, descrita em 7.2.2; e o painel de acompanhamento, aplicação web que lê o histórico do banco e exibe, lado a lado, o dado recebido, o nível pretendido, a correção imposta pela verificação e a iluminância medida. Ao nó cabe assinar o tópico de comando, ajustar a modulação e publicar a iluminância lida, em canal cifrado e com credencial própria.</w:t>
      </w:r>
    </w:p>
    <w:p w14:paraId="7144A7AB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Acrescenta-se a razão de alcance, que é o que recomenda a nuvem em lugar de máquina local: o nó precisa ser comandado de fora da rede em que se encontra.</w:t>
      </w:r>
    </w:p>
    <w:p w14:paraId="71E13837" w14:textId="77777777" w:rsidR="00B359A8" w:rsidRPr="00797FC2" w:rsidRDefault="00000000">
      <w:pPr>
        <w:pStyle w:val="Heading3"/>
        <w:spacing w:before="320" w:after="200" w:line="360" w:lineRule="auto"/>
        <w:rPr>
          <w:lang w:val="pt-BR"/>
        </w:rPr>
      </w:pPr>
      <w:bookmarkStart w:id="21" w:name="_Toc240223072"/>
      <w:r w:rsidRPr="00797FC2">
        <w:rPr>
          <w:lang w:val="pt-BR"/>
        </w:rPr>
        <w:t>7.2.2 Persistência e arquitetura de dados</w:t>
      </w:r>
      <w:bookmarkEnd w:id="21"/>
    </w:p>
    <w:p w14:paraId="683681CD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arquitetura inclui um banco de dados, e a razão não é de armazenamento, mas de verificação: o trabalho afirma que toda decisão é inspecionável e que a conformidade pode ser comprovada decisão a decisão, o que só se sustenta com registro durável do que entrou, do que a inferência pretendeu, do que a verificação corrigiu e do que o nó entregou. Adota-se modelo relacional: o critério normativo aplicável depende da classe da via, e reconstruir, para qualquer decisão passada, qual piso vigorava é operação de junção entre entidades — a integridade referencial é, aqui, o próprio mecanismo de auditoria. Os parâmetros normativos não residem no código, e sim em tabela, de modo que a camada de verificação lê seu critério do banco e atualizar um valor após revisão da norma torna-se operação de dado.</w:t>
      </w:r>
    </w:p>
    <w:p w14:paraId="0E1E7E00" w14:textId="77777777" w:rsidR="00B359A8" w:rsidRPr="00797FC2" w:rsidRDefault="00000000">
      <w:pPr>
        <w:spacing w:before="260" w:after="130"/>
        <w:rPr>
          <w:lang w:val="pt-BR"/>
        </w:rPr>
      </w:pPr>
      <w:r w:rsidRPr="00797FC2">
        <w:rPr>
          <w:sz w:val="20"/>
          <w:szCs w:val="20"/>
          <w:lang w:val="pt-BR"/>
        </w:rPr>
        <w:t>Quadro 2 – Entidades do banco de dados e sua função no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B359A8" w14:paraId="0B1B4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48863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Entidade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11541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Atributos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principais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94FE7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sistema</w:t>
            </w:r>
            <w:proofErr w:type="spellEnd"/>
          </w:p>
        </w:tc>
      </w:tr>
      <w:tr w:rsidR="00B359A8" w:rsidRPr="00797FC2" w14:paraId="070A36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F2FBBB" w14:textId="77777777" w:rsidR="00B359A8" w:rsidRDefault="00000000">
            <w:proofErr w:type="spellStart"/>
            <w:r>
              <w:rPr>
                <w:sz w:val="20"/>
                <w:szCs w:val="20"/>
              </w:rPr>
              <w:t>classe_iluminacao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0055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Código da classe; iluminância mínima; iluminância admitida em dimerização; classe mínima admitida; taxa máxima de decréscimo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C963E5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Referência normativa populada a partir da ABNT NBR 5101. Fornece o critério externo que a verificação consulta a cada decisão</w:t>
            </w:r>
          </w:p>
        </w:tc>
      </w:tr>
      <w:tr w:rsidR="00B359A8" w:rsidRPr="00797FC2" w14:paraId="68ACC6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CABBEC" w14:textId="77777777" w:rsidR="00B359A8" w:rsidRDefault="00000000">
            <w:proofErr w:type="spellStart"/>
            <w:r>
              <w:rPr>
                <w:sz w:val="20"/>
                <w:szCs w:val="20"/>
              </w:rPr>
              <w:t>ponto_de_luz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807DA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Identificador; coordenadas; logradouro; classe de iluminação; estado operacional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21C19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Representa a luminária. Na avaliação há um único registro; o modelo, contudo, é o do parque</w:t>
            </w:r>
          </w:p>
        </w:tc>
      </w:tr>
      <w:tr w:rsidR="00B359A8" w:rsidRPr="00797FC2" w14:paraId="36297D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396156" w14:textId="77777777" w:rsidR="00B359A8" w:rsidRDefault="00000000">
            <w:proofErr w:type="spellStart"/>
            <w:r>
              <w:rPr>
                <w:sz w:val="20"/>
                <w:szCs w:val="20"/>
              </w:rPr>
              <w:t>evento_urbano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58046B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Carimbo de tempo; tipo; valor; abrangência; origem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E7774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Registra cada mensagem recebida da interface de dados urbanos</w:t>
            </w:r>
          </w:p>
        </w:tc>
      </w:tr>
      <w:tr w:rsidR="00B359A8" w:rsidRPr="00797FC2" w14:paraId="1C0629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B7C210" w14:textId="77777777" w:rsidR="00B359A8" w:rsidRDefault="00000000">
            <w:proofErr w:type="spellStart"/>
            <w:r>
              <w:rPr>
                <w:sz w:val="20"/>
                <w:szCs w:val="20"/>
              </w:rPr>
              <w:t>versao_base_regras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9CE5A2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Identificador; data de vigência; quantidade de regras; resumo das alterações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26194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Atribui cada decisão à versão da base que a produziu — condição para reproduzir resultados</w:t>
            </w:r>
          </w:p>
        </w:tc>
      </w:tr>
      <w:tr w:rsidR="00B359A8" w:rsidRPr="00797FC2" w14:paraId="171CFA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50EAB" w14:textId="77777777" w:rsidR="00B359A8" w:rsidRDefault="00000000">
            <w:proofErr w:type="spellStart"/>
            <w:r>
              <w:rPr>
                <w:sz w:val="20"/>
                <w:szCs w:val="20"/>
              </w:rPr>
              <w:t>decisao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0870C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Carimbo de tempo; ponto de luz; nível pretendido pela inferência; nível emitido; restrição que motivou a correção; versão da base de regras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9916D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Núcleo da auditoria. Separar nível pretendido de nível emitido é o que torna mensurável a atuação da camada de verificação</w:t>
            </w:r>
          </w:p>
        </w:tc>
      </w:tr>
      <w:tr w:rsidR="00B359A8" w:rsidRPr="00797FC2" w14:paraId="225A45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B0F36D" w14:textId="77777777" w:rsidR="00B359A8" w:rsidRDefault="00000000">
            <w:proofErr w:type="spellStart"/>
            <w:r>
              <w:rPr>
                <w:sz w:val="20"/>
                <w:szCs w:val="20"/>
              </w:rPr>
              <w:lastRenderedPageBreak/>
              <w:t>telemetria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7735E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Carimbo de tempo; ponto de luz; decisão correspondente; ciclo de trabalho aplicado; iluminância medida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919DAA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Registra o que o nó entregou. Confrontada com a decisão, produz a latência e a diferença entre nível decidido e medido</w:t>
            </w:r>
          </w:p>
        </w:tc>
      </w:tr>
    </w:tbl>
    <w:p w14:paraId="7C213379" w14:textId="77777777" w:rsidR="00B359A8" w:rsidRPr="00797FC2" w:rsidRDefault="00000000">
      <w:pPr>
        <w:spacing w:before="130" w:after="260"/>
        <w:rPr>
          <w:lang w:val="pt-BR"/>
        </w:rPr>
      </w:pPr>
      <w:r w:rsidRPr="00797FC2">
        <w:rPr>
          <w:sz w:val="20"/>
          <w:szCs w:val="20"/>
          <w:lang w:val="pt-BR"/>
        </w:rPr>
        <w:t>Fonte: Elaborado pelos autores (2026).</w:t>
      </w:r>
    </w:p>
    <w:p w14:paraId="20C09202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separação entre decisão e telemetria é deliberada: a primeira registra o que o sistema determinou, a segunda o que o mundo devolveu, e mantê-las ligadas por chave estrangeira é o que permite medir a divergência entre uma coisa e outra. Em escala municipal, evento urbano e telemetria exigiriam particionamento por tempo e provavelmente armazenamento de série temporal — tratamento que figura entre os trabalhos futuros.</w:t>
      </w:r>
    </w:p>
    <w:p w14:paraId="16AE23AE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2" w:name="_Toc240223073"/>
      <w:r w:rsidRPr="00797FC2">
        <w:rPr>
          <w:lang w:val="pt-BR"/>
        </w:rPr>
        <w:t>7.3 O nó de demonstração</w:t>
      </w:r>
      <w:bookmarkEnd w:id="22"/>
    </w:p>
    <w:p w14:paraId="319B9298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protótipo é um nó único, deliberadamente mínimo: sua função é tornar visível e mensurável o resultado da decisão, não caracterizar componentes.</w:t>
      </w:r>
    </w:p>
    <w:p w14:paraId="38539687" w14:textId="77777777" w:rsidR="00B359A8" w:rsidRPr="00797FC2" w:rsidRDefault="00000000">
      <w:pPr>
        <w:spacing w:before="260" w:after="130"/>
        <w:rPr>
          <w:lang w:val="pt-BR"/>
        </w:rPr>
      </w:pPr>
      <w:r w:rsidRPr="00797FC2">
        <w:rPr>
          <w:sz w:val="20"/>
          <w:szCs w:val="20"/>
          <w:lang w:val="pt-BR"/>
        </w:rPr>
        <w:t>Quadro 3 – Elementos do nó de demonstração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B359A8" w14:paraId="7FB25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2938E" w14:textId="77777777" w:rsidR="00B359A8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A3989C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sz w:val="20"/>
                <w:szCs w:val="20"/>
              </w:rPr>
              <w:t>nó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27368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Especificação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</w:tr>
      <w:tr w:rsidR="00B359A8" w14:paraId="660F39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752390" w14:textId="77777777" w:rsidR="00B359A8" w:rsidRDefault="00000000">
            <w:proofErr w:type="spellStart"/>
            <w:r>
              <w:rPr>
                <w:sz w:val="20"/>
                <w:szCs w:val="20"/>
              </w:rPr>
              <w:t>Microcontrolador</w:t>
            </w:r>
            <w:proofErr w:type="spellEnd"/>
            <w:r>
              <w:rPr>
                <w:sz w:val="20"/>
                <w:szCs w:val="20"/>
              </w:rPr>
              <w:t xml:space="preserve"> ESP32-WROOM-32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E25269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Mantém a sessão com o intermediário, recebe o comando, gera o sinal de acionamento e publica a telemetria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04CCD" w14:textId="77777777" w:rsidR="00B359A8" w:rsidRDefault="00000000">
            <w:r w:rsidRPr="00797FC2">
              <w:rPr>
                <w:sz w:val="20"/>
                <w:szCs w:val="20"/>
                <w:lang w:val="pt-BR"/>
              </w:rPr>
              <w:t xml:space="preserve">Dois núcleos a 240 MHz, 520 KiB de memória, Wi-Fi 2,4 GHz nativo, modulação por largura de pulso em hardware com resolução programável. </w:t>
            </w:r>
            <w:proofErr w:type="spellStart"/>
            <w:r>
              <w:rPr>
                <w:sz w:val="20"/>
                <w:szCs w:val="20"/>
              </w:rPr>
              <w:t>Alimentado</w:t>
            </w:r>
            <w:proofErr w:type="spellEnd"/>
            <w:r>
              <w:rPr>
                <w:sz w:val="20"/>
                <w:szCs w:val="20"/>
              </w:rPr>
              <w:t xml:space="preserve"> pela porta de </w:t>
            </w:r>
            <w:proofErr w:type="spellStart"/>
            <w:r>
              <w:rPr>
                <w:sz w:val="20"/>
                <w:szCs w:val="20"/>
              </w:rPr>
              <w:t>programação</w:t>
            </w:r>
            <w:proofErr w:type="spellEnd"/>
          </w:p>
        </w:tc>
      </w:tr>
      <w:tr w:rsidR="00B359A8" w14:paraId="4EB6F9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711B9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Segmento de fita de LED em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0FC79E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Reproduz o ponto de luz da via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69B0F9" w14:textId="77777777" w:rsidR="00B359A8" w:rsidRDefault="00000000">
            <w:r w:rsidRPr="00797FC2">
              <w:rPr>
                <w:sz w:val="20"/>
                <w:szCs w:val="20"/>
                <w:lang w:val="pt-BR"/>
              </w:rPr>
              <w:t xml:space="preserve">Tipo 5050, 60 emissores por metro, 14,4 W/m, abertura de 120°, resistores de limitação integrados, seccionamento a cada três emissores. </w:t>
            </w:r>
            <w:proofErr w:type="spellStart"/>
            <w:r>
              <w:rPr>
                <w:sz w:val="20"/>
                <w:szCs w:val="20"/>
              </w:rPr>
              <w:t>Comprimento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medição</w:t>
            </w:r>
            <w:proofErr w:type="spellEnd"/>
            <w:r>
              <w:rPr>
                <w:sz w:val="20"/>
                <w:szCs w:val="20"/>
              </w:rPr>
              <w:t xml:space="preserve"> (7.3.2)</w:t>
            </w:r>
          </w:p>
        </w:tc>
      </w:tr>
      <w:tr w:rsidR="00B359A8" w:rsidRPr="00797FC2" w14:paraId="1BE7A2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850050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Módulo de acionamento com transistor de efeito de campo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9F039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Converte o sinal modulado em variação do fluxo luminoso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31C1E0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Nível lógico a partir de 3,3 V, modulação até 20 kHz, carga de 5 V a 30 V, resistor de porta e proteção integrados, bornes a parafuso</w:t>
            </w:r>
          </w:p>
        </w:tc>
      </w:tr>
      <w:tr w:rsidR="00B359A8" w:rsidRPr="00797FC2" w14:paraId="6079B9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49CAB9" w14:textId="77777777" w:rsidR="00B359A8" w:rsidRDefault="00000000">
            <w:r>
              <w:rPr>
                <w:sz w:val="20"/>
                <w:szCs w:val="20"/>
              </w:rPr>
              <w:t xml:space="preserve">Sensor de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  <w:r>
              <w:rPr>
                <w:sz w:val="20"/>
                <w:szCs w:val="20"/>
              </w:rPr>
              <w:t xml:space="preserve"> BH1750FVI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F2ECE1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Mede a iluminância entregue no plano de medição e a publica continuamente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764D22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Saída digital em lux por barramento I²C; 1 lx a 65.535 lx; resolução de 0,11 lx no modo de alta resolução 2</w:t>
            </w:r>
          </w:p>
        </w:tc>
      </w:tr>
      <w:tr w:rsidR="00B359A8" w:rsidRPr="00797FC2" w14:paraId="430CE5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33EBC" w14:textId="77777777" w:rsidR="00B359A8" w:rsidRDefault="00000000">
            <w:r>
              <w:rPr>
                <w:sz w:val="20"/>
                <w:szCs w:val="20"/>
              </w:rPr>
              <w:t>Fonte de 12 V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4A7E4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Alimenta o ramo de iluminação, separado da alimentação do microcontrolador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B2451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Fonte chaveada de 12 V e 2 A; consumo do segmento inferior a 300 mA</w:t>
            </w:r>
          </w:p>
        </w:tc>
      </w:tr>
      <w:tr w:rsidR="00B359A8" w:rsidRPr="00797FC2" w14:paraId="32274B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D05AC5" w14:textId="77777777" w:rsidR="00B359A8" w:rsidRDefault="00000000">
            <w:proofErr w:type="spellStart"/>
            <w:r>
              <w:rPr>
                <w:sz w:val="20"/>
                <w:szCs w:val="20"/>
              </w:rPr>
              <w:t>Anteparo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bancada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372902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Isola o plano de medição da luz ambiente e delimita a cena observada pela plateia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D0BB7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Estrutura opaca de face interna fosca, com a luminária em uma extremidade e o plano de medição na outra</w:t>
            </w:r>
          </w:p>
        </w:tc>
      </w:tr>
    </w:tbl>
    <w:p w14:paraId="28788281" w14:textId="77777777" w:rsidR="00B359A8" w:rsidRPr="00797FC2" w:rsidRDefault="00000000">
      <w:pPr>
        <w:spacing w:before="130" w:after="260"/>
        <w:rPr>
          <w:lang w:val="pt-BR"/>
        </w:rPr>
      </w:pPr>
      <w:r w:rsidRPr="00797FC2">
        <w:rPr>
          <w:sz w:val="20"/>
          <w:szCs w:val="20"/>
          <w:lang w:val="pt-BR"/>
        </w:rPr>
        <w:t>Fonte: Elaborado pelos autores (2026).</w:t>
      </w:r>
    </w:p>
    <w:p w14:paraId="32335DD7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lastRenderedPageBreak/>
        <w:t>A montagem não exige solda: as conexões de potência são feitas em bornes a parafuso e as de sinal em barramento de prototipagem. Todos os elementos são componentes de prateleira, e esse fato integra o argumento: demonstrar o vínculo entre observação urbana e atuação luminosa não requer investimento significativo.</w:t>
      </w:r>
    </w:p>
    <w:p w14:paraId="77A3C5D0" w14:textId="77777777" w:rsidR="00B359A8" w:rsidRPr="00797FC2" w:rsidRDefault="00000000">
      <w:pPr>
        <w:pStyle w:val="Heading3"/>
        <w:spacing w:before="320" w:after="200" w:line="360" w:lineRule="auto"/>
        <w:rPr>
          <w:lang w:val="pt-BR"/>
        </w:rPr>
      </w:pPr>
      <w:bookmarkStart w:id="23" w:name="_Toc240223074"/>
      <w:r w:rsidRPr="00797FC2">
        <w:rPr>
          <w:lang w:val="pt-BR"/>
        </w:rPr>
        <w:t>7.3.1 Critérios de seleção e alternativas preteridas</w:t>
      </w:r>
      <w:bookmarkEnd w:id="23"/>
    </w:p>
    <w:p w14:paraId="60E8AC0E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Cada elemento foi selecionado contra alternativas efetivamente disponíveis, segundo quatro critérios: aderência funcional; disponibilidade no mercado nacional em prazo compatível com as seis semanas; verificação independente da especificação na documentação do fabricante; e economia de montagem.</w:t>
      </w:r>
    </w:p>
    <w:p w14:paraId="591D79B7" w14:textId="77777777" w:rsidR="00B359A8" w:rsidRPr="00797FC2" w:rsidRDefault="00000000">
      <w:pPr>
        <w:spacing w:before="260" w:after="130"/>
        <w:rPr>
          <w:lang w:val="pt-BR"/>
        </w:rPr>
      </w:pPr>
      <w:r w:rsidRPr="00797FC2">
        <w:rPr>
          <w:sz w:val="20"/>
          <w:szCs w:val="20"/>
          <w:lang w:val="pt-BR"/>
        </w:rPr>
        <w:t>Quadro 4 – Alternativas consideradas e razão da escolha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33"/>
        <w:gridCol w:w="1935"/>
        <w:gridCol w:w="3853"/>
      </w:tblGrid>
      <w:tr w:rsidR="00B359A8" w14:paraId="46AD5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33925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Função</w:t>
            </w:r>
            <w:proofErr w:type="spellEnd"/>
          </w:p>
        </w:tc>
        <w:tc>
          <w:tcPr>
            <w:tcW w:w="17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42E35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Solução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adotada</w:t>
            </w:r>
            <w:proofErr w:type="spellEnd"/>
          </w:p>
        </w:tc>
        <w:tc>
          <w:tcPr>
            <w:tcW w:w="1950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DAB6D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Alternativas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preteridas</w:t>
            </w:r>
            <w:proofErr w:type="spellEnd"/>
          </w:p>
        </w:tc>
        <w:tc>
          <w:tcPr>
            <w:tcW w:w="3921" w:type="dxa"/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65E51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Razão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determinante</w:t>
            </w:r>
            <w:proofErr w:type="spellEnd"/>
          </w:p>
        </w:tc>
      </w:tr>
      <w:tr w:rsidR="00B359A8" w:rsidRPr="00797FC2" w14:paraId="01146481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36395" w14:textId="77777777" w:rsidR="00B359A8" w:rsidRDefault="00000000">
            <w:proofErr w:type="spellStart"/>
            <w:r>
              <w:rPr>
                <w:sz w:val="20"/>
                <w:szCs w:val="20"/>
              </w:rPr>
              <w:t>Processamento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comunicação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FF889" w14:textId="77777777" w:rsidR="00B359A8" w:rsidRDefault="00000000">
            <w:r>
              <w:rPr>
                <w:sz w:val="20"/>
                <w:szCs w:val="20"/>
              </w:rPr>
              <w:t>ESP32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E7C75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Arduino Uno ou Nano; ESP8266; Raspberry Pi Pico W; computador de placa única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9796F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O Arduino não possui rádio nem comporta sessão segura em 2 KiB de memória. A modulação do ESP8266 é assistida por software, com instabilidade temporal incompatível com rampa governada. O Pico W é adequado, e a preferência decorre da modulação em hardware e da maturidade das bibliotecas. O computador de placa única é rejeitado por razão arquitetural, não por capacidade</w:t>
            </w:r>
          </w:p>
        </w:tc>
      </w:tr>
      <w:tr w:rsidR="00B359A8" w:rsidRPr="00797FC2" w14:paraId="41C26342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05FCA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Acionamento da fonte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78155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Módulo com transistor de efeito de campo, nível lógico a partir de 3,3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95AA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Módulo baseado no IRF520; transistor discreto; regulador de corrente constante; dimerização em tensão de rede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778CF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O módulo adotado traz resistor de porta, polarização e proteção integrados, e seu nível lógico abrange os 3,3 V do microcontrolador. O baseado no IRF520, de aparência e preço equivalentes, exige comando em 5 V por declaração do fabricante e operaria em condução parcial. A dimerização em tensão de rede expõe a bancada a 127 V sem ganho</w:t>
            </w:r>
          </w:p>
        </w:tc>
      </w:tr>
      <w:tr w:rsidR="00B359A8" w:rsidRPr="00797FC2" w14:paraId="572681F6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6AE72" w14:textId="77777777" w:rsidR="00B359A8" w:rsidRDefault="00000000">
            <w:r>
              <w:rPr>
                <w:sz w:val="20"/>
                <w:szCs w:val="20"/>
              </w:rPr>
              <w:t>Fonte de luz</w:t>
            </w:r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F3297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Segmento curto de fita de LED em 12 V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4A944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Emissor de potência com resistor de lastro; refletor de estado sólido em 12 V; luminária viária; lâmpada incandescente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E6A73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 xml:space="preserve">A fita traz resistores de limitação integrados, o que elimina o cálculo e a dissipação do lastro; a objeção de ser fonte extensa vale para o rolo, não para o segmento, pois dez centímetros a 1,5 m subtendem menos de quatro graus. O refletor de 12 V é rejeitado por duas razões independentes: um exemplar de 10 W e 800 lm entregaria cerca de 113 lux a 1,5 m, seis vezes a faixa de trabalho, e sua alimentação em faixa de 12 V a 24 V denuncia reatação interna de corrente constante, que torna a modulação na entrada imprevisível. A </w:t>
            </w:r>
            <w:r w:rsidRPr="00797FC2">
              <w:rPr>
                <w:sz w:val="20"/>
                <w:szCs w:val="20"/>
                <w:lang w:val="pt-BR"/>
              </w:rPr>
              <w:lastRenderedPageBreak/>
              <w:t>incandescente tem inércia térmica que mascara a dinâmica da decisão</w:t>
            </w:r>
          </w:p>
        </w:tc>
      </w:tr>
      <w:tr w:rsidR="00B359A8" w:rsidRPr="00797FC2" w14:paraId="5363B230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49F71" w14:textId="77777777" w:rsidR="00B359A8" w:rsidRDefault="00000000">
            <w:proofErr w:type="spellStart"/>
            <w:r>
              <w:rPr>
                <w:sz w:val="20"/>
                <w:szCs w:val="20"/>
              </w:rPr>
              <w:lastRenderedPageBreak/>
              <w:t>Medição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iluminância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5B386" w14:textId="77777777" w:rsidR="00B359A8" w:rsidRDefault="00000000">
            <w:r>
              <w:rPr>
                <w:sz w:val="20"/>
                <w:szCs w:val="20"/>
              </w:rPr>
              <w:t>Sensor digital BH1750FVI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5171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Fotorresistor; luxímetro portátil de baixo custo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38720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O fotorresistor entrega resistência, não iluminância, e sua resposta espectral não aproxima a curva de sensibilidade do olho: qualquer valor em lux dele extraído seria curva ajustada pelos próprios autores. O luxímetro portátil não tem saída digital e não compõe telemetria; os modelos da faixa de preço compatível declaram erro de zero da ordem de dez lux, superior à grandeza medida</w:t>
            </w:r>
          </w:p>
        </w:tc>
      </w:tr>
      <w:tr w:rsidR="00B359A8" w:rsidRPr="00797FC2" w14:paraId="6F4FBA05" w14:textId="77777777">
        <w:tblPrEx>
          <w:tblCellMar>
            <w:top w:w="0" w:type="dxa"/>
            <w:bottom w:w="0" w:type="dxa"/>
          </w:tblCellMar>
        </w:tblPrEx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7B3EE" w14:textId="77777777" w:rsidR="00B359A8" w:rsidRDefault="00000000">
            <w:r>
              <w:rPr>
                <w:sz w:val="20"/>
                <w:szCs w:val="20"/>
              </w:rPr>
              <w:t xml:space="preserve">Transporte da </w:t>
            </w:r>
            <w:proofErr w:type="spellStart"/>
            <w:r>
              <w:rPr>
                <w:sz w:val="20"/>
                <w:szCs w:val="20"/>
              </w:rPr>
              <w:t>mensagem</w:t>
            </w:r>
            <w:proofErr w:type="spellEnd"/>
          </w:p>
        </w:tc>
        <w:tc>
          <w:tcPr>
            <w:tcW w:w="1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E78CB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Wi-Fi com protocolo MQTT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CDA97" w14:textId="77777777" w:rsidR="00B359A8" w:rsidRDefault="00000000">
            <w:proofErr w:type="spellStart"/>
            <w:r>
              <w:rPr>
                <w:sz w:val="20"/>
                <w:szCs w:val="20"/>
              </w:rPr>
              <w:t>LoRaWAN</w:t>
            </w:r>
            <w:proofErr w:type="spellEnd"/>
            <w:r>
              <w:rPr>
                <w:sz w:val="20"/>
                <w:szCs w:val="20"/>
              </w:rPr>
              <w:t>; NB-IoT; Zigbee</w:t>
            </w:r>
          </w:p>
        </w:tc>
        <w:tc>
          <w:tcPr>
            <w:tcW w:w="39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A9A5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São as tecnologias empregadas em telegestão e seriam as escolhas corretas em campo. O MQTT, porém, é independente do meio: substituir o rádio não altera o intermediário nem a semântica dos tópicos. O objeto avaliado é a camada de decisão, não o enlace</w:t>
            </w:r>
          </w:p>
        </w:tc>
      </w:tr>
    </w:tbl>
    <w:p w14:paraId="60A0376B" w14:textId="77777777" w:rsidR="00B359A8" w:rsidRPr="00797FC2" w:rsidRDefault="00000000">
      <w:pPr>
        <w:spacing w:before="130" w:after="260"/>
        <w:rPr>
          <w:lang w:val="pt-BR"/>
        </w:rPr>
      </w:pPr>
      <w:r w:rsidRPr="00797FC2">
        <w:rPr>
          <w:sz w:val="20"/>
          <w:szCs w:val="20"/>
          <w:lang w:val="pt-BR"/>
        </w:rPr>
        <w:t>Fonte: Elaborado pelos autores (2026).</w:t>
      </w:r>
    </w:p>
    <w:p w14:paraId="7D7AE965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Duas escolhas merecem desenvolvimento. A rejeição do computador de placa única não se dá por insuficiência, e sim porque a arquitetura mantém a decisão fora do dispositivo: o microcontrolador de recurso restrito é o que a torna verificável, pois o nó não decide porque não teria como decidir. A segunda é a relação entre o acionamento da bancada e o exigido em contrato — o Caderno de Encargos especifica dimerização de 0 a 10 V, e a bancada emprega modulação por largura de pulso; ambas são entradas padronizadas de reatores de estado sólido, e a conversão entre elas é um filtro passa-baixas seguido de seguidor de tensão. A diferença é de interface elétrica, não de natureza do comando, o que permite afirmar que o mecanismo demonstrado é transponível ao equipamento instalado.</w:t>
      </w:r>
    </w:p>
    <w:p w14:paraId="6F58CC9D" w14:textId="77777777" w:rsidR="00B359A8" w:rsidRPr="00797FC2" w:rsidRDefault="00000000">
      <w:pPr>
        <w:pStyle w:val="Heading3"/>
        <w:spacing w:before="320" w:after="200" w:line="360" w:lineRule="auto"/>
        <w:rPr>
          <w:lang w:val="pt-BR"/>
        </w:rPr>
      </w:pPr>
      <w:bookmarkStart w:id="24" w:name="_Toc240223075"/>
      <w:r w:rsidRPr="00797FC2">
        <w:rPr>
          <w:lang w:val="pt-BR"/>
        </w:rPr>
        <w:t>7.3.2 Dimensionamento e condições de medição</w:t>
      </w:r>
      <w:bookmarkEnd w:id="24"/>
    </w:p>
    <w:p w14:paraId="3CAE85DE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medição de bancada não constitui verificação fotométrica normativa: aferir uma instalação exigiria malha de pontos, uniformidade, iluminâncias mínima horizontal e vertical e valores mantidos ao longo da vida útil — nada disso é reproduzível com um único ponto de medição. O que os procedimentos asseguram é que a grandeza lida corresponda à luz produzida pelo nó e que a relação entre o nível comandado e o entregue seja conhecida e estável.</w:t>
      </w:r>
    </w:p>
    <w:p w14:paraId="0E525F9B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lastRenderedPageBreak/>
        <w:t xml:space="preserve">A iluminância no eixo vale E = </w:t>
      </w:r>
      <w:r>
        <w:t>Φ</w:t>
      </w:r>
      <w:r w:rsidRPr="00797FC2">
        <w:rPr>
          <w:lang w:val="pt-BR"/>
        </w:rPr>
        <w:t>/(</w:t>
      </w:r>
      <w:r>
        <w:t>Ω</w:t>
      </w:r>
      <w:r w:rsidRPr="00797FC2">
        <w:rPr>
          <w:lang w:val="pt-BR"/>
        </w:rPr>
        <w:t xml:space="preserve"> h²), em que </w:t>
      </w:r>
      <w:r>
        <w:t>Φ</w:t>
      </w:r>
      <w:r w:rsidRPr="00797FC2">
        <w:rPr>
          <w:lang w:val="pt-BR"/>
        </w:rPr>
        <w:t xml:space="preserve"> é o fluxo do segmento, </w:t>
      </w:r>
      <w:r>
        <w:t>Ω</w:t>
      </w:r>
      <w:r w:rsidRPr="00797FC2">
        <w:rPr>
          <w:lang w:val="pt-BR"/>
        </w:rPr>
        <w:t xml:space="preserve"> o ângulo sólido da abertura declarada e h a distância ao plano de medição; fixada a altura, o comprimento do segmento é a variável de projeto. Como anúncios de fitas nominalmente idênticas declaram fluxos de 600 a 1.300 lm por metro, esse comprimento é determinado por medição: ajusta-se o segmento até que a leitura a ciclo pleno se situe entre uma vez e meia e duas vezes a iluminância média mantida da classe, e os ciclos correspondentes a 10 lux e a 5 lux são igualmente medidos. Essa margem entre o teto físico e o normativo é o que torna o resultado significativo: o limite é imposto pela camada de verificação, e não pela incapacidade do equipamento. A modulação opera a 5 kHz com 12 bits, de modo que o período do sinal é desprezível diante dos 120 ms de integração do sensor; e como medir 10 lux em recinto de 300 a 500 lux não produz resultado interpretável, o plano de medição fica no anteparo, com a iluminância residual registrada antes de cada sessão e subtraída das leituras.</w:t>
      </w:r>
    </w:p>
    <w:p w14:paraId="092A7B81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taxa máxima de decréscimo tem consequência direta sobre a demonstração: uma redução de 10 lux para 5 lux consome, no mínimo, cinco minutos. A norma limita apenas o decréscimo — a elevação não está sujeita a essa restrição, e o trabalho a mantém livre, por jamais reduzir a segurança. A demonstração explora essa assimetria: diante de um evento reportado, a elevação é imediata e visível, e a atenuação subsequente ocorre sob rampa governada, exibida no painel junto à trajetória prevista.</w:t>
      </w:r>
    </w:p>
    <w:p w14:paraId="3DD0AE33" w14:textId="77777777" w:rsidR="00B359A8" w:rsidRPr="00797FC2" w:rsidRDefault="00000000">
      <w:pPr>
        <w:pStyle w:val="Heading3"/>
        <w:spacing w:before="320" w:after="200" w:line="360" w:lineRule="auto"/>
        <w:rPr>
          <w:lang w:val="pt-BR"/>
        </w:rPr>
      </w:pPr>
      <w:bookmarkStart w:id="25" w:name="_Toc240223076"/>
      <w:r w:rsidRPr="00797FC2">
        <w:rPr>
          <w:lang w:val="pt-BR"/>
        </w:rPr>
        <w:t>7.3.3 Incerteza declarada</w:t>
      </w:r>
      <w:bookmarkEnd w:id="25"/>
    </w:p>
    <w:p w14:paraId="09B7A60F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sensor declara exatidão da ordem de vinte por cento em valor absoluto, e a bancada não dispõe de instrumento de referência calibrado. Isso não afeta a verificação do invariante de segurança, que incide sobre o nível decidido, em software, antes da emissão do comando, com critério externo e reproduzível por quem disponha do texto normativo e dos registros de decisão. Tampouco compromete a latência, medida em tempo e não em lux, nem a trajetória normalizada do fluxo — a razão entre a iluminância corrente e a plena, forma relativa em que a norma expressa a restrição de taxa, e na qual um erro sistemático de escala se cancela.</w:t>
      </w:r>
    </w:p>
    <w:p w14:paraId="656A4485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Tampouco afeta a consistência interna da bancada, e esta é a observação central: a iluminação plena da classe não é valor imposto desde fora, e sim definida </w:t>
      </w:r>
      <w:r w:rsidRPr="00797FC2">
        <w:rPr>
          <w:lang w:val="pt-BR"/>
        </w:rPr>
        <w:lastRenderedPageBreak/>
        <w:t>como o ciclo de trabalho em que o sensor registra o valor da classe, com o piso de atenuação e a taxa máxima de decréscimo estabelecidos em relação a essa mesma referência — de modo que um erro sistemático desloca conjuntamente os três valores sem alterar nenhuma relação entre eles. Restam três propriedades a estabelecer, todas insensíveis a esse erro: repetibilidade, monotonicidade e linearidade da resposta, e controle da parcela ambiente.</w:t>
      </w:r>
    </w:p>
    <w:p w14:paraId="38D38F90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6" w:name="_Toc240223077"/>
      <w:r w:rsidRPr="00797FC2">
        <w:rPr>
          <w:lang w:val="pt-BR"/>
        </w:rPr>
        <w:t>7.4 Dados urbanos e construção dos cenários</w:t>
      </w:r>
      <w:bookmarkEnd w:id="26"/>
    </w:p>
    <w:p w14:paraId="27375AB6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conteúdo publicado pela interface emulada é construído a partir de dados públicos do município: as solicitações do SP156 no portal de dados abertos (SÃO PAULO, 2026), os registros do Centro de Gerenciamento de Emergências e a base georreferenciada, que permite determinar a classe aplicável. Agregados e não operando em tempo real, esses conjuntos servem à construção de cenários realistas: a interface reproduz o formato e a semântica que uma plataforma municipal produziria, e não os seus dados, aos quais não há acesso público. O trabalho não afirma integração com o Smart Sampa — afirma a construção de um sistema preparado para recebê-la. Daí deriva a suíte de cenários, que cobre o espaço de entrada, incluídas as combinações conflitantes que constituem o caso interessante da decisão.</w:t>
      </w:r>
    </w:p>
    <w:p w14:paraId="119FB1F7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7" w:name="_Toc240223078"/>
      <w:r w:rsidRPr="00797FC2">
        <w:rPr>
          <w:lang w:val="pt-BR"/>
        </w:rPr>
        <w:t>7.5 Mecanismo de decisão</w:t>
      </w:r>
      <w:bookmarkEnd w:id="27"/>
    </w:p>
    <w:p w14:paraId="367B0CE6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decisão é produzida por sistema de inferência nebulosa do tipo Mamdani, cuja construção compreende a definição das variáveis de entrada e de seus conjuntos linguísticos, a formulação da base de regras e o método de agregação e de defuzificação.</w:t>
      </w:r>
    </w:p>
    <w:p w14:paraId="29AAA7ED" w14:textId="77777777" w:rsidR="00B359A8" w:rsidRPr="00797FC2" w:rsidRDefault="00000000">
      <w:pPr>
        <w:spacing w:before="260" w:after="130"/>
        <w:rPr>
          <w:lang w:val="pt-BR"/>
        </w:rPr>
      </w:pPr>
      <w:r w:rsidRPr="00797FC2">
        <w:rPr>
          <w:sz w:val="20"/>
          <w:szCs w:val="20"/>
          <w:lang w:val="pt-BR"/>
        </w:rPr>
        <w:t>Quadro 5 – Variáveis de entrada do sistema de decisão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3771"/>
      </w:tblGrid>
      <w:tr w:rsidR="00B359A8" w14:paraId="43B21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8F6CF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Variável</w:t>
            </w:r>
            <w:proofErr w:type="spellEnd"/>
          </w:p>
        </w:tc>
        <w:tc>
          <w:tcPr>
            <w:tcW w:w="3200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211027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Origem</w:t>
            </w:r>
            <w:proofErr w:type="spellEnd"/>
          </w:p>
        </w:tc>
        <w:tc>
          <w:tcPr>
            <w:tcW w:w="3771" w:type="dxa"/>
            <w:shd w:val="clear" w:color="auto" w:fill="EDEDE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5A7C6" w14:textId="77777777" w:rsidR="00B359A8" w:rsidRDefault="00000000">
            <w:proofErr w:type="spellStart"/>
            <w:r>
              <w:rPr>
                <w:b/>
                <w:bCs/>
                <w:sz w:val="20"/>
                <w:szCs w:val="20"/>
              </w:rPr>
              <w:t>Justificativa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sz w:val="20"/>
                <w:szCs w:val="20"/>
              </w:rPr>
              <w:t>inclusão</w:t>
            </w:r>
            <w:proofErr w:type="spellEnd"/>
          </w:p>
        </w:tc>
      </w:tr>
      <w:tr w:rsidR="00B359A8" w:rsidRPr="00797FC2" w14:paraId="3BEF59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347336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Nível de movimentação na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34A5B9" w14:textId="77777777" w:rsidR="00B359A8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69281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É a variável que a norma indica como determinante do tempo de funcionamento da iluminação adaptativa, na subseção 6.10.3</w:t>
            </w:r>
          </w:p>
        </w:tc>
      </w:tr>
      <w:tr w:rsidR="00B359A8" w:rsidRPr="00797FC2" w14:paraId="51A9C5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38EB44" w14:textId="77777777" w:rsidR="00B359A8" w:rsidRDefault="00000000">
            <w:proofErr w:type="spellStart"/>
            <w:r>
              <w:rPr>
                <w:sz w:val="20"/>
                <w:szCs w:val="20"/>
              </w:rPr>
              <w:t>Ocorrência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proximidades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A686D6" w14:textId="77777777" w:rsidR="00B359A8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8FB89B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Evento de segurança ou de trânsito justifica elevação do nível independentemente da movimentação. Corresponde ao alerta automático que a plataforma municipal já produz</w:t>
            </w:r>
          </w:p>
        </w:tc>
      </w:tr>
      <w:tr w:rsidR="00B359A8" w:rsidRPr="00797FC2" w14:paraId="61C282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016298" w14:textId="77777777" w:rsidR="00B359A8" w:rsidRDefault="00000000">
            <w:proofErr w:type="spellStart"/>
            <w:r>
              <w:rPr>
                <w:sz w:val="20"/>
                <w:szCs w:val="20"/>
              </w:rPr>
              <w:lastRenderedPageBreak/>
              <w:t>Condição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meteorológica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05775" w14:textId="77777777" w:rsidR="00B359A8" w:rsidRDefault="00000000">
            <w:r>
              <w:rPr>
                <w:sz w:val="20"/>
                <w:szCs w:val="20"/>
              </w:rPr>
              <w:t xml:space="preserve">Interface de dados </w:t>
            </w:r>
            <w:proofErr w:type="spellStart"/>
            <w:r>
              <w:rPr>
                <w:sz w:val="20"/>
                <w:szCs w:val="20"/>
              </w:rPr>
              <w:t>urbanos</w:t>
            </w:r>
            <w:proofErr w:type="spellEnd"/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7EF41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A subseção 6.10 desaconselha a dimerização sob nevoeiro, neblina e chuva, o que converte esta variável em restrição e não apenas em entrada</w:t>
            </w:r>
          </w:p>
        </w:tc>
      </w:tr>
      <w:tr w:rsidR="00B359A8" w:rsidRPr="00797FC2" w14:paraId="08D4FD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6AB85" w14:textId="77777777" w:rsidR="00B359A8" w:rsidRDefault="00000000">
            <w:proofErr w:type="spellStart"/>
            <w:r>
              <w:rPr>
                <w:sz w:val="20"/>
                <w:szCs w:val="20"/>
              </w:rPr>
              <w:t>Faixa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horária</w:t>
            </w:r>
            <w:proofErr w:type="spellEnd"/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8F0833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Relógio do serviço de decisão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A622D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Distingue regimes de utilização da via e opera como evidência de apoio quando as demais são inconclusivas</w:t>
            </w:r>
          </w:p>
        </w:tc>
      </w:tr>
      <w:tr w:rsidR="00B359A8" w:rsidRPr="00797FC2" w14:paraId="201F1F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FD28CD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Classe de iluminação da via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132015" w14:textId="77777777" w:rsidR="00B359A8" w:rsidRDefault="00000000">
            <w:r>
              <w:rPr>
                <w:sz w:val="20"/>
                <w:szCs w:val="20"/>
              </w:rPr>
              <w:t xml:space="preserve">Base </w:t>
            </w:r>
            <w:proofErr w:type="spellStart"/>
            <w:r>
              <w:rPr>
                <w:sz w:val="20"/>
                <w:szCs w:val="20"/>
              </w:rPr>
              <w:t>georreferenciada</w:t>
            </w:r>
            <w:proofErr w:type="spellEnd"/>
            <w:r>
              <w:rPr>
                <w:sz w:val="20"/>
                <w:szCs w:val="20"/>
              </w:rPr>
              <w:t xml:space="preserve"> municipal</w:t>
            </w:r>
          </w:p>
        </w:tc>
        <w:tc>
          <w:tcPr>
            <w:tcW w:w="3771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C296C8" w14:textId="77777777" w:rsidR="00B359A8" w:rsidRPr="00797FC2" w:rsidRDefault="00000000">
            <w:pPr>
              <w:rPr>
                <w:lang w:val="pt-BR"/>
              </w:rPr>
            </w:pPr>
            <w:r w:rsidRPr="00797FC2">
              <w:rPr>
                <w:sz w:val="20"/>
                <w:szCs w:val="20"/>
                <w:lang w:val="pt-BR"/>
              </w:rPr>
              <w:t>Determina o piso normativo aplicável e, portanto, o limite inferior da decisão para aquele ponto de luz</w:t>
            </w:r>
          </w:p>
        </w:tc>
      </w:tr>
    </w:tbl>
    <w:p w14:paraId="64FF5EC6" w14:textId="77777777" w:rsidR="00B359A8" w:rsidRPr="00797FC2" w:rsidRDefault="00000000">
      <w:pPr>
        <w:spacing w:before="130" w:after="260"/>
        <w:rPr>
          <w:lang w:val="pt-BR"/>
        </w:rPr>
      </w:pPr>
      <w:r w:rsidRPr="00797FC2">
        <w:rPr>
          <w:sz w:val="20"/>
          <w:szCs w:val="20"/>
          <w:lang w:val="pt-BR"/>
        </w:rPr>
        <w:t>Fonte: Elaborado pelos autores (2026).</w:t>
      </w:r>
    </w:p>
    <w:p w14:paraId="33E3C16D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saída é o nível de fluxo pretendido, expresso como fração contínua do fluxo pleno — e não a seleção entre estados discretos, porque a taxa de decréscimo é limitada pela norma. A base de regras é construída em forma linguística e tem duas origens declaradas: as prescrições da ABNT NBR 5101 quanto aos casos em que a atenuação é vedada ou limitada, e o conhecimento de domínio da literatura revisada. Nenhuma regra deriva de decisões rotuladas pelos próprios autores, o que preserva a base externa e auditável. A inferência é seguida, obrigatoriamente, pela camada de verificação normativa.</w:t>
      </w:r>
    </w:p>
    <w:p w14:paraId="438030DD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Piso de iluminância: o nível emitido nunca é inferior ao piso da classe de dimerização admitida para a classe da via.</w:t>
      </w:r>
    </w:p>
    <w:p w14:paraId="27DF65F4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Taxa de variação: a transição é rampeada de modo a não exceder a taxa máxima de decréscimo. O restabelecimento do fluxo não está sujeito a essa limitação.</w:t>
      </w:r>
    </w:p>
    <w:p w14:paraId="4057090C" w14:textId="77777777" w:rsidR="00B359A8" w:rsidRPr="00797FC2" w:rsidRDefault="00000000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Suspensão sob condição meteorológica adversa: sob nevoeiro, neblina ou chuva a dimerização é suspensa e o sistema opera em fluxo pleno.</w:t>
      </w:r>
    </w:p>
    <w:p w14:paraId="6602EF2B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 xml:space="preserve">Acrescenta-se uma quarta regra, cuja autoria é declarada: em caso de falha de comunicação, o nó reverte autonomamente ao fluxo pleno — entre os dois modos de erro possíveis, o consumo desnecessário é recuperável e a supressão da iluminação em via ocupada não é. A separação entre a camada de inferência e a camada de verificação é a principal decisão de projeto: a primeira é adaptativa e pode ser alterada ou substituída, a segunda é fixa, deriva de norma e opera como invariante de segurança. Isso permite afirmar a conformidade do sistema independentemente do </w:t>
      </w:r>
      <w:r w:rsidRPr="00797FC2">
        <w:rPr>
          <w:lang w:val="pt-BR"/>
        </w:rPr>
        <w:lastRenderedPageBreak/>
        <w:t>comportamento da inferência, e é o que tornaria a proposta admissível para uma concessionária regulada: o comportamento inteligente pode evoluir, o limite não.</w:t>
      </w:r>
    </w:p>
    <w:p w14:paraId="199E2E59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8" w:name="_Toc240223079"/>
      <w:r w:rsidRPr="00797FC2">
        <w:rPr>
          <w:lang w:val="pt-BR"/>
        </w:rPr>
        <w:t>7.6 Classe de iluminação adotada</w:t>
      </w:r>
      <w:bookmarkEnd w:id="28"/>
    </w:p>
    <w:p w14:paraId="6464CB1F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verificação exige a fixação prévia de uma classe, determinada pelo procedimento da ABNT NBR 5101 e não arbitrada. Adota-se como cenário de referência a calçada de via urbana local, com velocidade inferior a 30 km/h, tráfego moderado, pedestres e veículos, veículos estacionados e luminância de ambiente moderada: a soma dos fatores conduz à classe P3, de 10 lux. Como a subseção 6.10 permite a dimerização até duas classes inferiores, a classe P5, de 5 lux, é o piso. O sistema opera entre 10 lux e 5 lux, com taxa máxima de decréscimo de 1 lux por minuto.</w:t>
      </w:r>
    </w:p>
    <w:p w14:paraId="09D14659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29" w:name="_Toc240223080"/>
      <w:r w:rsidRPr="00797FC2">
        <w:rPr>
          <w:lang w:val="pt-BR"/>
        </w:rPr>
        <w:t>7.7 Procedimentos e avaliação</w:t>
      </w:r>
      <w:bookmarkEnd w:id="29"/>
    </w:p>
    <w:p w14:paraId="3C846EE4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execução organiza-se em três blocos. O primeiro caracteriza a infraestrutura e as fontes, por levantamento documental e análise dos dados abertos, e constrói o sistema — interface de dados urbanos, serviço de decisão, camada de verificação, transporte, firmware e painel. O segundo submete o sistema à suíte de cenários e verifica, para cada decisão emitida, se algum dos três limites foi transgredido; o critério é categórico, nenhuma violação é admitida, e incluem-se cenários adversariais construídos para induzir a inferência a produzir decisão inadmissível, de modo que a verificação seja submetida a esforço e não apenas exercitada. O terceiro mede a latência entre a publicação do dado e a estabilização da iluminância, avalia a concordância entre a decisão de cada cenário e o envelope esperado, e consolida a especificação de integração.</w:t>
      </w:r>
    </w:p>
    <w:p w14:paraId="3F9F0143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envelope de decisão esperado é o intervalo de níveis aceitáveis para cada cenário, definido pelos autores antes da avaliação e derivado, sempre que possível, das prescrições normativas e da literatura; onde isso não é possível, reflete julgamento dos autores, e a avaliação mede a coerência entre a base de regras e esse julgamento, não a correção absoluta da decisão. A verificação do invariante não padece dessa limitação, por ter critério derivado da norma e verificável por terceiros: é por isso que constitui o resultado mais robusto do trabalho.</w:t>
      </w:r>
    </w:p>
    <w:p w14:paraId="52003869" w14:textId="77777777" w:rsidR="00B359A8" w:rsidRPr="00797FC2" w:rsidRDefault="00000000">
      <w:pPr>
        <w:pStyle w:val="Heading2"/>
        <w:spacing w:before="360" w:after="240" w:line="360" w:lineRule="auto"/>
        <w:rPr>
          <w:lang w:val="pt-BR"/>
        </w:rPr>
      </w:pPr>
      <w:bookmarkStart w:id="30" w:name="_Toc240223081"/>
      <w:r w:rsidRPr="00797FC2">
        <w:rPr>
          <w:lang w:val="pt-BR"/>
        </w:rPr>
        <w:lastRenderedPageBreak/>
        <w:t>7.8 Tratamento de dados pessoais</w:t>
      </w:r>
      <w:bookmarkEnd w:id="30"/>
    </w:p>
    <w:p w14:paraId="6D810283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sistema não captura, não processa e não armazena imagem, som ou qualquer dado que permita identificar pessoa. A interface publica apenas descritores agregados do estado da via; os conjuntos públicos usados nos cenários são divulgados de forma agregada; o nó possui um único sensor, de iluminância; e o Quadro 2 explicita o conteúdo de cada entidade do banco, onde não há atributo de imagem, de áudio ou de identificação individual — a ausência é verificável no próprio modelo de dados.</w:t>
      </w:r>
    </w:p>
    <w:p w14:paraId="094A4AC9" w14:textId="77777777" w:rsidR="00B359A8" w:rsidRPr="00797FC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A plataforma tomada como referência opera reconhecimento facial e leitura de placas, tratamento sujeito à Lei Geral de Proteção de Dados Pessoais (BRASIL, 2018), do qual o trabalho não depende. O risco de desvio de finalidade não é hipotético: em San Diego, cerca de três mil e trezentos postes receberam sensores com finalidade declarada não policial, e a partir de 2018 a polícia passou a acessar as imagens, até que a reação pública levou à desativação do programa (PERRY, 2020). A literatura sobre a plataforma paulistana concentra-se no reconhecimento facial e em seus efeitos discriminatórios (OLIVEIRA; FAGUNDES; SPOLLE, 2025). A resposta deste trabalho é de projeto: a especificação de integração exige que a interface publique exclusivamente descritores agregados, e que identificadores biométricos, imagens e placas não componham o contrato de dados.</w:t>
      </w:r>
    </w:p>
    <w:p w14:paraId="0223C9C7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31" w:name="_Toc240223082"/>
      <w:r w:rsidRPr="00797FC2">
        <w:rPr>
          <w:lang w:val="pt-BR"/>
        </w:rPr>
        <w:t>8 RESULTADOS ESPERADOS</w:t>
      </w:r>
      <w:bookmarkEnd w:id="31"/>
    </w:p>
    <w:p w14:paraId="32009915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 resultado principal é o protótipo funcional que executa o fluxo completo, do dado urbano à luz, com a iluminância medida exibida em painel — objeto da demonstração de defesa.</w:t>
      </w:r>
    </w:p>
    <w:p w14:paraId="5BFD808A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A caracterização documentada da infraestrutura de iluminação, telegestão e monitoramento urbano de São Paulo, que sustenta a afirmação de que a proposta não demanda novo investimento.</w:t>
      </w:r>
    </w:p>
    <w:p w14:paraId="27390AAC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A demonstração de que a camada de verificação impede a violação dos três limites da ABNT NBR 5101 em todas as decisões da suíte, incluídos os cenários adversariais. É o resultado de critério externo e, por isso, o mais robusto do trabalho.</w:t>
      </w:r>
    </w:p>
    <w:p w14:paraId="525B2879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lastRenderedPageBreak/>
        <w:t>A especificação da interface de integração entre plataforma de monitoramento urbano e sistema de telegestão, acompanhada da base de regras documentada para reprodução, da latência do percurso e da suíte de cenários.</w:t>
      </w:r>
    </w:p>
    <w:p w14:paraId="0E2C8872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32" w:name="_Toc240223083"/>
      <w:r w:rsidRPr="00797FC2">
        <w:rPr>
          <w:lang w:val="pt-BR"/>
        </w:rPr>
        <w:t>9 LIMITAÇÕES DO TRABALHO</w:t>
      </w:r>
      <w:bookmarkEnd w:id="32"/>
    </w:p>
    <w:p w14:paraId="5D7B32C3" w14:textId="77777777" w:rsidR="00B359A8" w:rsidRPr="00797FC2" w:rsidRDefault="00000000">
      <w:pPr>
        <w:spacing w:after="240" w:line="360" w:lineRule="auto"/>
        <w:ind w:firstLine="709"/>
        <w:jc w:val="both"/>
        <w:rPr>
          <w:lang w:val="pt-BR"/>
        </w:rPr>
      </w:pPr>
      <w:r w:rsidRPr="00797FC2">
        <w:rPr>
          <w:lang w:val="pt-BR"/>
        </w:rPr>
        <w:t>Os resultados deverão ser interpretados à luz das seguintes limitações, decorrentes de restrições de escopo assumidas deliberadamente.</w:t>
      </w:r>
    </w:p>
    <w:p w14:paraId="5A574944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Não há integração efetiva com o Smart Sampa nem com a telegestão da concessionária, por não disporem de interface pública; emprega-se interface que emula o comportamento esperado, e uma integração efetiva com plataforma que opere reconhecimento facial exigiria tratamento jurídico próprio. Os dados públicos empregados são agregados e não operam em tempo real. O envelope de decisão esperado, por sua vez, é definido pelos autores: onde não deriva de prescrição normativa, a avaliação de concordância mede a coerência entre a base de regras e esse julgamento, e não a correção da decisão em sentido absoluto.</w:t>
      </w:r>
    </w:p>
    <w:p w14:paraId="61A29B28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O protótipo é um nó único, em escala reduzida e baixa tensão, não reproduzindo a potência, a altura de montagem nem a geometria fotométrica de uma luminária viária: transpõe-se a arquitetura e o procedimento, não os valores medidos. Não se contempla controle coordenado de múltiplas luminárias nem operação em tensão de rede, considera-se uma única classe de via, e o enlace é Wi-Fi, e não as tecnologias de longo alcance usadas em telegestão.</w:t>
      </w:r>
    </w:p>
    <w:p w14:paraId="36272520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t>A bancada não realiza verificação fotométrica normativa, que exigiria malha de pontos, uniformidade, iluminância vertical a 1,5 m, índice de reprodução de cor, valores mantidos e fotômetro calibrado. Os instrumentos são sensores sem calibração rastreável, com exatidão declarada da ordem de vinte por cento, em cadeia única: afirma-se repetibilidade, monotonicidade e consistência interna da escala, e não exatidão absoluta em iluminância.</w:t>
      </w:r>
    </w:p>
    <w:p w14:paraId="16C7FD11" w14:textId="77777777" w:rsidR="00B359A8" w:rsidRPr="00797FC2" w:rsidRDefault="00000000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lang w:val="pt-BR"/>
        </w:rPr>
      </w:pPr>
      <w:r w:rsidRPr="00797FC2">
        <w:rPr>
          <w:lang w:val="pt-BR"/>
        </w:rPr>
        <w:lastRenderedPageBreak/>
        <w:t>A base de regras é fixa: o sistema decide, mas não aprende. Seu ajuste automático a partir de histórico operacional, por sistemas neuro-nebulosos ou aprendizado por reforço sujeito a restrições, exigiria uma série de operação que este trabalho não produz, e figura entre os trabalhos futuros — assim como a avaliação energética, já que o trabalho não quantifica economia de energia.</w:t>
      </w:r>
    </w:p>
    <w:p w14:paraId="114430BF" w14:textId="77777777" w:rsidR="00B359A8" w:rsidRPr="00797FC2" w:rsidRDefault="00000000">
      <w:pPr>
        <w:pStyle w:val="Heading1"/>
        <w:spacing w:before="480" w:after="280" w:line="360" w:lineRule="auto"/>
        <w:rPr>
          <w:lang w:val="pt-BR"/>
        </w:rPr>
      </w:pPr>
      <w:bookmarkStart w:id="33" w:name="_Toc240223084"/>
      <w:r w:rsidRPr="00797FC2">
        <w:rPr>
          <w:lang w:val="pt-BR"/>
        </w:rPr>
        <w:t>10 REFERÊNCIAS BIBLIOGRÁFICAS</w:t>
      </w:r>
      <w:bookmarkEnd w:id="33"/>
    </w:p>
    <w:p w14:paraId="000ED260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AGÊNCIA NACIONAL DE ENERGIA ELÉTRICA. </w:t>
      </w:r>
      <w:r w:rsidRPr="00797FC2">
        <w:rPr>
          <w:b/>
          <w:bCs/>
          <w:lang w:val="pt-BR"/>
        </w:rPr>
        <w:t>Despacho nº 3.423, de 29 de novembro de 2022</w:t>
      </w:r>
      <w:r w:rsidRPr="00797FC2">
        <w:rPr>
          <w:lang w:val="pt-BR"/>
        </w:rPr>
        <w:t>: aprova o manual de instruções do art. 474 da Resolução Normativa nº 1.000/2021, para operacionalizar o faturamento destinado à iluminação pública caso sejam instalados sistemas de gestão. Brasília: ANEEL, 2022. Disponível em: https://www.gov.br/aneel/pt-br/assuntos/iluminacao-publica. Acesso em: 12 set. 2026.</w:t>
      </w:r>
    </w:p>
    <w:p w14:paraId="53A96F30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ALVES, Maria Abadia; DIAS, Ricardo Cunha; SEIXAS, Paulo Castro. Smart Cities no Brasil e em Portugal: o estado da arte. </w:t>
      </w:r>
      <w:r w:rsidRPr="00797FC2">
        <w:rPr>
          <w:b/>
          <w:bCs/>
          <w:lang w:val="pt-BR"/>
        </w:rPr>
        <w:t>urbe. Revista Brasileira de Gestão Urbana</w:t>
      </w:r>
      <w:r w:rsidRPr="00797FC2">
        <w:rPr>
          <w:lang w:val="pt-BR"/>
        </w:rPr>
        <w:t>, v. 11, e20190061, 2019. DOI: 10.1590/2175-3369.011.e20190061.</w:t>
      </w:r>
    </w:p>
    <w:p w14:paraId="261B54C4" w14:textId="77777777" w:rsidR="00B359A8" w:rsidRDefault="00000000">
      <w:pPr>
        <w:spacing w:after="160"/>
      </w:pPr>
      <w:r w:rsidRPr="00797FC2">
        <w:rPr>
          <w:lang w:val="pt-BR"/>
        </w:rPr>
        <w:t xml:space="preserve">ANTHONY JNR, Bokolo. </w:t>
      </w:r>
      <w:r>
        <w:t xml:space="preserve">Enabling seamless interoperability of digital systems in smart cities using API: a systematic literature review. </w:t>
      </w:r>
      <w:r>
        <w:rPr>
          <w:b/>
          <w:bCs/>
        </w:rPr>
        <w:t>Journal of Urban Technology</w:t>
      </w:r>
      <w:r>
        <w:t>, v. 31, n. 4-5, p. 123-156, 2024. DOI: 10.1080/10630732.2024.2427543.</w:t>
      </w:r>
    </w:p>
    <w:p w14:paraId="018F9988" w14:textId="77777777" w:rsidR="00B359A8" w:rsidRPr="00797FC2" w:rsidRDefault="00000000">
      <w:pPr>
        <w:spacing w:after="160"/>
        <w:rPr>
          <w:lang w:val="pt-BR"/>
        </w:rPr>
      </w:pPr>
      <w:r>
        <w:t xml:space="preserve">ASKOLA, Janne et al. Effect of adaptive control on the LED street luminaire lifetime and on the lifecycle costs of a lighting installation. </w:t>
      </w:r>
      <w:r w:rsidRPr="00797FC2">
        <w:rPr>
          <w:b/>
          <w:bCs/>
          <w:lang w:val="pt-BR"/>
        </w:rPr>
        <w:t>Lighting Research &amp; Technology</w:t>
      </w:r>
      <w:r w:rsidRPr="00797FC2">
        <w:rPr>
          <w:lang w:val="pt-BR"/>
        </w:rPr>
        <w:t>, v. 54, n. 1, p. 75-89, 2022. DOI: 10.1177/14771535211008179.</w:t>
      </w:r>
    </w:p>
    <w:p w14:paraId="7D019DF7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ASSOCIAÇÃO BRASILEIRA DAS CONCESSIONÁRIAS DE ILUMINAÇÃO PÚBLICA. </w:t>
      </w:r>
      <w:r w:rsidRPr="00797FC2">
        <w:rPr>
          <w:b/>
          <w:bCs/>
          <w:lang w:val="pt-BR"/>
        </w:rPr>
        <w:t>Censo da iluminação pública no Brasil</w:t>
      </w:r>
      <w:r w:rsidRPr="00797FC2">
        <w:rPr>
          <w:lang w:val="pt-BR"/>
        </w:rPr>
        <w:t>: base 2023. Brasília: ABCIP, set. 2024. Elaborado a partir da Base de Dados Geográfica da Distribuidora da ANEEL. Disponível em: https://abcip.com.br/publicacoes/. Acesso em: 13 set. 2026.</w:t>
      </w:r>
    </w:p>
    <w:p w14:paraId="42160956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ASSOCIAÇÃO BRASILEIRA DE NORMAS TÉCNICAS. </w:t>
      </w:r>
      <w:r w:rsidRPr="00797FC2">
        <w:rPr>
          <w:b/>
          <w:bCs/>
          <w:lang w:val="pt-BR"/>
        </w:rPr>
        <w:t>NBR 5101</w:t>
      </w:r>
      <w:r w:rsidRPr="00797FC2">
        <w:rPr>
          <w:lang w:val="pt-BR"/>
        </w:rPr>
        <w:t>: iluminação viária – procedimentos. 4. ed. Rio de Janeiro: ABNT, 2024. Versão corrigida 2, 20 set. 2024.</w:t>
      </w:r>
    </w:p>
    <w:p w14:paraId="62711051" w14:textId="77777777" w:rsidR="00B359A8" w:rsidRDefault="00000000">
      <w:pPr>
        <w:spacing w:after="160"/>
      </w:pPr>
      <w:r w:rsidRPr="00797FC2">
        <w:rPr>
          <w:lang w:val="pt-BR"/>
        </w:rPr>
        <w:t xml:space="preserve">BELLONI, Elisa et al. </w:t>
      </w:r>
      <w:r>
        <w:t xml:space="preserve">A new street lighting control algorithm based on forecasted traffic data for electricity consumption reduction. </w:t>
      </w:r>
      <w:r>
        <w:rPr>
          <w:b/>
          <w:bCs/>
        </w:rPr>
        <w:t>Lighting Research &amp; Technology</w:t>
      </w:r>
      <w:r>
        <w:t>, v. 56, n. 5, p. 481-501, 2024. DOI: 10.1177/14771535231194536.</w:t>
      </w:r>
    </w:p>
    <w:p w14:paraId="268BD8BB" w14:textId="77777777" w:rsidR="00B359A8" w:rsidRPr="00797FC2" w:rsidRDefault="00000000">
      <w:pPr>
        <w:spacing w:after="160"/>
        <w:rPr>
          <w:lang w:val="pt-BR"/>
        </w:rPr>
      </w:pPr>
      <w:r>
        <w:t xml:space="preserve">BUYUKKINACI, Bedrettin et al. Road lighting automation scenarios depending on traffic speed and volume. </w:t>
      </w:r>
      <w:r w:rsidRPr="00797FC2">
        <w:rPr>
          <w:b/>
          <w:bCs/>
          <w:lang w:val="pt-BR"/>
        </w:rPr>
        <w:t>Lighting Research &amp; Technology</w:t>
      </w:r>
      <w:r w:rsidRPr="00797FC2">
        <w:rPr>
          <w:lang w:val="pt-BR"/>
        </w:rPr>
        <w:t>, v. 51, n. 6, p. 910-921, 2019. DOI: 10.1177/1477153518812536.</w:t>
      </w:r>
    </w:p>
    <w:p w14:paraId="5E064796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BRASIL. </w:t>
      </w:r>
      <w:r w:rsidRPr="00797FC2">
        <w:rPr>
          <w:b/>
          <w:bCs/>
          <w:lang w:val="pt-BR"/>
        </w:rPr>
        <w:t>Lei nº 13.709, de 14 de agosto de 2018</w:t>
      </w:r>
      <w:r w:rsidRPr="00797FC2">
        <w:rPr>
          <w:lang w:val="pt-BR"/>
        </w:rPr>
        <w:t>. Lei Geral de Proteção de Dados Pessoais (LGPD). Brasília: Presidência da República, 2018. Disponível em: https://www.planalto.gov.br/ccivil_03/_ato2015-2018/2018/lei/l13709.htm. Acesso em: 13 set. 2026.</w:t>
      </w:r>
    </w:p>
    <w:p w14:paraId="31F53489" w14:textId="77777777" w:rsidR="00B359A8" w:rsidRDefault="00000000">
      <w:pPr>
        <w:spacing w:after="160"/>
      </w:pPr>
      <w:r>
        <w:lastRenderedPageBreak/>
        <w:t xml:space="preserve">CATLETT, Charlie E. et al. Array of Things: a scientific research instrument in the public way – platform design and early lessons learned. In: INTERNATIONAL WORKSHOP ON SCIENCE OF SMART CITY OPERATIONS AND PLATFORMS ENGINEERING, 2., 2017, Pittsburgh. </w:t>
      </w:r>
      <w:r>
        <w:rPr>
          <w:b/>
          <w:bCs/>
        </w:rPr>
        <w:t>Proceedings [...]</w:t>
      </w:r>
      <w:r>
        <w:t>. New York: ACM, 2017. p. 26-33. DOI: 10.1145/3063386.3063771.</w:t>
      </w:r>
    </w:p>
    <w:p w14:paraId="26ED4CF4" w14:textId="77777777" w:rsidR="00B359A8" w:rsidRDefault="00000000">
      <w:pPr>
        <w:spacing w:after="160"/>
      </w:pPr>
      <w:r>
        <w:t xml:space="preserve">COMMISSION INTERNATIONALE DE L'ÉCLAIRAGE. </w:t>
      </w:r>
      <w:r>
        <w:rPr>
          <w:b/>
          <w:bCs/>
        </w:rPr>
        <w:t>CIE 115:2010</w:t>
      </w:r>
      <w:r>
        <w:t>: lighting of roads for motor and pedestrian traffic. 2. ed. Viena: CIE, 2010.</w:t>
      </w:r>
    </w:p>
    <w:p w14:paraId="78ADF6AB" w14:textId="77777777" w:rsidR="00B359A8" w:rsidRPr="00797FC2" w:rsidRDefault="00000000">
      <w:pPr>
        <w:spacing w:after="160"/>
        <w:rPr>
          <w:lang w:val="pt-BR"/>
        </w:rPr>
      </w:pPr>
      <w:r>
        <w:t xml:space="preserve">DIZON, Excel; PRANGGONO, Bernardi. Smart streetlights in Smart City: a case study of Sheffield. </w:t>
      </w:r>
      <w:r>
        <w:rPr>
          <w:b/>
          <w:bCs/>
        </w:rPr>
        <w:t>Journal of Ambient Intelligence and Humanized Computing</w:t>
      </w:r>
      <w:r>
        <w:t xml:space="preserve">, v. 13, n. 4, p. 2045-2060, 2022. </w:t>
      </w:r>
      <w:r w:rsidRPr="00797FC2">
        <w:rPr>
          <w:lang w:val="pt-BR"/>
        </w:rPr>
        <w:t>DOI: 10.1007/s12652-021-02970-y.</w:t>
      </w:r>
    </w:p>
    <w:p w14:paraId="44DCE9A5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ESPRESSIF SYSTEMS. </w:t>
      </w:r>
      <w:r w:rsidRPr="00797FC2">
        <w:rPr>
          <w:b/>
          <w:bCs/>
          <w:lang w:val="pt-BR"/>
        </w:rPr>
        <w:t>ESP32 series datasheet</w:t>
      </w:r>
      <w:r w:rsidRPr="00797FC2">
        <w:rPr>
          <w:lang w:val="pt-BR"/>
        </w:rPr>
        <w:t>. Versão 4.3. Xangai: Espressif Systems, 2023.</w:t>
      </w:r>
    </w:p>
    <w:p w14:paraId="69FC2B97" w14:textId="77777777" w:rsidR="00B359A8" w:rsidRDefault="00000000">
      <w:pPr>
        <w:spacing w:after="160"/>
      </w:pPr>
      <w:r w:rsidRPr="00797FC2">
        <w:rPr>
          <w:lang w:val="pt-BR"/>
        </w:rPr>
        <w:t xml:space="preserve">FRANÇA FILHO, Cleunio; TAVARES, Eduardo. </w:t>
      </w:r>
      <w:r>
        <w:t xml:space="preserve">Stochastic modeling of smart street lighting systems: maintenance models assessment. </w:t>
      </w:r>
      <w:r>
        <w:rPr>
          <w:b/>
          <w:bCs/>
        </w:rPr>
        <w:t>Computing</w:t>
      </w:r>
      <w:r>
        <w:t>, v. 107, n. 1, art. 19, 2025. DOI: 10.1007/s00607-024-01359-x.</w:t>
      </w:r>
    </w:p>
    <w:p w14:paraId="0A213918" w14:textId="77777777" w:rsidR="00B359A8" w:rsidRPr="00797FC2" w:rsidRDefault="00000000">
      <w:pPr>
        <w:spacing w:after="160"/>
        <w:rPr>
          <w:lang w:val="pt-BR"/>
        </w:rPr>
      </w:pPr>
      <w:r>
        <w:t xml:space="preserve">GALIČ, Maša; GELLERT, Raphaël. Data protection law beyond identifiability? Atmospheric profiles, nudging and the </w:t>
      </w:r>
      <w:proofErr w:type="spellStart"/>
      <w:r>
        <w:t>Stratumseind</w:t>
      </w:r>
      <w:proofErr w:type="spellEnd"/>
      <w:r>
        <w:t xml:space="preserve"> Living Lab. </w:t>
      </w:r>
      <w:r>
        <w:rPr>
          <w:b/>
          <w:bCs/>
        </w:rPr>
        <w:t>Computer Law &amp; Security Review</w:t>
      </w:r>
      <w:r>
        <w:t xml:space="preserve">, v. 40, art. 105486, 2021. </w:t>
      </w:r>
      <w:r w:rsidRPr="00797FC2">
        <w:rPr>
          <w:lang w:val="pt-BR"/>
        </w:rPr>
        <w:t>DOI: 10.1016/j.clsr.2020.105486.</w:t>
      </w:r>
    </w:p>
    <w:p w14:paraId="3797FD26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HIROKI, Stella Marina Yurí. Mobilidade, participação e dados: o caso da aplicação do Waze for Cities Data na cidade de Joinville (SC). </w:t>
      </w:r>
      <w:r w:rsidRPr="00797FC2">
        <w:rPr>
          <w:b/>
          <w:bCs/>
          <w:lang w:val="pt-BR"/>
        </w:rPr>
        <w:t>urbe. Revista Brasileira de Gestão Urbana</w:t>
      </w:r>
      <w:r w:rsidRPr="00797FC2">
        <w:rPr>
          <w:lang w:val="pt-BR"/>
        </w:rPr>
        <w:t>, v. 13, e20200030, 2021. DOI: 10.1590/2175-3369.013.e20200030.</w:t>
      </w:r>
    </w:p>
    <w:p w14:paraId="5CD773D1" w14:textId="77777777" w:rsidR="00B359A8" w:rsidRDefault="00000000">
      <w:pPr>
        <w:spacing w:after="160"/>
      </w:pPr>
      <w:r w:rsidRPr="00797FC2">
        <w:rPr>
          <w:lang w:val="pt-BR"/>
        </w:rPr>
        <w:t xml:space="preserve">LIN, Jie et al. </w:t>
      </w:r>
      <w:r>
        <w:t xml:space="preserve">A survey on Internet of Things: architecture, enabling technologies, security and privacy, and applications. </w:t>
      </w:r>
      <w:r>
        <w:rPr>
          <w:b/>
          <w:bCs/>
        </w:rPr>
        <w:t>IEEE Internet of Things Journal</w:t>
      </w:r>
      <w:r>
        <w:t>, v. 4, n. 5, p. 1125-1142, 2017. DOI: 10.1109/JIOT.2017.2683200.</w:t>
      </w:r>
    </w:p>
    <w:p w14:paraId="50831109" w14:textId="77777777" w:rsidR="00B359A8" w:rsidRPr="00797FC2" w:rsidRDefault="00000000">
      <w:pPr>
        <w:spacing w:after="160"/>
        <w:rPr>
          <w:lang w:val="pt-BR"/>
        </w:rPr>
      </w:pPr>
      <w:r>
        <w:t xml:space="preserve">MAMDANI, Ebrahim H.; ASSILIAN, Sedrak. An experiment in linguistic synthesis with a fuzzy logic controller. </w:t>
      </w:r>
      <w:r w:rsidRPr="00797FC2">
        <w:rPr>
          <w:b/>
          <w:bCs/>
          <w:lang w:val="pt-BR"/>
        </w:rPr>
        <w:t>International Journal of Man-Machine Studies</w:t>
      </w:r>
      <w:r w:rsidRPr="00797FC2">
        <w:rPr>
          <w:lang w:val="pt-BR"/>
        </w:rPr>
        <w:t>, v. 7, n. 1, p. 1-13, 1975.</w:t>
      </w:r>
    </w:p>
    <w:p w14:paraId="4F3166A0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NIPE – NÚCLEO INTERDISCIPLINAR DE PLANEJAMENTO ENERGÉTICO. </w:t>
      </w:r>
      <w:r w:rsidRPr="00797FC2">
        <w:rPr>
          <w:b/>
          <w:bCs/>
          <w:lang w:val="pt-BR"/>
        </w:rPr>
        <w:t>CePIL participa de cerimônia de entrega de dispositivos de telegestão para projeto de iluminação na Unicamp</w:t>
      </w:r>
      <w:r w:rsidRPr="00797FC2">
        <w:rPr>
          <w:lang w:val="pt-BR"/>
        </w:rPr>
        <w:t>. Campinas: NIPE/Unicamp, 27 jan. 2026. Disponível em: https://www.nipe.unicamp.br/2026/01/27/cepil-participa-de-cerimonia-de-entrega-dos-dispositivos-de-telegestao/. Acesso em: 12 set. 2026.</w:t>
      </w:r>
    </w:p>
    <w:p w14:paraId="353AF898" w14:textId="77777777" w:rsidR="00B359A8" w:rsidRDefault="00000000">
      <w:pPr>
        <w:spacing w:after="160"/>
      </w:pPr>
      <w:r w:rsidRPr="00797FC2">
        <w:rPr>
          <w:lang w:val="pt-BR"/>
        </w:rPr>
        <w:t xml:space="preserve">NOGUEIRA, Bruno César. </w:t>
      </w:r>
      <w:r w:rsidRPr="00797FC2">
        <w:rPr>
          <w:b/>
          <w:bCs/>
          <w:lang w:val="pt-BR"/>
        </w:rPr>
        <w:t>Uma proposta de adaptação dinâmica da iluminação urbana baseada em IoT e DCOP</w:t>
      </w:r>
      <w:r w:rsidRPr="00797FC2">
        <w:rPr>
          <w:lang w:val="pt-BR"/>
        </w:rPr>
        <w:t xml:space="preserve">. 2024. Dissertação (Mestrado) – Universidade Federal Fluminense, Niterói, 2024. Disponível na Biblioteca Digital Brasileira de Teses e Dissertações em: https://bdtd.ibict.br/vufind/Record/MB_26af3fc1de96227a6a1aa0392ba78ed0.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325FAB59" w14:textId="77777777" w:rsidR="00B359A8" w:rsidRPr="00797FC2" w:rsidRDefault="00000000">
      <w:pPr>
        <w:spacing w:after="160"/>
        <w:rPr>
          <w:lang w:val="pt-BR"/>
        </w:rPr>
      </w:pPr>
      <w:r>
        <w:t xml:space="preserve">OASIS. </w:t>
      </w:r>
      <w:r>
        <w:rPr>
          <w:b/>
          <w:bCs/>
        </w:rPr>
        <w:t>MQTT Version 5.0</w:t>
      </w:r>
      <w:r>
        <w:t xml:space="preserve">: OASIS Standard. Burlington: OASIS Open, 2019. </w:t>
      </w:r>
      <w:r w:rsidRPr="00797FC2">
        <w:rPr>
          <w:lang w:val="pt-BR"/>
        </w:rPr>
        <w:t>Disponível em: https://docs.oasis-open.org/mqtt/mqtt/v5.0/mqtt-v5.0.html. Acesso em: 12 set. 2026.</w:t>
      </w:r>
    </w:p>
    <w:p w14:paraId="1B3D3DCA" w14:textId="77777777" w:rsidR="00B359A8" w:rsidRDefault="00000000">
      <w:pPr>
        <w:spacing w:after="160"/>
      </w:pPr>
      <w:r w:rsidRPr="00797FC2">
        <w:rPr>
          <w:lang w:val="pt-BR"/>
        </w:rPr>
        <w:t xml:space="preserve">OLIVEIRA, Cyntia Barbosa; FAGUNDES, Mari Cristina de Freitas; SPOLLE, Marcus Vinicius. Racismo digital e gestão populacional: uma análise sobre câmeras com </w:t>
      </w:r>
      <w:r w:rsidRPr="00797FC2">
        <w:rPr>
          <w:lang w:val="pt-BR"/>
        </w:rPr>
        <w:lastRenderedPageBreak/>
        <w:t xml:space="preserve">reconhecimento facial. </w:t>
      </w:r>
      <w:r>
        <w:rPr>
          <w:b/>
          <w:bCs/>
        </w:rPr>
        <w:t>Mosaico</w:t>
      </w:r>
      <w:r>
        <w:t>, v. 17, n. 27, e1727202546, 2025. DOI: 10.12660/</w:t>
      </w:r>
      <w:proofErr w:type="gramStart"/>
      <w:r>
        <w:t>rm.v</w:t>
      </w:r>
      <w:proofErr w:type="gramEnd"/>
      <w:r>
        <w:t>17n27.2025.92355.</w:t>
      </w:r>
    </w:p>
    <w:p w14:paraId="17783AAA" w14:textId="77777777" w:rsidR="00B359A8" w:rsidRDefault="00000000">
      <w:pPr>
        <w:spacing w:after="160"/>
      </w:pPr>
      <w:r>
        <w:t xml:space="preserve">PERRY, Tekla S. Cops tap smart streetlights, sparking controversy and legislation. </w:t>
      </w:r>
      <w:r w:rsidRPr="00797FC2">
        <w:rPr>
          <w:b/>
          <w:bCs/>
          <w:lang w:val="pt-BR"/>
        </w:rPr>
        <w:t>IEEE Spectrum</w:t>
      </w:r>
      <w:r w:rsidRPr="00797FC2">
        <w:rPr>
          <w:lang w:val="pt-BR"/>
        </w:rPr>
        <w:t xml:space="preserve">, 8 ago. 2020. Disponível em: https://spectrum.ieee.org/cops-smart-street-lights.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7A6F3BC9" w14:textId="77777777" w:rsidR="00B359A8" w:rsidRDefault="00000000">
      <w:pPr>
        <w:spacing w:after="160"/>
      </w:pPr>
      <w:r>
        <w:t xml:space="preserve">PICKERING, Lynn; COHEN, Kelly; DE BAETS, Bernard. A narrative review on the interpretability of fuzzy rule-based models from a modern interpretable machine learning perspective. </w:t>
      </w:r>
      <w:r>
        <w:rPr>
          <w:b/>
          <w:bCs/>
        </w:rPr>
        <w:t>International Journal of Fuzzy Systems</w:t>
      </w:r>
      <w:r>
        <w:t>, v. 28, n. 4, p. 1313-1332, 2026. DOI: 10.1007/s40815-025-02022-z.</w:t>
      </w:r>
    </w:p>
    <w:p w14:paraId="1855786C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REIA, Jess; CRUZ, Luã. Cidades inteligentes no Brasil: conexões entre poder corporativo, direitos e engajamento cívico. </w:t>
      </w:r>
      <w:r w:rsidRPr="00797FC2">
        <w:rPr>
          <w:b/>
          <w:bCs/>
          <w:lang w:val="pt-BR"/>
        </w:rPr>
        <w:t>Cadernos Metrópole</w:t>
      </w:r>
      <w:r w:rsidRPr="00797FC2">
        <w:rPr>
          <w:lang w:val="pt-BR"/>
        </w:rPr>
        <w:t>, v. 25, n. 57, p. 467-490, 2023. DOI: 10.1590/2236-9996.2023-5705.</w:t>
      </w:r>
    </w:p>
    <w:p w14:paraId="21F97804" w14:textId="77777777" w:rsidR="00B359A8" w:rsidRDefault="00000000">
      <w:pPr>
        <w:spacing w:after="160"/>
      </w:pPr>
      <w:r w:rsidRPr="00797FC2">
        <w:rPr>
          <w:lang w:val="pt-BR"/>
        </w:rPr>
        <w:t xml:space="preserve">RIBEIRO, Maria Carolina Hernandez. </w:t>
      </w:r>
      <w:r w:rsidRPr="00797FC2">
        <w:rPr>
          <w:b/>
          <w:bCs/>
          <w:lang w:val="pt-BR"/>
        </w:rPr>
        <w:t>Projeto de iluminação pública da Unicamp prevê redução de custos e de consumo energético</w:t>
      </w:r>
      <w:r w:rsidRPr="00797FC2">
        <w:rPr>
          <w:lang w:val="pt-BR"/>
        </w:rPr>
        <w:t xml:space="preserve">. Campinas: Portal Unicamp, 28 jan. 2026. Disponível em: https://www.unicamp.br/noticias/2026/01/28/projeto-de-iluminacao-publica-da-unicamp-preve-reducao-de-custos-e-de-consumo-energetico/.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12 set. 2026.</w:t>
      </w:r>
    </w:p>
    <w:p w14:paraId="7A7DEE71" w14:textId="77777777" w:rsidR="00B359A8" w:rsidRDefault="00000000">
      <w:pPr>
        <w:spacing w:after="160"/>
      </w:pPr>
      <w:r>
        <w:t xml:space="preserve">RUDIN, Cynthia. Stop explaining black box machine learning models for </w:t>
      </w:r>
      <w:proofErr w:type="gramStart"/>
      <w:r>
        <w:t>high stakes</w:t>
      </w:r>
      <w:proofErr w:type="gramEnd"/>
      <w:r>
        <w:t xml:space="preserve"> decisions and use interpretable models instead. </w:t>
      </w:r>
      <w:r>
        <w:rPr>
          <w:b/>
          <w:bCs/>
        </w:rPr>
        <w:t>Nature Machine Intelligence</w:t>
      </w:r>
      <w:r>
        <w:t>, v. 1, n. 5, p. 206-215, 2019. DOI: 10.1038/s42256-019-0048-x.</w:t>
      </w:r>
    </w:p>
    <w:p w14:paraId="4C315FB5" w14:textId="77777777" w:rsidR="00B359A8" w:rsidRPr="00797FC2" w:rsidRDefault="00000000">
      <w:pPr>
        <w:spacing w:after="160"/>
        <w:rPr>
          <w:lang w:val="pt-BR"/>
        </w:rPr>
      </w:pPr>
      <w:r>
        <w:t xml:space="preserve">SANCHEZ, Luis et al. </w:t>
      </w:r>
      <w:proofErr w:type="spellStart"/>
      <w:r>
        <w:t>SmartSantander</w:t>
      </w:r>
      <w:proofErr w:type="spellEnd"/>
      <w:r>
        <w:t xml:space="preserve">: IoT experimentation over a smart city testbed. </w:t>
      </w:r>
      <w:r w:rsidRPr="00797FC2">
        <w:rPr>
          <w:b/>
          <w:bCs/>
          <w:lang w:val="pt-BR"/>
        </w:rPr>
        <w:t>Computer Networks</w:t>
      </w:r>
      <w:r w:rsidRPr="00797FC2">
        <w:rPr>
          <w:lang w:val="pt-BR"/>
        </w:rPr>
        <w:t>, v. 61, p. 217-238, 2014. DOI: 10.1016/j.bjp.2013.12.020.</w:t>
      </w:r>
    </w:p>
    <w:p w14:paraId="1D3189EF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Contrato de Concessão nº 003/SMSO/2018</w:t>
      </w:r>
      <w:r w:rsidRPr="00797FC2">
        <w:rPr>
          <w:lang w:val="pt-BR"/>
        </w:rPr>
        <w:t>: parceria público-privada na modalidade de concessão administrativa para modernização, otimização, expansão, operação, manutenção e controle remoto e em tempo real da infraestrutura da rede de iluminação pública do Município de São Paulo. São Paulo: Prefeitura do Município de São Paulo, 2018a. Originado da Concorrência Internacional nº 01/SES/2015. Contrato e termos aditivos disponíveis em: https://prefeitura.sp.gov.br/web/spregula/iluminacao_publica/contratos/. Acesso em: 13 set. 2026.</w:t>
      </w:r>
    </w:p>
    <w:p w14:paraId="10854DE0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Anexo III do Contrato – Caderno de Encargos da Concessionária</w:t>
      </w:r>
      <w:r w:rsidRPr="00797FC2">
        <w:rPr>
          <w:lang w:val="pt-BR"/>
        </w:rPr>
        <w:t>. Concorrência Internacional nº 01/SES/2015. São Paulo: Secretaria Municipal de Serviços, 2015. Edital republicado e seus anexos disponíveis em: https://prefeitura.sp.gov.br/web/spregula/w/iluminacao_publica/noticias/206645. Acesso em: 13 set. 2026.</w:t>
      </w:r>
    </w:p>
    <w:p w14:paraId="650938C1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Prefeitura assina contrato com consórcio responsável pela modernização da iluminação pública</w:t>
      </w:r>
      <w:r w:rsidRPr="00797FC2">
        <w:rPr>
          <w:lang w:val="pt-BR"/>
        </w:rPr>
        <w:t>. São Paulo: Prefeitura do Município de São Paulo, 2018b. Disponível em: https://prefeitura.sp.gov.br/w/noticia/prefeitura-assina-contrato-com-consorcio-responsavel-pela-modernizacao-da-iluminacao-publica. Acesso em: 12 set. 2026.</w:t>
      </w:r>
    </w:p>
    <w:p w14:paraId="2DD32EAA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Prefeitura avança na modernização com LED da rede de iluminação pública de São Paulo</w:t>
      </w:r>
      <w:r w:rsidRPr="00797FC2">
        <w:rPr>
          <w:lang w:val="pt-BR"/>
        </w:rPr>
        <w:t>. São Paulo: Prefeitura do Município de São Paulo, 8 out. 2021. Disponível em: https://prefeitura.sp.gov.br/w/noticia/prefeitura-</w:t>
      </w:r>
      <w:r w:rsidRPr="00797FC2">
        <w:rPr>
          <w:lang w:val="pt-BR"/>
        </w:rPr>
        <w:lastRenderedPageBreak/>
        <w:t>avanca-na-modernizacao-com-led-da-rede-de-iluminacao-publica-de-sao-paulo. Acesso em: 13 set. 2026.</w:t>
      </w:r>
    </w:p>
    <w:p w14:paraId="19B1EE7A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Programa Smart Sampa atinge meta para 2025 e já soma 40 mil câmeras integradas</w:t>
      </w:r>
      <w:r w:rsidRPr="00797FC2">
        <w:rPr>
          <w:lang w:val="pt-BR"/>
        </w:rPr>
        <w:t>. São Paulo: Secretaria Municipal de Segurança Urbana, 19 set. 2025. Disponível em: https://prefeitura.sp.gov.br/web/seguranca_urbana/w/programa-smart-sampa-atinge-meta-para-2025-e-já-soma-40-mil-câmeras-integradas-ao-maior-sistema-de-monitoramento-da-américa-latina. Acesso em: 13 set. 2026.</w:t>
      </w:r>
    </w:p>
    <w:p w14:paraId="5A167312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Termo de Referência – Plataforma Smart Sampa (Anexo A)</w:t>
      </w:r>
      <w:r w:rsidRPr="00797FC2">
        <w:rPr>
          <w:lang w:val="pt-BR"/>
        </w:rPr>
        <w:t>. São Paulo: Secretaria Municipal de Segurança Urbana, 2022. Versão submetida a consulta pública virtual entre 12 e 31 de agosto de 2022, na plataforma Participe+. Anexos II, IV, V e VIII. Disponível em: https://participemais.prefeitura.sp.gov.br/legislation/processes/209/topics. Acesso em: 13 set. 2026.</w:t>
      </w:r>
    </w:p>
    <w:p w14:paraId="2A494E96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Termo de Contrato nº 032/SMSU/2023</w:t>
      </w:r>
      <w:r w:rsidRPr="00797FC2">
        <w:rPr>
          <w:lang w:val="pt-BR"/>
        </w:rPr>
        <w:t>: Programa Smart Sampa. Contratada: Consórcio Smart City SP. São Paulo: Secretaria Municipal de Segurança Urbana, 7 ago. 2023. Originado do Pregão Eletrônico nº 079/SMSU/2022, processo 6029.2021/0015253-1. Disponível em: https://prefeitura.sp.gov.br/web/seguranca_urbana/w/menu/366662. Acesso em: 13 set. 2026.</w:t>
      </w:r>
    </w:p>
    <w:p w14:paraId="59588A30" w14:textId="77777777" w:rsidR="00B359A8" w:rsidRPr="00797FC2" w:rsidRDefault="00000000">
      <w:pPr>
        <w:spacing w:after="160"/>
        <w:rPr>
          <w:lang w:val="pt-BR"/>
        </w:rPr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Portal de dados abertos da cidade de São Paulo</w:t>
      </w:r>
      <w:r w:rsidRPr="00797FC2">
        <w:rPr>
          <w:lang w:val="pt-BR"/>
        </w:rPr>
        <w:t>. São Paulo: Prefeitura do Município de São Paulo, 2026. Disponível em: https://dados.prefeitura.sp.gov.br/. Acesso em: 12 set. 2026.</w:t>
      </w:r>
    </w:p>
    <w:p w14:paraId="34BA2808" w14:textId="77777777" w:rsidR="00B359A8" w:rsidRDefault="00000000">
      <w:pPr>
        <w:spacing w:after="160"/>
      </w:pPr>
      <w:r w:rsidRPr="00797FC2">
        <w:rPr>
          <w:lang w:val="pt-BR"/>
        </w:rPr>
        <w:t xml:space="preserve">SÃO PAULO (Município). </w:t>
      </w:r>
      <w:r w:rsidRPr="00797FC2">
        <w:rPr>
          <w:b/>
          <w:bCs/>
          <w:lang w:val="pt-BR"/>
        </w:rPr>
        <w:t>Termos de aditamento ao Contrato de Concessão nº 003/SMSO/2018</w:t>
      </w:r>
      <w:r w:rsidRPr="00797FC2">
        <w:rPr>
          <w:lang w:val="pt-BR"/>
        </w:rPr>
        <w:t xml:space="preserve">. São Paulo: SP Regula – Agência Reguladora de Serviços Públicos do Município de São Paulo, 2019-2022. Disponível em: https://prefeitura.sp.gov.br/web/spregula/iluminacao_publica/contratos/.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13 set. 2026.</w:t>
      </w:r>
    </w:p>
    <w:p w14:paraId="649E9784" w14:textId="77777777" w:rsidR="00B359A8" w:rsidRDefault="00000000">
      <w:pPr>
        <w:spacing w:after="160"/>
      </w:pPr>
      <w:r>
        <w:t xml:space="preserve">ZADEH, Lotfi A. Fuzzy sets. </w:t>
      </w:r>
      <w:r>
        <w:rPr>
          <w:b/>
          <w:bCs/>
        </w:rPr>
        <w:t>Information and Control</w:t>
      </w:r>
      <w:r>
        <w:t>, v. 8, n. 3, p. 338-353, 1965.</w:t>
      </w:r>
    </w:p>
    <w:p w14:paraId="33279046" w14:textId="77777777" w:rsidR="00B359A8" w:rsidRPr="00797FC2" w:rsidRDefault="00000000">
      <w:pPr>
        <w:spacing w:before="240" w:after="240" w:line="360" w:lineRule="auto"/>
        <w:jc w:val="center"/>
        <w:rPr>
          <w:lang w:val="pt-BR"/>
        </w:rPr>
      </w:pPr>
      <w:r w:rsidRPr="00797FC2">
        <w:rPr>
          <w:b/>
          <w:bCs/>
          <w:i/>
          <w:iCs/>
          <w:lang w:val="pt-BR"/>
        </w:rPr>
        <w:t>COMPONENTES DO GRUPO</w:t>
      </w:r>
    </w:p>
    <w:p w14:paraId="0FD6A7CC" w14:textId="77777777" w:rsidR="00B359A8" w:rsidRPr="00797FC2" w:rsidRDefault="00000000">
      <w:pPr>
        <w:tabs>
          <w:tab w:val="left" w:pos="3600"/>
        </w:tabs>
        <w:spacing w:after="180" w:line="360" w:lineRule="auto"/>
        <w:rPr>
          <w:lang w:val="pt-BR"/>
        </w:rPr>
      </w:pPr>
      <w:r w:rsidRPr="00797FC2">
        <w:rPr>
          <w:b/>
          <w:bCs/>
          <w:i/>
          <w:iCs/>
          <w:lang w:val="pt-BR"/>
        </w:rPr>
        <w:t>RA</w:t>
      </w:r>
      <w:r w:rsidRPr="00797FC2">
        <w:rPr>
          <w:b/>
          <w:bCs/>
          <w:i/>
          <w:iCs/>
          <w:lang w:val="pt-BR"/>
        </w:rPr>
        <w:tab/>
        <w:t>NOME</w:t>
      </w:r>
    </w:p>
    <w:p w14:paraId="38EFF2D5" w14:textId="77777777" w:rsidR="00B359A8" w:rsidRPr="00797FC2" w:rsidRDefault="00000000">
      <w:pPr>
        <w:tabs>
          <w:tab w:val="left" w:pos="3600"/>
        </w:tabs>
        <w:spacing w:after="180" w:line="360" w:lineRule="auto"/>
        <w:rPr>
          <w:lang w:val="pt-BR"/>
        </w:rPr>
      </w:pPr>
      <w:r w:rsidRPr="00797FC2">
        <w:rPr>
          <w:lang w:val="pt-BR"/>
        </w:rPr>
        <w:t>N309EC4</w:t>
      </w:r>
      <w:r w:rsidRPr="00797FC2">
        <w:rPr>
          <w:lang w:val="pt-BR"/>
        </w:rPr>
        <w:tab/>
        <w:t>Bruno Bonavigo Dacal</w:t>
      </w:r>
    </w:p>
    <w:p w14:paraId="6843B848" w14:textId="77777777" w:rsidR="00B359A8" w:rsidRPr="00797FC2" w:rsidRDefault="00000000">
      <w:pPr>
        <w:tabs>
          <w:tab w:val="left" w:pos="3600"/>
        </w:tabs>
        <w:spacing w:after="180" w:line="360" w:lineRule="auto"/>
        <w:rPr>
          <w:lang w:val="pt-BR"/>
        </w:rPr>
      </w:pPr>
      <w:r w:rsidRPr="00797FC2">
        <w:rPr>
          <w:lang w:val="pt-BR"/>
        </w:rPr>
        <w:t>N090758</w:t>
      </w:r>
      <w:r w:rsidRPr="00797FC2">
        <w:rPr>
          <w:lang w:val="pt-BR"/>
        </w:rPr>
        <w:tab/>
        <w:t>Lucas de Araujo Vergara</w:t>
      </w:r>
    </w:p>
    <w:p w14:paraId="0901995F" w14:textId="77777777" w:rsidR="00B359A8" w:rsidRPr="00797FC2" w:rsidRDefault="00000000">
      <w:pPr>
        <w:tabs>
          <w:tab w:val="left" w:pos="3600"/>
        </w:tabs>
        <w:spacing w:after="180" w:line="360" w:lineRule="auto"/>
        <w:rPr>
          <w:lang w:val="pt-BR"/>
        </w:rPr>
      </w:pPr>
      <w:r w:rsidRPr="00797FC2">
        <w:rPr>
          <w:lang w:val="pt-BR"/>
        </w:rPr>
        <w:t>N083DG1</w:t>
      </w:r>
      <w:r w:rsidRPr="00797FC2">
        <w:rPr>
          <w:lang w:val="pt-BR"/>
        </w:rPr>
        <w:tab/>
        <w:t>Vitor Oliveira dos Santos</w:t>
      </w:r>
    </w:p>
    <w:p w14:paraId="1D65849E" w14:textId="77777777" w:rsidR="00B359A8" w:rsidRDefault="00000000">
      <w:pPr>
        <w:tabs>
          <w:tab w:val="left" w:pos="3600"/>
        </w:tabs>
        <w:spacing w:after="180" w:line="360" w:lineRule="auto"/>
      </w:pPr>
      <w:r>
        <w:t>_______________</w:t>
      </w:r>
      <w:r>
        <w:tab/>
        <w:t>_________________________________</w:t>
      </w:r>
    </w:p>
    <w:sectPr w:rsidR="00B359A8">
      <w:head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3F9B3" w14:textId="77777777" w:rsidR="00E52EA9" w:rsidRDefault="00E52EA9">
      <w:r>
        <w:separator/>
      </w:r>
    </w:p>
  </w:endnote>
  <w:endnote w:type="continuationSeparator" w:id="0">
    <w:p w14:paraId="6DF25079" w14:textId="77777777" w:rsidR="00E52EA9" w:rsidRDefault="00E52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39253" w14:textId="77777777" w:rsidR="00E52EA9" w:rsidRDefault="00E52EA9">
      <w:r>
        <w:separator/>
      </w:r>
    </w:p>
  </w:footnote>
  <w:footnote w:type="continuationSeparator" w:id="0">
    <w:p w14:paraId="2E9FC27B" w14:textId="77777777" w:rsidR="00E52EA9" w:rsidRDefault="00E52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40A6" w14:textId="0B896B16" w:rsidR="00B359A8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97FC2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D472D"/>
    <w:multiLevelType w:val="hybridMultilevel"/>
    <w:tmpl w:val="885A8A7C"/>
    <w:lvl w:ilvl="0" w:tplc="4D4E223C">
      <w:start w:val="1"/>
      <w:numFmt w:val="lowerLetter"/>
      <w:lvlText w:val="%1)"/>
      <w:lvlJc w:val="left"/>
      <w:pPr>
        <w:ind w:left="1134" w:hanging="425"/>
      </w:pPr>
    </w:lvl>
    <w:lvl w:ilvl="1" w:tplc="AF40DB4A">
      <w:numFmt w:val="decimal"/>
      <w:lvlText w:val=""/>
      <w:lvlJc w:val="left"/>
    </w:lvl>
    <w:lvl w:ilvl="2" w:tplc="37E8449A">
      <w:numFmt w:val="decimal"/>
      <w:lvlText w:val=""/>
      <w:lvlJc w:val="left"/>
    </w:lvl>
    <w:lvl w:ilvl="3" w:tplc="55E0D240">
      <w:numFmt w:val="decimal"/>
      <w:lvlText w:val=""/>
      <w:lvlJc w:val="left"/>
    </w:lvl>
    <w:lvl w:ilvl="4" w:tplc="703E7ABE">
      <w:numFmt w:val="decimal"/>
      <w:lvlText w:val=""/>
      <w:lvlJc w:val="left"/>
    </w:lvl>
    <w:lvl w:ilvl="5" w:tplc="700A93C6">
      <w:numFmt w:val="decimal"/>
      <w:lvlText w:val=""/>
      <w:lvlJc w:val="left"/>
    </w:lvl>
    <w:lvl w:ilvl="6" w:tplc="A8AAFE84">
      <w:numFmt w:val="decimal"/>
      <w:lvlText w:val=""/>
      <w:lvlJc w:val="left"/>
    </w:lvl>
    <w:lvl w:ilvl="7" w:tplc="B6546878">
      <w:numFmt w:val="decimal"/>
      <w:lvlText w:val=""/>
      <w:lvlJc w:val="left"/>
    </w:lvl>
    <w:lvl w:ilvl="8" w:tplc="3510EDB2">
      <w:numFmt w:val="decimal"/>
      <w:lvlText w:val=""/>
      <w:lvlJc w:val="left"/>
    </w:lvl>
  </w:abstractNum>
  <w:abstractNum w:abstractNumId="1" w15:restartNumberingAfterBreak="0">
    <w:nsid w:val="44745C61"/>
    <w:multiLevelType w:val="hybridMultilevel"/>
    <w:tmpl w:val="D7AA0B8A"/>
    <w:lvl w:ilvl="0" w:tplc="3192FDE2">
      <w:start w:val="1"/>
      <w:numFmt w:val="bullet"/>
      <w:lvlText w:val="●"/>
      <w:lvlJc w:val="left"/>
      <w:pPr>
        <w:ind w:left="720" w:hanging="360"/>
      </w:pPr>
    </w:lvl>
    <w:lvl w:ilvl="1" w:tplc="94FE6408">
      <w:start w:val="1"/>
      <w:numFmt w:val="bullet"/>
      <w:lvlText w:val="○"/>
      <w:lvlJc w:val="left"/>
      <w:pPr>
        <w:ind w:left="1440" w:hanging="360"/>
      </w:pPr>
    </w:lvl>
    <w:lvl w:ilvl="2" w:tplc="E2149C96">
      <w:start w:val="1"/>
      <w:numFmt w:val="bullet"/>
      <w:lvlText w:val="■"/>
      <w:lvlJc w:val="left"/>
      <w:pPr>
        <w:ind w:left="2160" w:hanging="360"/>
      </w:pPr>
    </w:lvl>
    <w:lvl w:ilvl="3" w:tplc="C8388BA8">
      <w:start w:val="1"/>
      <w:numFmt w:val="bullet"/>
      <w:lvlText w:val="●"/>
      <w:lvlJc w:val="left"/>
      <w:pPr>
        <w:ind w:left="2880" w:hanging="360"/>
      </w:pPr>
    </w:lvl>
    <w:lvl w:ilvl="4" w:tplc="14569B34">
      <w:start w:val="1"/>
      <w:numFmt w:val="bullet"/>
      <w:lvlText w:val="○"/>
      <w:lvlJc w:val="left"/>
      <w:pPr>
        <w:ind w:left="3600" w:hanging="360"/>
      </w:pPr>
    </w:lvl>
    <w:lvl w:ilvl="5" w:tplc="87A2EC14">
      <w:start w:val="1"/>
      <w:numFmt w:val="bullet"/>
      <w:lvlText w:val="■"/>
      <w:lvlJc w:val="left"/>
      <w:pPr>
        <w:ind w:left="4320" w:hanging="360"/>
      </w:pPr>
    </w:lvl>
    <w:lvl w:ilvl="6" w:tplc="56C427C2">
      <w:start w:val="1"/>
      <w:numFmt w:val="bullet"/>
      <w:lvlText w:val="●"/>
      <w:lvlJc w:val="left"/>
      <w:pPr>
        <w:ind w:left="5040" w:hanging="360"/>
      </w:pPr>
    </w:lvl>
    <w:lvl w:ilvl="7" w:tplc="884C45C8">
      <w:start w:val="1"/>
      <w:numFmt w:val="bullet"/>
      <w:lvlText w:val="●"/>
      <w:lvlJc w:val="left"/>
      <w:pPr>
        <w:ind w:left="5760" w:hanging="360"/>
      </w:pPr>
    </w:lvl>
    <w:lvl w:ilvl="8" w:tplc="957299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DC0390"/>
    <w:multiLevelType w:val="hybridMultilevel"/>
    <w:tmpl w:val="B8A64984"/>
    <w:lvl w:ilvl="0" w:tplc="E44AA6B4">
      <w:start w:val="1"/>
      <w:numFmt w:val="bullet"/>
      <w:lvlText w:val="•"/>
      <w:lvlJc w:val="left"/>
      <w:pPr>
        <w:ind w:left="1134" w:hanging="425"/>
      </w:pPr>
    </w:lvl>
    <w:lvl w:ilvl="1" w:tplc="C0007156">
      <w:numFmt w:val="decimal"/>
      <w:lvlText w:val=""/>
      <w:lvlJc w:val="left"/>
    </w:lvl>
    <w:lvl w:ilvl="2" w:tplc="6EA42072">
      <w:numFmt w:val="decimal"/>
      <w:lvlText w:val=""/>
      <w:lvlJc w:val="left"/>
    </w:lvl>
    <w:lvl w:ilvl="3" w:tplc="047A2BD4">
      <w:numFmt w:val="decimal"/>
      <w:lvlText w:val=""/>
      <w:lvlJc w:val="left"/>
    </w:lvl>
    <w:lvl w:ilvl="4" w:tplc="D4E8623E">
      <w:numFmt w:val="decimal"/>
      <w:lvlText w:val=""/>
      <w:lvlJc w:val="left"/>
    </w:lvl>
    <w:lvl w:ilvl="5" w:tplc="6E5C469C">
      <w:numFmt w:val="decimal"/>
      <w:lvlText w:val=""/>
      <w:lvlJc w:val="left"/>
    </w:lvl>
    <w:lvl w:ilvl="6" w:tplc="608439A0">
      <w:numFmt w:val="decimal"/>
      <w:lvlText w:val=""/>
      <w:lvlJc w:val="left"/>
    </w:lvl>
    <w:lvl w:ilvl="7" w:tplc="1090D3B4">
      <w:numFmt w:val="decimal"/>
      <w:lvlText w:val=""/>
      <w:lvlJc w:val="left"/>
    </w:lvl>
    <w:lvl w:ilvl="8" w:tplc="3E4A10AE">
      <w:numFmt w:val="decimal"/>
      <w:lvlText w:val=""/>
      <w:lvlJc w:val="left"/>
    </w:lvl>
  </w:abstractNum>
  <w:num w:numId="1" w16cid:durableId="1744569500">
    <w:abstractNumId w:val="1"/>
    <w:lvlOverride w:ilvl="0">
      <w:startOverride w:val="1"/>
    </w:lvlOverride>
  </w:num>
  <w:num w:numId="2" w16cid:durableId="363674863">
    <w:abstractNumId w:val="0"/>
    <w:lvlOverride w:ilvl="0">
      <w:startOverride w:val="1"/>
    </w:lvlOverride>
  </w:num>
  <w:num w:numId="3" w16cid:durableId="8026951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9A8"/>
    <w:rsid w:val="00347481"/>
    <w:rsid w:val="00797FC2"/>
    <w:rsid w:val="00976F1D"/>
    <w:rsid w:val="00B359A8"/>
    <w:rsid w:val="00E5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B1B6"/>
  <w15:docId w15:val="{6D7D210F-D342-492E-9BC9-FDCC5ED4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97FC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97F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7FC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7FC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328CB-C311-469D-85D6-A4E85C2C4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9007</Words>
  <Characters>51342</Characters>
  <Application>Microsoft Office Word</Application>
  <DocSecurity>0</DocSecurity>
  <Lines>427</Lines>
  <Paragraphs>120</Paragraphs>
  <ScaleCrop>false</ScaleCrop>
  <Company/>
  <LinksUpToDate>false</LinksUpToDate>
  <CharactersWithSpaces>60229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Oliveira</cp:lastModifiedBy>
  <cp:revision>9</cp:revision>
  <dcterms:created xsi:type="dcterms:W3CDTF">2026-09-13T23:10:00Z</dcterms:created>
  <dcterms:modified xsi:type="dcterms:W3CDTF">2026-09-13T23:16:00Z</dcterms:modified>
</cp:coreProperties>
</file>