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60EE872E" w14:textId="77777777" w:rsidR="00847C0D" w:rsidRDefault="00CC3326">
      <w:pPr>
        <w:tabs>
          <w:tab w:val="right" w:leader="dot" w:pos="9071"/>
        </w:tabs>
        <w:spacing w:after="100"/>
      </w:pPr>
      <w:r>
        <w:t xml:space="preserve">Quadro 15 – Casos de teste</w:t>
      </w:r>
    </w:p>
    <w:p w14:paraId="06EF35DD" w14:textId="77777777" w:rsidR="00E01C3A" w:rsidRDefault="00CC3326">
      <w:pPr>
        <w:tabs>
          <w:tab w:val="right" w:leader="dot" w:pos="9071"/>
        </w:tabs>
        <w:spacing w:after="100"/>
        <w:rPr>
          <w:lang w:val="pt-BR"/>
        </w:rPr>
      </w:pPr>
      <w:r>
        <w:rPr>
          <w:lang w:val="pt-BR"/>
        </w:rPr>
        <w:t xml:space="preserve">Quadro </w:t>
      </w:r>
      <w:r>
        <w:rPr>
          <w:lang w:val="pt-BR"/>
        </w:rPr>
        <w:t xml:space="preserve">16</w:t>
      </w:r>
      <w:r>
        <w:rPr>
          <w:lang w:val="pt-BR"/>
        </w:rPr>
        <w:t xml:space="preserve">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 xml:space="preserve">Quadro </w:t>
      </w:r>
      <w:r>
        <w:rPr>
          <w:lang w:val="pt-BR"/>
        </w:rPr>
        <w:t xml:space="preserve">17</w:t>
      </w:r>
      <w:r>
        <w:rPr>
          <w:lang w:val="pt-BR"/>
        </w:rPr>
        <w:t xml:space="preserve"> – Tabelas do banco de dados: atributos, domínios, restrições e uso</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w:t>
      </w:r>
      <w:r>
        <w:rPr>
          <w:lang w:val="pt-BR"/>
        </w:rPr>
        <w:t xml:space="preserve">4.6</w:t>
      </w:r>
      <w:r>
        <w:rPr>
          <w:lang w:val="pt-BR"/>
        </w:rPr>
        <w:t xml:space="preserve">).</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 xml:space="preserve">Quanto à forma de execução, o trabalho combina pesquisa documental sobre a infraestrutura instalada e sobre os dados abertos municipais, desenvolvimento de protótipo e experimentação em bancada, nos termos de 3.1. O método está descrito no Capítulo 3, </w:t>
      </w:r>
      <w:r>
        <w:rPr>
          <w:lang w:val="pt-BR"/>
        </w:rPr>
        <w:t xml:space="preserve">e a documentação de engenharia de software que orienta a implementação e o banco de dados, ao final dele, em 3.12 e 3.13.</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r>
        <w:rPr>
          <w:lang w:val="pt-BR"/>
        </w:rPr>
        <w:t xml:space="preserve">como obstáculo à integração, e a especificação da interface como o instrumento pelo qual esse isolamento se resolve.</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r>
        <w:rPr>
          <w:lang w:val="pt-BR"/>
        </w:rPr>
        <w:t xml:space="preserve">cerca de 90% do parque convertido (SÃO PAULO, 2021), é exceção — e é por ser exceção que constitui o caso em que a pergunta deste trabalho pode ser formulada sobre parque já convertido.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r>
              <w:rPr>
                <w:sz w:val="20"/>
                <w:szCs w:val="20"/>
                <w:lang w:val="pt-BR"/>
              </w:rPr>
              <w:t xml:space="preserve">cerca de 90% do parque convertido em 2021</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t xml:space="preserve">A telegestão serve à gestão do ativo — falha, consumo, inventário — e não </w:t>
            </w:r>
            <w:r>
              <w:rPr>
                <w:sz w:val="20"/>
                <w:szCs w:val="20"/>
                <w:lang w:val="pt-BR"/>
              </w:rPr>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 xml:space="preserve">Portal de dados abertos e cadastro georreferenciado (GeoSampa), com os pontos de iluminação e os segmentos de logradouro</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 xml:space="preserve">Não publicam contagem de pedestres por via (3.6)</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r>
        <w:rPr>
          <w:lang w:val="pt-BR"/>
        </w:rPr>
        <w:t xml:space="preserve">segue, portanto, essa recomendação.</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 xml:space="preserve">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w:t>
      </w:r>
      <w:r>
        <w:rPr>
          <w:lang w:val="pt-BR"/>
        </w:rPr>
        <w:t xml:space="preserve">5.3</w:t>
      </w:r>
      <w:r>
        <w:rPr>
          <w:lang w:val="pt-BR"/>
        </w:rPr>
        <w:t xml:space="preserve">.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r>
        <w:rPr>
          <w:lang w:val="pt-BR"/>
        </w:rPr>
        <w:t xml:space="preserve">derivadas da distribuição observada nos dados por critério declarado,</w:t>
      </w:r>
      <w:r>
        <w:rPr>
          <w:lang w:val="pt-BR"/>
        </w:rPr>
        <w:t xml:space="preserve"> conforme se especifica em 3.7, e cada regra terá origem declarada — </w:t>
      </w:r>
      <w:r>
        <w:rPr>
          <w:lang w:val="pt-BR"/>
        </w:rPr>
        <w:t xml:space="preserve">prescrição normativa ou critério de projeto dos autores.</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t xml:space="preserve">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w:t>
      </w:r>
      <w:r>
        <w:rPr>
          <w:lang w:val="pt-BR"/>
        </w:rPr>
        <w:t xml:space="preserve">4.6</w:t>
      </w:r>
      <w:r>
        <w:rPr>
          <w:lang w:val="pt-BR"/>
        </w:rPr>
        <w:t xml:space="preserve">,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w:t>
      </w:r>
      <w:r>
        <w:rPr>
          <w:lang w:val="pt-BR"/>
        </w:rPr>
        <w:t xml:space="preserve">4.1</w:t>
      </w:r>
      <w:r>
        <w:rPr>
          <w:lang w:val="pt-BR"/>
        </w:rPr>
        <w:t xml:space="preserve">).</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 xml:space="preserve">Encerrada a revisão, enumeram-se as hipóteses que orientam a investigação. Cada uma apoia-se em uma das subseções anteriores — a primeira em 2.6, a segunda em 2.5 e a terceira em 2.7 — e é avaliada em </w:t>
      </w:r>
      <w:r>
        <w:rPr>
          <w:lang w:val="pt-BR"/>
        </w:rPr>
        <w:t xml:space="preserve">5.1</w:t>
      </w:r>
      <w:r>
        <w:rPr>
          <w:lang w:val="pt-BR"/>
        </w:rPr>
        <w:t xml:space="preserve">.</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quatro elementos encadeados, cuja implantação é detalhada em </w:t>
      </w:r>
      <w:r>
        <w:t xml:space="preserve">3.12.6.1</w:t>
      </w:r>
      <w:r>
        <w:t xml:space="preserve">.</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r>
        <w:rPr>
          <w:lang w:val="pt-BR"/>
        </w:rPr>
        <w:t xml:space="preserve">confronta o nível pretendido com o piso extraído da ABNT NBR 5101 e corrige a decisão antes de emiti-la, registrando a correção; a taxa máxima de decréscimo segue com o comando e é aplicada pelo nó (3.7).</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r>
        <w:rPr>
          <w:lang w:val="pt-BR"/>
        </w:rPr>
        <w:t xml:space="preserve">no plano de medição</w:t>
      </w:r>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Figura 1 representa e que </w:t>
      </w:r>
      <w:r>
        <w:rPr>
          <w:lang w:val="pt-BR"/>
        </w:rPr>
        <w:t xml:space="preserve">a documentação de 3.12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 xml:space="preserve">Implantado no mesmo serviço, conforme </w:t>
            </w:r>
            <w:r>
              <w:rPr>
                <w:sz w:val="20"/>
                <w:szCs w:val="20"/>
                <w:lang w:val="pt-BR"/>
              </w:rPr>
              <w:t xml:space="preserve">3.13.1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 xml:space="preserve">Banco relacional de </w:t>
            </w:r>
            <w:r>
              <w:rPr>
                <w:sz w:val="20"/>
                <w:szCs w:val="20"/>
              </w:rPr>
              <w:t xml:space="preserve">3.13.1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r>
        <w:rPr>
          <w:lang w:val="pt-BR"/>
        </w:rPr>
        <w:t xml:space="preserve">sete estão contratados ou normalizados</w:t>
      </w:r>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r>
        <w:rPr>
          <w:lang w:val="pt-BR"/>
        </w:rPr>
        <w:t xml:space="preserve">fixado por cinco regras</w:t>
      </w:r>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r>
              <w:rPr>
                <w:sz w:val="20"/>
                <w:szCs w:val="20"/>
                <w:lang w:val="pt-BR"/>
              </w:rPr>
              <w:t xml:space="preserve">não iluminância; qualquer</w:t>
            </w:r>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r>
        <w:rPr>
          <w:lang w:val="pt-BR"/>
        </w:rPr>
        <w:t xml:space="preserve">a iluminação plena da classe e o piso de atenuação ficam abaixo do ciclo de trabalho pleno — na sessão adotada, em 65,6 % e 34,0 % do ciclo (3.4.4) —, de modo</w:t>
      </w:r>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 xml:space="preserve">10 lux, 65,6 % do ciclo na sessão adotada</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 xml:space="preserve">5 lux, 34,0 % do ciclo na sessão adotada</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r>
              <w:rPr>
                <w:sz w:val="20"/>
                <w:szCs w:val="20"/>
              </w:rPr>
              <w:t xml:space="preserve">com queda de 0,08 lux, ou 0,008 do fluxo pleno, por passo, a taxa arredondada para baixo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w:t>
      </w:r>
      <w:r>
        <w:rPr>
          <w:lang w:val="pt-BR"/>
        </w:rPr>
        <w:t xml:space="preserve">6.1</w:t>
      </w:r>
      <w:r>
        <w:rPr>
          <w:lang w:val="pt-BR"/>
        </w:rPr>
        <w:t xml:space="preserve">.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w:t>
      </w:r>
      <w:r>
        <w:rPr>
          <w:lang w:val="pt-BR"/>
        </w:rPr>
        <w:t xml:space="preserve">6.1</w:t>
      </w:r>
      <w:r>
        <w:rPr>
          <w:lang w:val="pt-BR"/>
        </w:rPr>
        <w:t xml:space="preserve">.</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 xml:space="preserve">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w:t>
      </w:r>
      <w:r>
        <w:rPr>
          <w:lang w:val="pt-BR"/>
        </w:rPr>
        <w:t xml:space="preserve">6.1</w:t>
      </w:r>
      <w:r>
        <w:rPr>
          <w:lang w:val="pt-BR"/>
        </w:rPr>
        <w:t xml:space="preserve">.</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w:t>
      </w:r>
      <w:r>
        <w:rPr>
          <w:lang w:val="pt-BR"/>
        </w:rPr>
        <w:t xml:space="preserve">4.2</w:t>
      </w:r>
      <w:r>
        <w:rPr>
          <w:lang w:val="pt-BR"/>
        </w:rPr>
        <w:t xml:space="preserve">, isso reduziu os comandos a </w:t>
      </w:r>
      <w:r>
        <w:rPr>
          <w:lang w:val="pt-BR"/>
        </w:rPr>
        <w:t xml:space="preserve">cerca de 1,3 % dos passos da rampa</w:t>
      </w:r>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w:t>
      </w:r>
      <w:r>
        <w:rPr>
          <w:lang w:val="pt-BR"/>
        </w:rPr>
        <w:t xml:space="preserve">5.3</w:t>
      </w:r>
      <w:r>
        <w:rPr>
          <w:lang w:val="pt-BR"/>
        </w:rPr>
        <w:t xml:space="preserve">.</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w:t>
      </w:r>
      <w:r>
        <w:rPr>
          <w:lang w:val="pt-BR"/>
        </w:rPr>
        <w:t xml:space="preserve">4.6</w:t>
      </w:r>
      <w:r>
        <w:rPr>
          <w:lang w:val="pt-BR"/>
        </w:rPr>
        <w:t xml:space="preserve">,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r>
              <w:rPr>
                <w:sz w:val="20"/>
                <w:szCs w:val="20"/>
                <w:lang w:val="pt-BR"/>
              </w:rPr>
              <w:t xml:space="preserve">A subseção 6.10.3 da norma recomenda o monitoramento do tráfego para determinar o tempo de funcionamento da iluminação adaptativa,</w:t>
            </w:r>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 xml:space="preserve">Atributo do ponto de luz no banco, atribuído pelos autores (3.8)</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w:t>
      </w:r>
      <w:r>
        <w:rPr>
          <w:lang w:val="pt-BR"/>
        </w:rPr>
        <w:t xml:space="preserve">5.3)</w:t>
      </w:r>
      <w:r>
        <w:rPr>
          <w:lang w:val="pt-BR"/>
        </w:rPr>
        <w:t xml:space="preserve">.</w:t>
      </w:r>
      <w:r>
        <w:rPr>
          <w:lang w:val="pt-BR"/>
        </w:rPr>
        <w:t xml:space="preserve"> A necessidade do critério decorre de uma lacuna da norma: a ABNT NBR 5101 condiciona a classe ao nível de atividade </w:t>
      </w:r>
      <w:r>
        <w:rPr>
          <w:lang w:val="pt-BR"/>
        </w:rPr>
        <w:t xml:space="preserve">de pedestres e recomenda reduzir a iluminância </w:t>
      </w:r>
      <w:r>
        <w:rPr>
          <w:lang w:val="pt-BR"/>
        </w:rPr>
        <w:t xml:space="preserve">nos horários de baixa movimentação (subseção 6.3 da norma), mas</w:t>
      </w:r>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r>
        <w:rPr>
          <w:lang w:val="pt-BR"/>
        </w:rPr>
        <w:t xml:space="preserve"> Depois, a troca da série de treino (3.6) mudou os tercis e a largura das rampas, sem mudar as sete regras.</w:t>
      </w:r>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w:t>
      </w:r>
      <w:r>
        <w:rPr>
          <w:lang w:val="pt-BR"/>
        </w:rPr>
        <w:t xml:space="preserve">e o Capítulo 4 reporta</w:t>
      </w:r>
      <w:r>
        <w:rPr>
          <w:lang w:val="pt-BR"/>
        </w:rPr>
        <w:t xml:space="preserve">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r>
        <w:rPr>
          <w:lang w:val="pt-BR"/>
        </w:rPr>
        <w:t xml:space="preserve">fundamenta-a na legibilidade da base, com os números </w:t>
      </w:r>
      <w:r>
        <w:rPr>
          <w:lang w:val="pt-BR"/>
        </w:rPr>
        <w:t xml:space="preserve">reportados no Capítulo 4.</w:t>
      </w:r>
      <w:r>
        <w:rPr>
          <w:lang w:val="pt-BR"/>
        </w:rPr>
        <w:t xml:space="preserve"> A comparação foi depois repetida em seis cenários construídos só para essa região, </w:t>
      </w:r>
      <w:r>
        <w:rPr>
          <w:lang w:val="pt-BR"/>
        </w:rPr>
        <w:t xml:space="preserve">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w:t>
      </w:r>
      <w:r>
        <w:rPr>
          <w:lang w:val="pt-BR"/>
        </w:rPr>
        <w:t xml:space="preserve">4.6). </w:t>
      </w:r>
      <w:r>
        <w:rPr>
          <w:lang w:val="pt-BR"/>
        </w:rPr>
        <w:t xml:space="preserve">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w:t>
      </w:r>
      <w:r>
        <w:rPr>
          <w:lang w:val="pt-BR"/>
        </w:rPr>
        <w:t xml:space="preserve">4.6</w:t>
      </w:r>
      <w:r>
        <w:rPr>
          <w:lang w:val="pt-BR"/>
        </w:rPr>
        <w:t xml:space="preserve">).</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r>
        <w:rPr>
          <w:lang w:val="pt-BR"/>
        </w:rPr>
        <w:t xml:space="preserve">que implementa as duas restrições rígidas da subseção 2.5: o piso, sobre a decisão antes de sua emissão, e a taxa, no nó, a cada passo da rampa.</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r>
        <w:rPr>
          <w:lang w:val="pt-BR"/>
        </w:rPr>
        <w:t xml:space="preserve">com queda de 0,008 do fluxo pleno por passo, a taxa arredondada para baixo,</w:t>
      </w:r>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r>
        <w:rPr>
          <w:lang w:val="pt-BR"/>
        </w:rPr>
        <w:t xml:space="preserve"> O valor taxa permanece no domínio da restrição para os registros anteriores à arquitetura de 3.5.2, em que o serviço conduzia a rampa.</w:t>
      </w:r>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w:t>
      </w:r>
      <w:r>
        <w:rPr>
          <w:lang w:val="pt-BR"/>
        </w:rPr>
        <w:t xml:space="preserve">16</w:t>
      </w:r>
      <w:r>
        <w:rPr>
          <w:lang w:val="pt-BR"/>
        </w:rPr>
        <w:t xml:space="preserve">.</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w:t>
      </w:r>
      <w:r>
        <w:rPr>
          <w:lang w:val="pt-BR"/>
        </w:rPr>
        <w:t xml:space="preserve">5.3</w:t>
      </w:r>
      <w:r>
        <w:rPr>
          <w:lang w:val="pt-BR"/>
        </w:rPr>
        <w:t xml:space="preserve">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r>
        <w:rPr>
          <w:lang w:val="pt-BR"/>
        </w:rPr>
        <w:t xml:space="preserve">do ano de teste, de quatro pontos em sorteio próprio, distinto do da avaliação anterior,</w:t>
      </w:r>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características do arranjo</w:t>
      </w:r>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 xml:space="preserve">O Quadro </w:t>
      </w:r>
      <w:r>
        <w:rPr>
          <w:lang w:val="pt-BR"/>
        </w:rPr>
        <w:t xml:space="preserve">16</w:t>
      </w:r>
      <w:r>
        <w:rPr>
          <w:lang w:val="pt-BR"/>
        </w:rPr>
        <w:t xml:space="preserve">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 xml:space="preserve">de comprimento, e o comprimento do segmento é fixado por medição conforme 3.4.2, de modo que a potência a ciclo de trabalho pleno é conhecida. O ciclo de trabalho efetivamente aplicado é gravado a cada leitura de telemetria, conforme o modelo de dados de </w:t>
      </w:r>
      <w:r>
        <w:rPr>
          <w:lang w:val="pt-BR"/>
        </w:rPr>
        <w:t xml:space="preserve">3.13.1</w:t>
      </w:r>
      <w:r>
        <w:rPr>
          <w:lang w:val="pt-BR"/>
        </w:rPr>
        <w:t xml:space="preserve">.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w:t>
      </w:r>
      <w:r>
        <w:rPr>
          <w:lang w:val="pt-BR"/>
        </w:rPr>
        <w:t xml:space="preserve">os resultados do Capítulo 4.</w:t>
      </w:r>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r>
        <w:rPr>
          <w:lang w:val="pt-BR"/>
        </w:rPr>
        <w:t xml:space="preserve">adota a menor potência da faixa do Caderno,</w:t>
      </w:r>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r>
        <w:rPr>
          <w:lang w:val="pt-BR"/>
        </w:rPr>
        <w:t xml:space="preserve">imposta pela taxa máxima de decréscimo —</w:t>
      </w:r>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r>
        <w:rPr>
          <w:lang w:val="pt-BR"/>
        </w:rPr>
        <w:t xml:space="preserve">no extremo superior dessa faixa, 440 W,</w:t>
      </w:r>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 xml:space="preserve">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w:t>
      </w:r>
      <w:r>
        <w:rPr>
          <w:lang w:val="pt-BR"/>
        </w:rPr>
        <w:t xml:space="preserve">6.1</w:t>
      </w:r>
      <w:r>
        <w:rPr>
          <w:lang w:val="pt-BR"/>
        </w:rPr>
        <w:t xml:space="preserve">.</w:t>
      </w:r>
    </w:p>
    <w:p w14:paraId="0C2642B2" w14:textId="77777777" w:rsidR="00E01C3A" w:rsidRDefault="00CC3326">
      <w:pPr>
        <w:pStyle w:val="Heading2"/>
        <w:pageBreakBefore/>
        <w:spacing w:before="480" w:after="280" w:line="360" w:lineRule="auto"/>
        <w:rPr>
          <w:lang w:val="pt-BR"/>
        </w:rPr>
      </w:pPr>
      <w:bookmarkStart w:id="43" w:name="_Toc241792035"/>
      <w:r>
        <w:rPr>
          <w:lang w:val="pt-BR"/>
        </w:rPr>
        <w:t xml:space="preserve">3.12 Engenharia de software</w:t>
      </w:r>
      <w:bookmarkEnd w:id="43"/>
    </w:p>
    <w:p w14:paraId="32D95725" w14:textId="77777777" w:rsidR="00E01C3A" w:rsidRDefault="00CC3326">
      <w:pPr>
        <w:spacing w:after="120" w:line="360" w:lineRule="auto"/>
        <w:ind w:firstLine="709"/>
        <w:jc w:val="both"/>
        <w:rPr>
          <w:lang w:val="pt-BR"/>
        </w:rPr>
      </w:pPr>
      <w:r>
        <w:rPr>
          <w:lang w:val="pt-BR"/>
        </w:rPr>
        <w:t xml:space="preserve">Esta subseção apresenta</w:t>
      </w:r>
      <w:r>
        <w:rPr>
          <w:lang w:val="pt-BR"/>
        </w:rPr>
        <w:t xml:space="preserve">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w:t>
      </w:r>
      <w:r>
        <w:rPr>
          <w:lang w:val="pt-BR"/>
        </w:rPr>
        <w:t xml:space="preserve">os casos de teste e o cronograma; o banco de dados, que o roteiro trata à parte, segue em 3.13.</w:t>
      </w:r>
      <w:r>
        <w:rPr>
          <w:lang w:val="pt-BR"/>
        </w:rPr>
        <w:t xml:space="preserve">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3"/>
        <w:spacing w:before="360" w:after="240" w:line="360" w:lineRule="auto"/>
        <w:rPr>
          <w:lang w:val="pt-BR"/>
        </w:rPr>
      </w:pPr>
      <w:bookmarkStart w:id="44" w:name="_Toc241792036"/>
      <w:r>
        <w:rPr>
          <w:lang w:val="pt-BR"/>
        </w:rPr>
        <w:t xml:space="preserve">3.12.1</w:t>
      </w:r>
      <w:r>
        <w:rPr>
          <w:lang w:val="pt-BR"/>
        </w:rPr>
        <w:t xml:space="preserve">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3"/>
        <w:spacing w:before="360" w:after="240" w:line="360" w:lineRule="auto"/>
        <w:rPr>
          <w:lang w:val="pt-BR"/>
        </w:rPr>
      </w:pPr>
      <w:bookmarkStart w:id="45" w:name="_Toc241792037"/>
      <w:r>
        <w:rPr>
          <w:lang w:val="pt-BR"/>
        </w:rPr>
        <w:t xml:space="preserve">3.12.2</w:t>
      </w:r>
      <w:r>
        <w:rPr>
          <w:lang w:val="pt-BR"/>
        </w:rPr>
        <w:t xml:space="preserve">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3"/>
        <w:spacing w:before="360" w:after="240" w:line="360" w:lineRule="auto"/>
        <w:rPr>
          <w:lang w:val="pt-BR"/>
        </w:rPr>
      </w:pPr>
      <w:bookmarkStart w:id="46" w:name="_Toc241792038"/>
      <w:r>
        <w:rPr>
          <w:lang w:val="pt-BR"/>
        </w:rPr>
        <w:t xml:space="preserve">3.12.3</w:t>
      </w:r>
      <w:r>
        <w:rPr>
          <w:lang w:val="pt-BR"/>
        </w:rPr>
        <w:t xml:space="preserve">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 xml:space="preserve">Produzir, a cada decisão, estimativa</w:t>
            </w:r>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 xml:space="preserve">3.12.6.1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r>
              <w:rPr>
                <w:sz w:val="20"/>
                <w:szCs w:val="20"/>
                <w:lang w:val="pt-BR"/>
              </w:rPr>
              <w:t xml:space="preserve">no plano de medição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 xml:space="preserve">3.13.1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 xml:space="preserve">3.12.6.1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 xml:space="preserve">3.13.1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3"/>
        <w:spacing w:before="360" w:after="240" w:line="360" w:lineRule="auto"/>
        <w:rPr>
          <w:lang w:val="pt-BR"/>
        </w:rPr>
      </w:pPr>
      <w:bookmarkStart w:id="47" w:name="_Toc241792039"/>
      <w:r>
        <w:rPr>
          <w:lang w:val="pt-BR"/>
        </w:rPr>
        <w:t xml:space="preserve">3.12.4</w:t>
      </w:r>
      <w:r>
        <w:rPr>
          <w:lang w:val="pt-BR"/>
        </w:rPr>
        <w:t xml:space="preserve">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 xml:space="preserve">Contagem de violações de taxa no nível do nó virtual, passo a passo, sobre a suíte de cenários; no nó físico, trajetória da rampa registrada pela porta serial</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 xml:space="preserve">Inspeção do modelo de dados de </w:t>
            </w:r>
            <w:r>
              <w:rPr>
                <w:sz w:val="20"/>
                <w:szCs w:val="20"/>
                <w:lang w:val="pt-BR"/>
              </w:rPr>
              <w:t xml:space="preserve">3.13.2</w:t>
            </w:r>
            <w:r>
              <w:rPr>
                <w:sz w:val="20"/>
                <w:szCs w:val="20"/>
                <w:lang w:val="pt-BR"/>
              </w:rPr>
              <w:t xml:space="preserve">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3"/>
        <w:spacing w:before="360" w:after="240" w:line="360" w:lineRule="auto"/>
        <w:rPr>
          <w:lang w:val="pt-BR"/>
        </w:rPr>
      </w:pPr>
      <w:bookmarkStart w:id="48" w:name="_Toc241792040"/>
      <w:r>
        <w:rPr>
          <w:lang w:val="pt-BR"/>
        </w:rPr>
        <w:t xml:space="preserve">3.12.5</w:t>
      </w:r>
      <w:r>
        <w:rPr>
          <w:lang w:val="pt-BR"/>
        </w:rPr>
        <w:t xml:space="preserve">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3"/>
        <w:spacing w:before="360" w:after="240" w:line="360" w:lineRule="auto"/>
        <w:rPr>
          <w:lang w:val="pt-BR"/>
        </w:rPr>
      </w:pPr>
      <w:bookmarkStart w:id="49" w:name="_Toc241792041"/>
      <w:r>
        <w:rPr>
          <w:lang w:val="pt-BR"/>
        </w:rPr>
        <w:t xml:space="preserve">3.12.6</w:t>
      </w:r>
      <w:r>
        <w:rPr>
          <w:lang w:val="pt-BR"/>
        </w:rPr>
        <w:t xml:space="preserve">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 xml:space="preserve">O nó precisa ser comandado de fora da rede local em que se encontra; detalhamento em </w:t>
            </w:r>
            <w:r>
              <w:rPr>
                <w:sz w:val="20"/>
                <w:szCs w:val="20"/>
                <w:lang w:val="pt-BR"/>
              </w:rPr>
              <w:t xml:space="preserve">3.12.6.1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 xml:space="preserve">Sim. Banco relacional em contêiner, com as entidades do Quadro </w:t>
            </w:r>
            <w:r>
              <w:rPr>
                <w:sz w:val="20"/>
                <w:szCs w:val="20"/>
                <w:lang w:val="pt-BR"/>
              </w:rPr>
              <w:t xml:space="preserve">16</w:t>
            </w:r>
            <w:r>
              <w:rPr>
                <w:sz w:val="20"/>
                <w:szCs w:val="20"/>
                <w:lang w:val="pt-BR"/>
              </w:rPr>
              <w:t xml:space="preserve">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 xml:space="preserve">A auditabilidade afirmada pelo trabalho é, em termos de projeto, uma propriedade de integridade referencial; justificativa em </w:t>
            </w:r>
            <w:r>
              <w:rPr>
                <w:sz w:val="20"/>
                <w:szCs w:val="20"/>
                <w:lang w:val="pt-BR"/>
              </w:rPr>
              <w:t xml:space="preserve">3.13.1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 xml:space="preserve">Confrontar o nível pretendido com o piso, corrigi-lo quando necessário, registrar a correção e enviar ao nó o piso e a taxa da classe</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4"/>
        <w:spacing w:before="320" w:after="200" w:line="360" w:lineRule="auto"/>
        <w:rPr>
          <w:lang w:val="pt-BR"/>
        </w:rPr>
      </w:pPr>
      <w:bookmarkStart w:id="50" w:name="_Toc241792042"/>
      <w:r>
        <w:rPr>
          <w:lang w:val="pt-BR"/>
        </w:rPr>
        <w:t xml:space="preserve">3.12.6.1</w:t>
      </w:r>
      <w:r>
        <w:rPr>
          <w:lang w:val="pt-BR"/>
        </w:rPr>
        <w:t xml:space="preserve">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cada ciclo de decisão, conforme a subseção </w:t>
      </w:r>
      <w:r>
        <w:rPr>
          <w:lang w:val="pt-BR"/>
        </w:rPr>
        <w:t xml:space="preserve">3.13.1</w:t>
      </w:r>
      <w:r>
        <w:rPr>
          <w:lang w:val="pt-BR"/>
        </w:rPr>
        <w:t xml:space="preserve">.</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4"/>
        <w:spacing w:before="320" w:after="200" w:line="360" w:lineRule="auto"/>
        <w:rPr>
          <w:lang w:val="pt-BR"/>
        </w:rPr>
      </w:pPr>
      <w:bookmarkStart w:id="51" w:name="_Toc241792043"/>
      <w:r>
        <w:rPr>
          <w:lang w:val="pt-BR"/>
        </w:rPr>
        <w:t xml:space="preserve">3.12.6.2</w:t>
      </w:r>
      <w:r>
        <w:rPr>
          <w:lang w:val="pt-BR"/>
        </w:rPr>
        <w:t xml:space="preserve">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4"/>
        <w:spacing w:before="320" w:after="200" w:line="360" w:lineRule="auto"/>
      </w:pPr>
      <w:bookmarkStart w:id="52" w:name="_Toc241792044"/>
      <w:r>
        <w:rPr>
          <w:lang w:val="pt-BR"/>
        </w:rPr>
        <w:t xml:space="preserve">3.12.6.3</w:t>
      </w:r>
      <w:r>
        <w:rPr>
          <w:lang w:val="pt-BR"/>
        </w:rPr>
        <w:t xml:space="preserve">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r>
        <w:rPr>
          <w:lang w:val="pt-BR"/>
        </w:rPr>
        <w:t xml:space="preserve"> Foi registrado também antes da troca da série de treino (3.6), com os tercis da série anterior; com a base vigente, os graus de ativação e o degrau seriam outros.</w:t>
      </w:r>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w:t>
      </w:r>
      <w:r>
        <w:rPr>
          <w:lang w:val="pt-BR"/>
        </w:rPr>
        <w:t xml:space="preserve">4.3</w:t>
      </w:r>
      <w:r>
        <w:rPr>
          <w:lang w:val="pt-BR"/>
        </w:rPr>
        <w:t xml:space="preserve">.</w:t>
      </w:r>
    </w:p>
    <w:p w14:paraId="57E1D022" w14:textId="77777777" w:rsidR="00E01C3A" w:rsidRDefault="00CC3326">
      <w:pPr>
        <w:pStyle w:val="Heading3"/>
        <w:spacing w:before="360" w:after="240" w:line="360" w:lineRule="auto"/>
        <w:rPr>
          <w:lang w:val="pt-BR"/>
        </w:rPr>
      </w:pPr>
      <w:bookmarkStart w:id="57" w:name="_Toc241792049"/>
      <w:r>
        <w:rPr>
          <w:lang w:val="pt-BR"/>
        </w:rPr>
        <w:t xml:space="preserve">3.12.7</w:t>
      </w:r>
      <w:r>
        <w:rPr>
          <w:lang w:val="pt-BR"/>
        </w:rPr>
        <w:t xml:space="preserve">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 xml:space="preserve">O Quadro </w:t>
      </w:r>
      <w:r>
        <w:rPr>
          <w:highlight w:val="yellow"/>
          <w:lang w:val="pt-BR"/>
        </w:rPr>
        <w:t xml:space="preserve">15</w:t>
      </w:r>
      <w:r>
        <w:rPr>
          <w:highlight w:val="yellow"/>
          <w:lang w:val="pt-BR"/>
        </w:rPr>
        <w:t xml:space="preserve">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t xml:space="preserve">Quadro </w:t>
      </w:r>
      <w:r>
        <w:rPr>
          <w:sz w:val="20"/>
          <w:szCs w:val="20"/>
          <w:lang w:val="pt-BR"/>
        </w:rPr>
        <w:t xml:space="preserve">15</w:t>
      </w:r>
      <w:r>
        <w:rPr>
          <w:sz w:val="20"/>
          <w:szCs w:val="20"/>
          <w:lang w:val="pt-BR"/>
        </w:rPr>
        <w:t xml:space="preserve">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pPr/>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pPr/>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pPr/>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pPr/>
            <w:r>
              <w:rPr>
                <w:sz w:val="20"/>
                <w:szCs w:val="20"/>
              </w:rPr>
              <w:t>Resultado esperado</w:t>
            </w:r>
          </w:p>
        </w:tc>
      </w:tr>
      <w:tr w:rsidR="00E01C3A" w:rsidRPr="00CE1B46" w14:paraId="388BAAFD" w14:textId="77777777">
        <w:trPr/>
        <w:tc>
          <w:tcPr>
            <w:tcW w:w="850" w:type="dxa"/>
            <w:tcMar>
              <w:top w:w="70" w:type="dxa"/>
              <w:left w:w="90" w:type="dxa"/>
              <w:bottom w:w="70" w:type="dxa"/>
              <w:right w:w="90" w:type="dxa"/>
            </w:tcMar>
          </w:tcPr>
          <w:p w14:paraId="6EC739D0" w14:textId="77777777" w:rsidR="00847C0D" w:rsidRDefault="00CC3326">
            <w:pPr/>
            <w:r>
              <w:rPr>
                <w:sz w:val="20"/>
                <w:szCs w:val="20"/>
              </w:rPr>
              <w:t>CT01</w:t>
            </w:r>
          </w:p>
        </w:tc>
        <w:tc>
          <w:tcPr>
            <w:tcW w:w="3500" w:type="dxa"/>
            <w:tcMar>
              <w:top w:w="70" w:type="dxa"/>
              <w:left w:w="90" w:type="dxa"/>
              <w:bottom w:w="70" w:type="dxa"/>
              <w:right w:w="90" w:type="dxa"/>
            </w:tcMar>
          </w:tcPr>
          <w:p w14:paraId="6C01E3AF" w14:textId="77777777" w:rsidR="00847C0D" w:rsidRDefault="00CC3326">
            <w:pPr/>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pPr/>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pPr/>
            <w:r>
              <w:rPr>
                <w:sz w:val="20"/>
                <w:szCs w:val="20"/>
                <w:lang w:val="pt-BR"/>
              </w:rPr>
              <w:t>Recusa com erro de validação ou de autenticação; no pacote, só o item inválido é recusado e os demais são gravados</w:t>
            </w:r>
          </w:p>
        </w:tc>
      </w:tr>
      <w:tr w:rsidR="00E01C3A" w:rsidRPr="00CE1B46" w14:paraId="185D9BCF" w14:textId="77777777">
        <w:trPr/>
        <w:tc>
          <w:tcPr>
            <w:tcW w:w="850" w:type="dxa"/>
            <w:tcMar>
              <w:top w:w="70" w:type="dxa"/>
              <w:left w:w="90" w:type="dxa"/>
              <w:bottom w:w="70" w:type="dxa"/>
              <w:right w:w="90" w:type="dxa"/>
            </w:tcMar>
          </w:tcPr>
          <w:p w14:paraId="612B8466" w14:textId="77777777" w:rsidR="00847C0D" w:rsidRDefault="00CC3326">
            <w:pPr/>
            <w:r>
              <w:rPr>
                <w:sz w:val="20"/>
                <w:szCs w:val="20"/>
              </w:rPr>
              <w:t>CT02</w:t>
            </w:r>
          </w:p>
        </w:tc>
        <w:tc>
          <w:tcPr>
            <w:tcW w:w="3500" w:type="dxa"/>
            <w:tcMar>
              <w:top w:w="70" w:type="dxa"/>
              <w:left w:w="90" w:type="dxa"/>
              <w:bottom w:w="70" w:type="dxa"/>
              <w:right w:w="90" w:type="dxa"/>
            </w:tcMar>
          </w:tcPr>
          <w:p w14:paraId="5D832AC0" w14:textId="77777777" w:rsidR="00847C0D" w:rsidRDefault="00CC3326">
            <w:pPr/>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pPr/>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pPr/>
            <w:r>
              <w:rPr>
                <w:sz w:val="20"/>
                <w:szCs w:val="20"/>
                <w:lang w:val="pt-BR"/>
              </w:rPr>
              <w:t>Previsão entre 0 e 1 que acompanha o patamar do histórico; sem histórico, persistência</w:t>
            </w:r>
          </w:p>
        </w:tc>
      </w:tr>
      <w:tr w:rsidR="00E01C3A" w:rsidRPr="00CE1B46" w14:paraId="419442DE" w14:textId="77777777">
        <w:trPr/>
        <w:tc>
          <w:tcPr>
            <w:tcW w:w="850" w:type="dxa"/>
            <w:tcMar>
              <w:top w:w="70" w:type="dxa"/>
              <w:left w:w="90" w:type="dxa"/>
              <w:bottom w:w="70" w:type="dxa"/>
              <w:right w:w="90" w:type="dxa"/>
            </w:tcMar>
          </w:tcPr>
          <w:p w14:paraId="5A2F1370" w14:textId="77777777" w:rsidR="00847C0D" w:rsidRDefault="00CC3326">
            <w:pPr/>
            <w:r>
              <w:rPr>
                <w:sz w:val="20"/>
                <w:szCs w:val="20"/>
              </w:rPr>
              <w:t>CT03</w:t>
            </w:r>
          </w:p>
        </w:tc>
        <w:tc>
          <w:tcPr>
            <w:tcW w:w="3500" w:type="dxa"/>
            <w:tcMar>
              <w:top w:w="70" w:type="dxa"/>
              <w:left w:w="90" w:type="dxa"/>
              <w:bottom w:w="70" w:type="dxa"/>
              <w:right w:w="90" w:type="dxa"/>
            </w:tcMar>
          </w:tcPr>
          <w:p w14:paraId="5B099537" w14:textId="77777777" w:rsidR="00847C0D" w:rsidRDefault="00CC3326">
            <w:pPr/>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pPr/>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pPr/>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rPr/>
        <w:tc>
          <w:tcPr>
            <w:tcW w:w="850" w:type="dxa"/>
            <w:tcMar>
              <w:top w:w="70" w:type="dxa"/>
              <w:left w:w="90" w:type="dxa"/>
              <w:bottom w:w="70" w:type="dxa"/>
              <w:right w:w="90" w:type="dxa"/>
            </w:tcMar>
          </w:tcPr>
          <w:p w14:paraId="6FD62479" w14:textId="77777777" w:rsidR="00847C0D" w:rsidRDefault="00CC3326">
            <w:pPr/>
            <w:r>
              <w:rPr>
                <w:sz w:val="20"/>
                <w:szCs w:val="20"/>
              </w:rPr>
              <w:t>CT04</w:t>
            </w:r>
          </w:p>
        </w:tc>
        <w:tc>
          <w:tcPr>
            <w:tcW w:w="3500" w:type="dxa"/>
            <w:tcMar>
              <w:top w:w="70" w:type="dxa"/>
              <w:left w:w="90" w:type="dxa"/>
              <w:bottom w:w="70" w:type="dxa"/>
              <w:right w:w="90" w:type="dxa"/>
            </w:tcMar>
          </w:tcPr>
          <w:p w14:paraId="05423065" w14:textId="77777777" w:rsidR="00847C0D" w:rsidRDefault="00CC3326">
            <w:pPr/>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pPr/>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pPr/>
            <w:r>
              <w:rPr>
                <w:sz w:val="20"/>
                <w:szCs w:val="20"/>
                <w:lang w:val="pt-BR"/>
              </w:rPr>
              <w:t>Nível pretendido igual ao da classe da via: a evidência de risco não é diluída</w:t>
            </w:r>
          </w:p>
        </w:tc>
      </w:tr>
      <w:tr w:rsidR="00E01C3A" w:rsidRPr="00CE1B46" w14:paraId="27D0A7A0" w14:textId="77777777">
        <w:trPr/>
        <w:tc>
          <w:tcPr>
            <w:tcW w:w="850" w:type="dxa"/>
            <w:tcMar>
              <w:top w:w="70" w:type="dxa"/>
              <w:left w:w="90" w:type="dxa"/>
              <w:bottom w:w="70" w:type="dxa"/>
              <w:right w:w="90" w:type="dxa"/>
            </w:tcMar>
          </w:tcPr>
          <w:p w14:paraId="4904DE2A" w14:textId="77777777" w:rsidR="00847C0D" w:rsidRDefault="00CC3326">
            <w:pPr/>
            <w:r>
              <w:rPr>
                <w:sz w:val="20"/>
                <w:szCs w:val="20"/>
              </w:rPr>
              <w:t>CT05</w:t>
            </w:r>
          </w:p>
        </w:tc>
        <w:tc>
          <w:tcPr>
            <w:tcW w:w="3500" w:type="dxa"/>
            <w:tcMar>
              <w:top w:w="70" w:type="dxa"/>
              <w:left w:w="90" w:type="dxa"/>
              <w:bottom w:w="70" w:type="dxa"/>
              <w:right w:w="90" w:type="dxa"/>
            </w:tcMar>
          </w:tcPr>
          <w:p w14:paraId="5ACBC3E7" w14:textId="77777777" w:rsidR="00847C0D" w:rsidRDefault="00CC3326">
            <w:pPr/>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pPr/>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pPr/>
            <w:r>
              <w:rPr>
                <w:sz w:val="20"/>
                <w:szCs w:val="20"/>
                <w:lang w:val="pt-BR"/>
              </w:rPr>
              <w:t>Zero violações de piso e de taxa; nível emitido nunca inferior ao pretendido</w:t>
            </w:r>
          </w:p>
        </w:tc>
      </w:tr>
      <w:tr w:rsidR="00E01C3A" w:rsidRPr="00CE1B46" w14:paraId="7B6D6A8D" w14:textId="77777777">
        <w:trPr/>
        <w:tc>
          <w:tcPr>
            <w:tcW w:w="850" w:type="dxa"/>
            <w:tcMar>
              <w:top w:w="70" w:type="dxa"/>
              <w:left w:w="90" w:type="dxa"/>
              <w:bottom w:w="70" w:type="dxa"/>
              <w:right w:w="90" w:type="dxa"/>
            </w:tcMar>
          </w:tcPr>
          <w:p w14:paraId="0ABB69B0" w14:textId="77777777" w:rsidR="00847C0D" w:rsidRDefault="00CC3326">
            <w:pPr/>
            <w:r>
              <w:rPr>
                <w:sz w:val="20"/>
                <w:szCs w:val="20"/>
              </w:rPr>
              <w:t>CT06</w:t>
            </w:r>
          </w:p>
        </w:tc>
        <w:tc>
          <w:tcPr>
            <w:tcW w:w="3500" w:type="dxa"/>
            <w:tcMar>
              <w:top w:w="70" w:type="dxa"/>
              <w:left w:w="90" w:type="dxa"/>
              <w:bottom w:w="70" w:type="dxa"/>
              <w:right w:w="90" w:type="dxa"/>
            </w:tcMar>
          </w:tcPr>
          <w:p w14:paraId="52D24021" w14:textId="77777777" w:rsidR="00847C0D" w:rsidRDefault="00CC3326">
            <w:pPr/>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pPr/>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pPr/>
            <w:r>
              <w:rPr>
                <w:sz w:val="20"/>
                <w:szCs w:val="20"/>
                <w:lang w:val="pt-BR"/>
              </w:rPr>
              <w:t>Descida até o piso em no mínimo cinco minutos</w:t>
            </w:r>
          </w:p>
        </w:tc>
      </w:tr>
      <w:tr w:rsidR="00E01C3A" w:rsidRPr="00CE1B46" w14:paraId="2AACC4AC" w14:textId="77777777">
        <w:trPr/>
        <w:tc>
          <w:tcPr>
            <w:tcW w:w="850" w:type="dxa"/>
            <w:tcMar>
              <w:top w:w="70" w:type="dxa"/>
              <w:left w:w="90" w:type="dxa"/>
              <w:bottom w:w="70" w:type="dxa"/>
              <w:right w:w="90" w:type="dxa"/>
            </w:tcMar>
          </w:tcPr>
          <w:p w14:paraId="2F9DAA3F" w14:textId="77777777" w:rsidR="00847C0D" w:rsidRDefault="00CC3326">
            <w:pPr/>
            <w:r>
              <w:rPr>
                <w:sz w:val="20"/>
                <w:szCs w:val="20"/>
              </w:rPr>
              <w:t>CT07</w:t>
            </w:r>
          </w:p>
        </w:tc>
        <w:tc>
          <w:tcPr>
            <w:tcW w:w="3500" w:type="dxa"/>
            <w:tcMar>
              <w:top w:w="70" w:type="dxa"/>
              <w:left w:w="90" w:type="dxa"/>
              <w:bottom w:w="70" w:type="dxa"/>
              <w:right w:w="90" w:type="dxa"/>
            </w:tcMar>
          </w:tcPr>
          <w:p w14:paraId="4E98F2A6" w14:textId="77777777" w:rsidR="00847C0D" w:rsidRDefault="00CC3326">
            <w:pPr/>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pPr/>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pPr/>
            <w:r>
              <w:rPr>
                <w:sz w:val="20"/>
                <w:szCs w:val="20"/>
                <w:lang w:val="pt-BR"/>
              </w:rPr>
              <w:t xml:space="preserve">Nó no pleno; a rampa seguinte parte do pleno, e não do último nível aplicado</w:t>
            </w:r>
          </w:p>
        </w:tc>
      </w:tr>
      <w:tr w:rsidR="00E01C3A" w:rsidRPr="00CE1B46" w14:paraId="536D33A0" w14:textId="77777777">
        <w:trPr/>
        <w:tc>
          <w:tcPr>
            <w:tcW w:w="850" w:type="dxa"/>
            <w:tcMar>
              <w:top w:w="70" w:type="dxa"/>
              <w:left w:w="90" w:type="dxa"/>
              <w:bottom w:w="70" w:type="dxa"/>
              <w:right w:w="90" w:type="dxa"/>
            </w:tcMar>
          </w:tcPr>
          <w:p w14:paraId="4101C424" w14:textId="77777777" w:rsidR="00847C0D" w:rsidRDefault="00CC3326">
            <w:pPr/>
            <w:r>
              <w:rPr>
                <w:sz w:val="20"/>
                <w:szCs w:val="20"/>
              </w:rPr>
              <w:t>CT08</w:t>
            </w:r>
          </w:p>
        </w:tc>
        <w:tc>
          <w:tcPr>
            <w:tcW w:w="3500" w:type="dxa"/>
            <w:tcMar>
              <w:top w:w="70" w:type="dxa"/>
              <w:left w:w="90" w:type="dxa"/>
              <w:bottom w:w="70" w:type="dxa"/>
              <w:right w:w="90" w:type="dxa"/>
            </w:tcMar>
          </w:tcPr>
          <w:p w14:paraId="7BCE61C1" w14:textId="77777777" w:rsidR="00847C0D" w:rsidRDefault="00CC3326">
            <w:pPr/>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pPr/>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pPr/>
            <w:r>
              <w:rPr>
                <w:sz w:val="20"/>
                <w:szCs w:val="20"/>
                <w:lang w:val="pt-BR"/>
              </w:rPr>
              <w:t>Cadeia completa gravada, com versões da base e do modelo; serviço recusa operar com hash divergente</w:t>
            </w:r>
          </w:p>
        </w:tc>
      </w:tr>
      <w:tr w:rsidR="00E01C3A" w:rsidRPr="00CE1B46" w14:paraId="148582AC" w14:textId="77777777">
        <w:trPr/>
        <w:tc>
          <w:tcPr>
            <w:tcW w:w="850" w:type="dxa"/>
            <w:tcMar>
              <w:top w:w="70" w:type="dxa"/>
              <w:left w:w="90" w:type="dxa"/>
              <w:bottom w:w="70" w:type="dxa"/>
              <w:right w:w="90" w:type="dxa"/>
            </w:tcMar>
          </w:tcPr>
          <w:p w14:paraId="1F626FF2" w14:textId="77777777" w:rsidR="00847C0D" w:rsidRDefault="00CC3326">
            <w:pPr/>
            <w:r>
              <w:rPr>
                <w:sz w:val="20"/>
                <w:szCs w:val="20"/>
              </w:rPr>
              <w:t>CT09</w:t>
            </w:r>
          </w:p>
        </w:tc>
        <w:tc>
          <w:tcPr>
            <w:tcW w:w="3500" w:type="dxa"/>
            <w:tcMar>
              <w:top w:w="70" w:type="dxa"/>
              <w:left w:w="90" w:type="dxa"/>
              <w:bottom w:w="70" w:type="dxa"/>
              <w:right w:w="90" w:type="dxa"/>
            </w:tcMar>
          </w:tcPr>
          <w:p w14:paraId="1E6D6332" w14:textId="77777777" w:rsidR="00847C0D" w:rsidRDefault="00CC3326">
            <w:pPr/>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pPr/>
            <w:r>
              <w:rPr>
                <w:sz w:val="20"/>
                <w:szCs w:val="20"/>
              </w:rPr>
              <w:t xml:space="preserve">Segunda telemetria para a mesma decisão; </w:t>
            </w:r>
            <w:r>
              <w:rPr>
                <w:sz w:val="20"/>
                <w:szCs w:val="20"/>
              </w:rPr>
              <w:t>telemetria malformada</w:t>
            </w:r>
          </w:p>
        </w:tc>
        <w:tc>
          <w:tcPr>
            <w:tcW w:w="2971" w:type="dxa"/>
            <w:tcMar>
              <w:top w:w="70" w:type="dxa"/>
              <w:left w:w="90" w:type="dxa"/>
              <w:bottom w:w="70" w:type="dxa"/>
              <w:right w:w="90" w:type="dxa"/>
            </w:tcMar>
          </w:tcPr>
          <w:p w14:paraId="7336B332" w14:textId="77777777" w:rsidR="00847C0D" w:rsidRDefault="00CC3326">
            <w:pPr/>
            <w:r>
              <w:rPr>
                <w:sz w:val="20"/>
                <w:szCs w:val="20"/>
                <w:lang w:val="pt-BR"/>
              </w:rPr>
              <w:t>Uma única telemetria por decisão; mensagem malformada descartada</w:t>
            </w:r>
          </w:p>
        </w:tc>
      </w:tr>
      <w:tr w:rsidR="00E01C3A" w:rsidRPr="00CE1B46" w14:paraId="470CE3C4" w14:textId="77777777">
        <w:trPr/>
        <w:tc>
          <w:tcPr>
            <w:tcW w:w="850" w:type="dxa"/>
            <w:tcMar>
              <w:top w:w="70" w:type="dxa"/>
              <w:left w:w="90" w:type="dxa"/>
              <w:bottom w:w="70" w:type="dxa"/>
              <w:right w:w="90" w:type="dxa"/>
            </w:tcMar>
          </w:tcPr>
          <w:p w14:paraId="60F2BD8D" w14:textId="77777777" w:rsidR="00847C0D" w:rsidRDefault="00CC3326">
            <w:pPr/>
            <w:r>
              <w:rPr>
                <w:sz w:val="20"/>
                <w:szCs w:val="20"/>
              </w:rPr>
              <w:t>CT10</w:t>
            </w:r>
          </w:p>
        </w:tc>
        <w:tc>
          <w:tcPr>
            <w:tcW w:w="3500" w:type="dxa"/>
            <w:tcMar>
              <w:top w:w="70" w:type="dxa"/>
              <w:left w:w="90" w:type="dxa"/>
              <w:bottom w:w="70" w:type="dxa"/>
              <w:right w:w="90" w:type="dxa"/>
            </w:tcMar>
          </w:tcPr>
          <w:p w14:paraId="5B5EA57C" w14:textId="77777777" w:rsidR="00847C0D" w:rsidRDefault="00CC3326">
            <w:pPr/>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pPr/>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pPr/>
            <w:r>
              <w:rPr>
                <w:sz w:val="20"/>
                <w:szCs w:val="20"/>
                <w:lang w:val="pt-BR"/>
              </w:rPr>
              <w:t>Critério de P3 igual ao da tabela; piso pleno para classe não dimerizável; degraus P3, P4 e P5 e P4, P5 e P6 lidos da tabela</w:t>
            </w:r>
          </w:p>
        </w:tc>
      </w:tr>
      <w:tr w:rsidR="00E01C3A" w:rsidRPr="00CE1B46" w14:paraId="077280A6" w14:textId="77777777">
        <w:trPr/>
        <w:tc>
          <w:tcPr>
            <w:tcW w:w="850" w:type="dxa"/>
            <w:tcMar>
              <w:top w:w="70" w:type="dxa"/>
              <w:left w:w="90" w:type="dxa"/>
              <w:bottom w:w="70" w:type="dxa"/>
              <w:right w:w="90" w:type="dxa"/>
            </w:tcMar>
          </w:tcPr>
          <w:p w14:paraId="548AABC5" w14:textId="77777777" w:rsidR="00847C0D" w:rsidRDefault="00CC3326">
            <w:pPr/>
            <w:r>
              <w:rPr>
                <w:sz w:val="20"/>
                <w:szCs w:val="20"/>
              </w:rPr>
              <w:t>CT11</w:t>
            </w:r>
          </w:p>
        </w:tc>
        <w:tc>
          <w:tcPr>
            <w:tcW w:w="3500" w:type="dxa"/>
            <w:tcMar>
              <w:top w:w="70" w:type="dxa"/>
              <w:left w:w="90" w:type="dxa"/>
              <w:bottom w:w="70" w:type="dxa"/>
              <w:right w:w="90" w:type="dxa"/>
            </w:tcMar>
          </w:tcPr>
          <w:p w14:paraId="66EC8F0A" w14:textId="77777777" w:rsidR="00847C0D" w:rsidRDefault="00CC3326">
            <w:pPr/>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pPr/>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pPr/>
            <w:r>
              <w:rPr>
                <w:sz w:val="20"/>
                <w:szCs w:val="20"/>
                <w:lang w:val="pt-BR"/>
              </w:rPr>
              <w:t>Cada execução enxerga só os próprios eventos; resultados idênticos</w:t>
            </w:r>
          </w:p>
        </w:tc>
      </w:tr>
      <w:tr w:rsidR="00E01C3A" w:rsidRPr="00CE1B46" w14:paraId="5E282AD1" w14:textId="77777777">
        <w:trPr/>
        <w:tc>
          <w:tcPr>
            <w:tcW w:w="850" w:type="dxa"/>
            <w:tcMar>
              <w:top w:w="70" w:type="dxa"/>
              <w:left w:w="90" w:type="dxa"/>
              <w:bottom w:w="70" w:type="dxa"/>
              <w:right w:w="90" w:type="dxa"/>
            </w:tcMar>
          </w:tcPr>
          <w:p w14:paraId="4EBE1D85" w14:textId="77777777" w:rsidR="00847C0D" w:rsidRDefault="00CC3326">
            <w:pPr/>
            <w:r>
              <w:rPr>
                <w:sz w:val="20"/>
                <w:szCs w:val="20"/>
              </w:rPr>
              <w:t>CT12</w:t>
            </w:r>
          </w:p>
        </w:tc>
        <w:tc>
          <w:tcPr>
            <w:tcW w:w="3500" w:type="dxa"/>
            <w:tcMar>
              <w:top w:w="70" w:type="dxa"/>
              <w:left w:w="90" w:type="dxa"/>
              <w:bottom w:w="70" w:type="dxa"/>
              <w:right w:w="90" w:type="dxa"/>
            </w:tcMar>
          </w:tcPr>
          <w:p w14:paraId="6E7F6083" w14:textId="77777777" w:rsidR="00847C0D" w:rsidRDefault="00CC3326">
            <w:pPr/>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pPr/>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pPr/>
            <w:r>
              <w:rPr>
                <w:sz w:val="20"/>
                <w:szCs w:val="20"/>
                <w:lang w:val="pt-BR"/>
              </w:rPr>
              <w:t>Falha total após três ciclos; perda de controle após doze; leitura isolada não alerta; tolerância nunca abaixo da resolução</w:t>
            </w:r>
          </w:p>
        </w:tc>
      </w:tr>
      <w:tr w:rsidR="00E01C3A" w:rsidRPr="00CE1B46" w14:paraId="64FA3329" w14:textId="77777777">
        <w:trPr/>
        <w:tc>
          <w:tcPr>
            <w:tcW w:w="850" w:type="dxa"/>
            <w:tcMar>
              <w:top w:w="70" w:type="dxa"/>
              <w:left w:w="90" w:type="dxa"/>
              <w:bottom w:w="70" w:type="dxa"/>
              <w:right w:w="90" w:type="dxa"/>
            </w:tcMar>
          </w:tcPr>
          <w:p w14:paraId="45FF88E4" w14:textId="77777777" w:rsidR="00847C0D" w:rsidRDefault="00CC3326">
            <w:pPr/>
            <w:r>
              <w:rPr>
                <w:sz w:val="20"/>
                <w:szCs w:val="20"/>
              </w:rPr>
              <w:t>CT13</w:t>
            </w:r>
          </w:p>
        </w:tc>
        <w:tc>
          <w:tcPr>
            <w:tcW w:w="3500" w:type="dxa"/>
            <w:tcMar>
              <w:top w:w="70" w:type="dxa"/>
              <w:left w:w="90" w:type="dxa"/>
              <w:bottom w:w="70" w:type="dxa"/>
              <w:right w:w="90" w:type="dxa"/>
            </w:tcMar>
          </w:tcPr>
          <w:p w14:paraId="77335B0E" w14:textId="77777777" w:rsidR="00847C0D" w:rsidRDefault="00CC3326">
            <w:pPr/>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pPr/>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pPr/>
            <w:r>
              <w:rPr>
                <w:sz w:val="20"/>
                <w:szCs w:val="20"/>
                <w:lang w:val="pt-BR"/>
              </w:rPr>
              <w:t>2,50 Wh a 40 W; razão entre regimes independente da potência</w:t>
            </w:r>
          </w:p>
        </w:tc>
      </w:tr>
      <w:tr w:rsidR="00E01C3A" w:rsidRPr="00CE1B46" w14:paraId="635331A1" w14:textId="77777777">
        <w:trPr/>
        <w:tc>
          <w:tcPr>
            <w:tcW w:w="850" w:type="dxa"/>
            <w:tcMar>
              <w:top w:w="70" w:type="dxa"/>
              <w:left w:w="90" w:type="dxa"/>
              <w:bottom w:w="70" w:type="dxa"/>
              <w:right w:w="90" w:type="dxa"/>
            </w:tcMar>
          </w:tcPr>
          <w:p w14:paraId="6D89897A" w14:textId="77777777" w:rsidR="00847C0D" w:rsidRDefault="00CC3326">
            <w:pPr/>
            <w:r>
              <w:rPr>
                <w:sz w:val="20"/>
                <w:szCs w:val="20"/>
              </w:rPr>
              <w:t>CT14</w:t>
            </w:r>
          </w:p>
        </w:tc>
        <w:tc>
          <w:tcPr>
            <w:tcW w:w="3500" w:type="dxa"/>
            <w:tcMar>
              <w:top w:w="70" w:type="dxa"/>
              <w:left w:w="90" w:type="dxa"/>
              <w:bottom w:w="70" w:type="dxa"/>
              <w:right w:w="90" w:type="dxa"/>
            </w:tcMar>
          </w:tcPr>
          <w:p w14:paraId="506C0880" w14:textId="77777777" w:rsidR="00847C0D" w:rsidRDefault="00CC3326">
            <w:pPr/>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pPr/>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pPr/>
            <w:r>
              <w:rPr>
                <w:sz w:val="20"/>
                <w:szCs w:val="20"/>
                <w:lang w:val="pt-BR"/>
              </w:rPr>
              <w:t>Cadeia de auditoria com as regras ativadas, estado do ponto, trechos associados e alertas abertos; cabeçalhos para a origem do painel</w:t>
            </w:r>
          </w:p>
        </w:tc>
      </w:tr>
      <w:tr w:rsidR="00E01C3A" w:rsidRPr="00CE1B46" w14:paraId="3AB3F0FC" w14:textId="77777777">
        <w:trPr/>
        <w:tc>
          <w:tcPr>
            <w:tcW w:w="850" w:type="dxa"/>
            <w:tcMar>
              <w:top w:w="70" w:type="dxa"/>
              <w:left w:w="90" w:type="dxa"/>
              <w:bottom w:w="70" w:type="dxa"/>
              <w:right w:w="90" w:type="dxa"/>
            </w:tcMar>
          </w:tcPr>
          <w:p w14:paraId="09A3E561" w14:textId="77777777" w:rsidR="00847C0D" w:rsidRDefault="00CC3326">
            <w:pPr/>
            <w:r>
              <w:rPr>
                <w:sz w:val="20"/>
                <w:szCs w:val="20"/>
              </w:rPr>
              <w:t>CT15</w:t>
            </w:r>
          </w:p>
        </w:tc>
        <w:tc>
          <w:tcPr>
            <w:tcW w:w="3500" w:type="dxa"/>
            <w:tcMar>
              <w:top w:w="70" w:type="dxa"/>
              <w:left w:w="90" w:type="dxa"/>
              <w:bottom w:w="70" w:type="dxa"/>
              <w:right w:w="90" w:type="dxa"/>
            </w:tcMar>
          </w:tcPr>
          <w:p w14:paraId="6FA35F53" w14:textId="77777777" w:rsidR="00847C0D" w:rsidRDefault="00CC3326">
            <w:pPr/>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pPr/>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pPr/>
            <w:r>
              <w:rPr>
                <w:sz w:val="20"/>
                <w:szCs w:val="20"/>
                <w:lang w:val="pt-BR"/>
              </w:rPr>
              <w:t>Ciclo de trabalho aplicado e iluminância medida correspondentes ao nível emitido</w:t>
            </w:r>
          </w:p>
        </w:tc>
      </w:tr>
      <w:tr w:rsidR="00E01C3A" w:rsidRPr="00CE1B46" w14:paraId="06843397" w14:textId="77777777">
        <w:trPr/>
        <w:tc>
          <w:tcPr>
            <w:tcW w:w="850" w:type="dxa"/>
            <w:tcMar>
              <w:top w:w="70" w:type="dxa"/>
              <w:left w:w="90" w:type="dxa"/>
              <w:bottom w:w="70" w:type="dxa"/>
              <w:right w:w="90" w:type="dxa"/>
            </w:tcMar>
          </w:tcPr>
          <w:p w14:paraId="2430CF09" w14:textId="77777777" w:rsidR="00847C0D" w:rsidRDefault="00CC3326">
            <w:pPr/>
            <w:r>
              <w:rPr>
                <w:sz w:val="20"/>
                <w:szCs w:val="20"/>
              </w:rPr>
              <w:t>CT16</w:t>
            </w:r>
          </w:p>
        </w:tc>
        <w:tc>
          <w:tcPr>
            <w:tcW w:w="3500" w:type="dxa"/>
            <w:tcMar>
              <w:top w:w="70" w:type="dxa"/>
              <w:left w:w="90" w:type="dxa"/>
              <w:bottom w:w="70" w:type="dxa"/>
              <w:right w:w="90" w:type="dxa"/>
            </w:tcMar>
          </w:tcPr>
          <w:p w14:paraId="7F835DCA" w14:textId="77777777" w:rsidR="00847C0D" w:rsidRDefault="00CC3326">
            <w:pPr/>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pPr/>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pPr/>
            <w:r>
              <w:rPr>
                <w:sz w:val="20"/>
                <w:szCs w:val="20"/>
                <w:lang w:val="pt-BR"/>
              </w:rPr>
              <w:t>Alerta de falha total aberto e encerrado ao religar</w:t>
            </w:r>
          </w:p>
        </w:tc>
      </w:tr>
      <w:tr w:rsidR="00E01C3A" w:rsidRPr="00CE1B46" w14:paraId="14C4FB9D" w14:textId="77777777">
        <w:trPr/>
        <w:tc>
          <w:tcPr>
            <w:tcW w:w="850" w:type="dxa"/>
            <w:tcMar>
              <w:top w:w="70" w:type="dxa"/>
              <w:left w:w="90" w:type="dxa"/>
              <w:bottom w:w="70" w:type="dxa"/>
              <w:right w:w="90" w:type="dxa"/>
            </w:tcMar>
          </w:tcPr>
          <w:p w14:paraId="18BBD75D" w14:textId="77777777" w:rsidR="00847C0D" w:rsidRDefault="00CC3326">
            <w:pPr/>
            <w:r>
              <w:rPr>
                <w:sz w:val="20"/>
                <w:szCs w:val="20"/>
              </w:rPr>
              <w:t>CT17</w:t>
            </w:r>
          </w:p>
        </w:tc>
        <w:tc>
          <w:tcPr>
            <w:tcW w:w="3500" w:type="dxa"/>
            <w:tcMar>
              <w:top w:w="70" w:type="dxa"/>
              <w:left w:w="90" w:type="dxa"/>
              <w:bottom w:w="70" w:type="dxa"/>
              <w:right w:w="90" w:type="dxa"/>
            </w:tcMar>
          </w:tcPr>
          <w:p w14:paraId="7941C467" w14:textId="77777777" w:rsidR="00847C0D" w:rsidRDefault="00CC3326">
            <w:pPr/>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pPr/>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pPr/>
            <w:r>
              <w:rPr>
                <w:sz w:val="20"/>
                <w:szCs w:val="20"/>
                <w:lang w:val="pt-BR"/>
              </w:rPr>
              <w:t xml:space="preserve">Latência inferior a 180 s em todas as repetições</w:t>
            </w:r>
          </w:p>
        </w:tc>
      </w:tr>
      <w:tr w:rsidR="00E01C3A" w:rsidRPr="00CE1B46" w14:paraId="015ED2E5" w14:textId="77777777">
        <w:trPr/>
        <w:tc>
          <w:tcPr>
            <w:tcW w:w="850" w:type="dxa"/>
            <w:tcMar>
              <w:top w:w="70" w:type="dxa"/>
              <w:left w:w="90" w:type="dxa"/>
              <w:bottom w:w="70" w:type="dxa"/>
              <w:right w:w="90" w:type="dxa"/>
            </w:tcMar>
          </w:tcPr>
          <w:p w14:paraId="63F57486" w14:textId="77777777" w:rsidR="00847C0D" w:rsidRDefault="00CC3326">
            <w:pPr/>
            <w:r>
              <w:rPr>
                <w:sz w:val="20"/>
                <w:szCs w:val="20"/>
              </w:rPr>
              <w:t>CT18</w:t>
            </w:r>
          </w:p>
        </w:tc>
        <w:tc>
          <w:tcPr>
            <w:tcW w:w="3500" w:type="dxa"/>
            <w:tcMar>
              <w:top w:w="70" w:type="dxa"/>
              <w:left w:w="90" w:type="dxa"/>
              <w:bottom w:w="70" w:type="dxa"/>
              <w:right w:w="90" w:type="dxa"/>
            </w:tcMar>
          </w:tcPr>
          <w:p w14:paraId="5A842540" w14:textId="77777777" w:rsidR="00847C0D" w:rsidRDefault="00CC3326">
            <w:pPr/>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pPr/>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pPr/>
            <w:r>
              <w:rPr>
                <w:sz w:val="20"/>
                <w:szCs w:val="20"/>
                <w:lang w:val="pt-BR"/>
              </w:rPr>
              <w:t xml:space="preserve">Nó no pleno ao vencer a validade do último comando, medido pelo sensor</w:t>
            </w:r>
          </w:p>
        </w:tc>
      </w:tr>
      <w:tr w:rsidR="00E01C3A" w:rsidRPr="00CE1B46" w14:paraId="3FE9F9AE" w14:textId="77777777">
        <w:trPr/>
        <w:tc>
          <w:tcPr>
            <w:tcW w:w="850" w:type="dxa"/>
            <w:tcMar>
              <w:top w:w="70" w:type="dxa"/>
              <w:left w:w="90" w:type="dxa"/>
              <w:bottom w:w="70" w:type="dxa"/>
              <w:right w:w="90" w:type="dxa"/>
            </w:tcMar>
          </w:tcPr>
          <w:p w14:paraId="2DCD4288" w14:textId="77777777" w:rsidR="00847C0D" w:rsidRDefault="00CC3326">
            <w:pPr/>
            <w:r>
              <w:rPr>
                <w:sz w:val="20"/>
                <w:szCs w:val="20"/>
              </w:rPr>
              <w:t>CT19</w:t>
            </w:r>
          </w:p>
        </w:tc>
        <w:tc>
          <w:tcPr>
            <w:tcW w:w="3500" w:type="dxa"/>
            <w:tcMar>
              <w:top w:w="70" w:type="dxa"/>
              <w:left w:w="90" w:type="dxa"/>
              <w:bottom w:w="70" w:type="dxa"/>
              <w:right w:w="90" w:type="dxa"/>
            </w:tcMar>
          </w:tcPr>
          <w:p w14:paraId="367E1CBF" w14:textId="77777777" w:rsidR="00847C0D" w:rsidRDefault="00CC3326">
            <w:pPr/>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pPr/>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pPr/>
            <w:r>
              <w:rPr>
                <w:sz w:val="20"/>
                <w:szCs w:val="20"/>
                <w:lang w:val="pt-BR"/>
              </w:rPr>
              <w:t>Recusa sem credencial; canal cifrado negociado com credencial</w:t>
            </w:r>
          </w:p>
        </w:tc>
      </w:tr>
      <w:tr w:rsidR="00E01C3A" w:rsidRPr="00CE1B46" w14:paraId="350B30AC" w14:textId="77777777">
        <w:trPr/>
        <w:tc>
          <w:tcPr>
            <w:tcW w:w="850" w:type="dxa"/>
            <w:tcMar>
              <w:top w:w="70" w:type="dxa"/>
              <w:left w:w="90" w:type="dxa"/>
              <w:bottom w:w="70" w:type="dxa"/>
              <w:right w:w="90" w:type="dxa"/>
            </w:tcMar>
          </w:tcPr>
          <w:p w14:paraId="0E1C528B" w14:textId="77777777" w:rsidR="00847C0D" w:rsidRDefault="00CC3326">
            <w:pPr/>
            <w:r>
              <w:rPr>
                <w:sz w:val="20"/>
                <w:szCs w:val="20"/>
              </w:rPr>
              <w:t>CT20</w:t>
            </w:r>
          </w:p>
        </w:tc>
        <w:tc>
          <w:tcPr>
            <w:tcW w:w="3500" w:type="dxa"/>
            <w:tcMar>
              <w:top w:w="70" w:type="dxa"/>
              <w:left w:w="90" w:type="dxa"/>
              <w:bottom w:w="70" w:type="dxa"/>
              <w:right w:w="90" w:type="dxa"/>
            </w:tcMar>
          </w:tcPr>
          <w:p w14:paraId="6F97592A" w14:textId="77777777" w:rsidR="00847C0D" w:rsidRDefault="00CC3326">
            <w:pPr/>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pPr/>
            <w:r>
              <w:rPr>
                <w:sz w:val="20"/>
                <w:szCs w:val="20"/>
              </w:rPr>
              <w:t xml:space="preserve">Segundo ponto de luz cadastrado, com </w:t>
            </w:r>
            <w:r>
              <w:rPr>
                <w:sz w:val="20"/>
                <w:szCs w:val="20"/>
              </w:rPr>
              <w:t>segundo assinante</w:t>
            </w:r>
          </w:p>
        </w:tc>
        <w:tc>
          <w:tcPr>
            <w:tcW w:w="2971" w:type="dxa"/>
            <w:tcMar>
              <w:top w:w="70" w:type="dxa"/>
              <w:left w:w="90" w:type="dxa"/>
              <w:bottom w:w="70" w:type="dxa"/>
              <w:right w:w="90" w:type="dxa"/>
            </w:tcMar>
          </w:tcPr>
          <w:p w14:paraId="0B577409" w14:textId="77777777" w:rsidR="00847C0D" w:rsidRDefault="00CC3326">
            <w:pPr/>
            <w:r>
              <w:rPr>
                <w:sz w:val="20"/>
                <w:szCs w:val="20"/>
                <w:lang w:val="pt-BR"/>
              </w:rPr>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3"/>
        <w:spacing w:before="360" w:after="240" w:line="360" w:lineRule="auto"/>
        <w:rPr>
          <w:lang w:val="pt-BR"/>
        </w:rPr>
      </w:pPr>
      <w:bookmarkStart w:id="58" w:name="_Toc241792050"/>
      <w:r>
        <w:rPr>
          <w:lang w:val="pt-BR"/>
        </w:rPr>
        <w:t xml:space="preserve">3.12.8</w:t>
      </w:r>
      <w:r>
        <w:rPr>
          <w:lang w:val="pt-BR"/>
        </w:rPr>
        <w:t xml:space="preserve">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3"/>
        <w:spacing w:before="360" w:after="240" w:line="360" w:lineRule="auto"/>
        <w:rPr>
          <w:lang w:val="pt-BR"/>
        </w:rPr>
      </w:pPr>
      <w:bookmarkStart w:id="59" w:name="_Toc241792051"/>
      <w:r>
        <w:rPr>
          <w:lang w:val="pt-BR"/>
        </w:rPr>
        <w:t xml:space="preserve">3.12.9</w:t>
      </w:r>
      <w:r>
        <w:rPr>
          <w:lang w:val="pt-BR"/>
        </w:rPr>
        <w:t xml:space="preserve">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9E62BEA" w14:textId="77777777" w:rsidR="00E01C3A" w:rsidRDefault="00CC3326">
      <w:pPr>
        <w:pStyle w:val="Heading2"/>
        <w:spacing w:before="360" w:after="240" w:line="360" w:lineRule="auto"/>
        <w:rPr>
          <w:lang w:val="pt-BR"/>
        </w:rPr>
      </w:pPr>
      <w:bookmarkStart w:id="53" w:name="_Toc241792045"/>
      <w:r>
        <w:rPr>
          <w:lang w:val="pt-BR"/>
        </w:rPr>
        <w:t xml:space="preserve">3.13</w:t>
      </w:r>
      <w:r>
        <w:rPr>
          <w:lang w:val="pt-BR"/>
        </w:rPr>
        <w:t xml:space="preserve">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 xml:space="preserve">3.13.1</w:t>
      </w:r>
      <w:r>
        <w:rPr>
          <w:lang w:val="pt-BR"/>
        </w:rPr>
        <w:t xml:space="preserve">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 xml:space="preserve">O Quadro </w:t>
      </w:r>
      <w:r>
        <w:rPr>
          <w:lang w:val="pt-BR"/>
        </w:rPr>
        <w:t xml:space="preserve">16</w:t>
      </w:r>
      <w:r>
        <w:rPr>
          <w:lang w:val="pt-BR"/>
        </w:rPr>
        <w:t xml:space="preserve">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 xml:space="preserve">Quadro </w:t>
      </w:r>
      <w:r>
        <w:rPr>
          <w:sz w:val="20"/>
          <w:szCs w:val="20"/>
          <w:lang w:val="pt-BR"/>
        </w:rPr>
        <w:t xml:space="preserve">16</w:t>
      </w:r>
      <w:r>
        <w:rPr>
          <w:sz w:val="20"/>
          <w:szCs w:val="20"/>
          <w:lang w:val="pt-BR"/>
        </w:rPr>
        <w:t xml:space="preserve">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 xml:space="preserve">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w:t>
      </w:r>
      <w:r>
        <w:rPr>
          <w:lang w:val="pt-BR"/>
        </w:rPr>
        <w:t xml:space="preserve">4.3</w:t>
      </w:r>
      <w:r>
        <w:rPr>
          <w:lang w:val="pt-BR"/>
        </w:rPr>
        <w:t xml:space="preserve">.</w:t>
      </w:r>
    </w:p>
    <w:p w14:paraId="52E16782"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w:t>
      </w:r>
      <w:r>
        <w:rPr>
          <w:lang w:val="pt-BR"/>
        </w:rPr>
        <w:t xml:space="preserve">6.1</w:t>
      </w:r>
      <w:r>
        <w:rPr>
          <w:lang w:val="pt-BR"/>
        </w:rPr>
        <w:t xml:space="preserve">.</w:t>
      </w:r>
    </w:p>
    <w:p w14:paraId="2C4CD473" w14:textId="77777777" w:rsidR="00E01C3A" w:rsidRDefault="00CC3326">
      <w:pPr>
        <w:pStyle w:val="Heading3"/>
        <w:spacing w:before="320" w:after="200" w:line="360" w:lineRule="auto"/>
        <w:rPr>
          <w:lang w:val="pt-BR"/>
        </w:rPr>
      </w:pPr>
      <w:bookmarkStart w:id="55" w:name="_Toc241792047"/>
      <w:r>
        <w:rPr>
          <w:lang w:val="pt-BR"/>
        </w:rPr>
        <w:t xml:space="preserve">3.13.2</w:t>
      </w:r>
      <w:r>
        <w:rPr>
          <w:lang w:val="pt-BR"/>
        </w:rPr>
        <w:t xml:space="preserve">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 xml:space="preserve">A Figura 3 apresenta o modelo de dados em nível de relacionamento. A justificativa da escolha pelo modelo relacional e a função de cada entidade estão registradas em </w:t>
      </w:r>
      <w:r>
        <w:rPr>
          <w:lang w:val="pt-BR"/>
        </w:rPr>
        <w:t xml:space="preserve">3.13.1</w:t>
      </w:r>
      <w:r>
        <w:rPr>
          <w:lang w:val="pt-BR"/>
        </w:rPr>
        <w:t xml:space="preserve"> e no Quadro </w:t>
      </w:r>
      <w:r>
        <w:rPr>
          <w:lang w:val="pt-BR"/>
        </w:rPr>
        <w:t xml:space="preserve">16</w:t>
      </w:r>
      <w:r>
        <w:rPr>
          <w:lang w:val="pt-BR"/>
        </w:rPr>
        <w:t xml:space="preserve">;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r>
        <w:rPr>
          <w:lang w:val="pt-BR"/>
        </w:rPr>
        <w:t xml:space="preserve">A relação entre decisão e telemetria é de um para no máximo um: cada comando emitido produz uma leitura de confirmação, e a decisão que mantém o alvo e não gera comando não tem telemetria;</w:t>
      </w:r>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 xml:space="preserve">3.13.3</w:t>
      </w:r>
      <w:r>
        <w:rPr>
          <w:lang w:val="pt-BR"/>
        </w:rPr>
        <w:t xml:space="preserve">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 xml:space="preserve">O Quadro </w:t>
      </w:r>
      <w:r>
        <w:rPr>
          <w:highlight w:val="yellow"/>
          <w:lang w:val="pt-BR"/>
        </w:rPr>
        <w:t xml:space="preserve">17</w:t>
      </w:r>
      <w:r>
        <w:rPr>
          <w:highlight w:val="yellow"/>
          <w:lang w:val="pt-BR"/>
        </w:rPr>
        <w:t xml:space="preserve">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 xml:space="preserve">Quadro </w:t>
      </w:r>
      <w:r>
        <w:rPr>
          <w:sz w:val="20"/>
          <w:szCs w:val="20"/>
          <w:lang w:val="pt-BR"/>
        </w:rPr>
        <w:t xml:space="preserve">17</w:t>
      </w:r>
      <w:r>
        <w:rPr>
          <w:sz w:val="20"/>
          <w:szCs w:val="20"/>
          <w:lang w:val="pt-BR"/>
        </w:rPr>
        <w:t xml:space="preserve">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r>
              <w:rPr>
                <w:sz w:val="20"/>
                <w:szCs w:val="20"/>
                <w:lang w:val="pt-BR"/>
              </w:rPr>
              <w:t xml:space="preserve">abrangência em {via, quadra, bairro, município}, com padrão via e sem uso pelo serviço;</w:t>
            </w:r>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 xml:space="preserve">Confirmação de cada decisão publicada,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 xml:space="preserve">Completam o esquema os índices por ponto e instante nas tabelas que crescem com a operação, o gatilho que notifica o serviço a cada evento inserido e a visão de auditoria descrita em </w:t>
      </w:r>
      <w:r>
        <w:rPr>
          <w:highlight w:val="yellow"/>
          <w:lang w:val="pt-BR"/>
        </w:rPr>
        <w:t xml:space="preserve">3.13.2</w:t>
      </w:r>
      <w:r>
        <w:rPr>
          <w:highlight w:val="yellow"/>
          <w:lang w:val="pt-BR"/>
        </w:rPr>
        <w:t xml:space="preserve">. O esquema é criado por um único arquivo de definição, versionado junto ao código, e as alterações posteriores, por arquivos de migração numerados, de modo que o banco de qualquer execução possa ser reconstituído.</w:t>
      </w:r>
    </w:p>
    <w:p w14:paraId="043E6280" w14:textId="77777777" w:rsidR="00847C0D" w:rsidRDefault="00CC3326">
      <w:pPr>
        <w:keepNext/>
        <w:spacing w:before="260" w:after="13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bl>
    <w:p w14:paraId="7DAC3ABD" w14:textId="77777777" w:rsidR="00E01C3A" w:rsidRDefault="00CC3326">
      <w:pPr>
        <w:pStyle w:val="Heading1"/>
        <w:pageBreakBefore/>
        <w:spacing w:before="480" w:after="280" w:line="360" w:lineRule="auto"/>
        <w:rPr>
          <w:lang w:val="pt-BR"/>
        </w:rPr>
      </w:pPr>
      <w:bookmarkStart w:id="60" w:name="_Toc241792052"/>
      <w:r>
        <w:rPr>
          <w:lang w:val="pt-BR"/>
        </w:rPr>
        <w:t xml:space="preserve">4</w:t>
      </w:r>
      <w:r>
        <w:rPr>
          <w:lang w:val="pt-BR"/>
        </w:rPr>
        <w:t xml:space="preserve"> RESULTADOS</w:t>
      </w:r>
      <w:bookmarkEnd w:id="60"/>
    </w:p>
    <w:p w14:paraId="53567126" w14:textId="77777777" w:rsidR="00E01C3A" w:rsidRDefault="00CC3326">
      <w:pPr>
        <w:spacing w:after="120" w:line="360" w:lineRule="auto"/>
        <w:ind w:firstLine="709"/>
        <w:jc w:val="both"/>
        <w:rPr>
          <w:lang w:val="pt-BR"/>
        </w:rPr>
      </w:pPr>
      <w:r>
        <w:rPr>
          <w:highlight w:val="yellow"/>
          <w:lang w:val="pt-BR"/>
        </w:rPr>
        <w:t xml:space="preserve">Os resultados são apresentados na ordem das etapas 3 a 7 de 3.9, sem discussão, </w:t>
      </w:r>
      <w:r>
        <w:rPr>
          <w:highlight w:val="yellow"/>
          <w:lang w:val="pt-BR"/>
        </w:rPr>
        <w:t xml:space="preserve">que fica para o Capítulo 5.</w:t>
      </w:r>
      <w:r>
        <w:rPr>
          <w:highlight w:val="yellow"/>
          <w:lang w:val="pt-BR"/>
        </w:rPr>
        <w:t xml:space="preserve"> O produto principal é </w:t>
      </w:r>
      <w:r>
        <w:rPr>
          <w:highlight w:val="yellow"/>
          <w:lang w:val="pt-BR"/>
        </w:rPr>
        <w:t xml:space="preserve">o protótipo integrado descrito em 3.12,</w:t>
      </w:r>
      <w:r>
        <w:rPr>
          <w:highlight w:val="yellow"/>
          <w:lang w:val="pt-BR"/>
        </w:rPr>
        <w:t xml:space="preserve">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 xml:space="preserve">4.1</w:t>
      </w:r>
      <w:r>
        <w:rPr>
          <w:lang w:val="pt-BR"/>
        </w:rPr>
        <w:t xml:space="preserve">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w:t>
      </w:r>
      <w:r>
        <w:rPr>
          <w:highlight w:val="yellow"/>
          <w:lang w:val="pt-BR"/>
        </w:rPr>
        <w:t xml:space="preserve">4.6</w:t>
      </w:r>
      <w:r>
        <w:rPr>
          <w:highlight w:val="yellow"/>
          <w:lang w:val="pt-BR"/>
        </w:rPr>
        <w:t xml:space="preserve">: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 xml:space="preserve">4.2</w:t>
      </w:r>
      <w:r>
        <w:rPr>
          <w:lang w:val="pt-BR"/>
        </w:rPr>
        <w:t xml:space="preserve">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w:t>
      </w:r>
      <w:r>
        <w:rPr>
          <w:highlight w:val="yellow"/>
          <w:lang w:val="pt-BR"/>
        </w:rPr>
        <w:t xml:space="preserve">4.6</w:t>
      </w:r>
      <w:r>
        <w:rPr>
          <w:highlight w:val="yellow"/>
          <w:lang w:val="pt-BR"/>
        </w:rPr>
        <w:t xml:space="preserve">)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 xml:space="preserve">4.3</w:t>
      </w:r>
      <w:r>
        <w:rPr>
          <w:lang w:val="pt-BR"/>
        </w:rPr>
        <w:t xml:space="preserve">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w:t>
      </w:r>
      <w:r>
        <w:rPr>
          <w:highlight w:val="yellow"/>
          <w:lang w:val="pt-BR"/>
        </w:rPr>
        <w:t xml:space="preserve">5.3</w:t>
      </w:r>
      <w:r>
        <w:rPr>
          <w:highlight w:val="yellow"/>
          <w:lang w:val="pt-BR"/>
        </w:rPr>
        <w:t xml:space="preserve">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 xml:space="preserve">4.4</w:t>
      </w:r>
      <w:r>
        <w:rPr>
          <w:lang w:val="pt-BR"/>
        </w:rPr>
        <w:t xml:space="preserve">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r>
        <w:rPr>
          <w:lang w:val="pt-BR"/>
        </w:rPr>
        <w:t xml:space="preserve">por 5 min na madrugada ociosa e por 15 min na ocorrência na madrugada,</w:t>
      </w:r>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 xml:space="preserve">4.5</w:t>
      </w:r>
      <w:r>
        <w:rPr>
          <w:lang w:val="pt-BR"/>
        </w:rPr>
        <w:t xml:space="preserve">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w:t>
      </w:r>
      <w:r>
        <w:rPr>
          <w:lang w:val="pt-BR"/>
        </w:rPr>
        <w:t xml:space="preserve">4.6</w:t>
      </w:r>
      <w:r>
        <w:rPr>
          <w:lang w:val="pt-BR"/>
        </w:rPr>
        <w:t xml:space="preserve">,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t xml:space="preserve">4.6</w:t>
      </w:r>
      <w:r>
        <w:rPr>
          <w:lang w:val="pt-BR"/>
        </w:rPr>
        <w:t xml:space="preserve">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 xml:space="preserve">Oito noites reais de Zurique, em 15 min, de sorteio próprio</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t xml:space="preserve">5</w:t>
      </w:r>
      <w:r>
        <w:rPr>
          <w:lang w:val="pt-BR"/>
        </w:rPr>
        <w:t xml:space="preserve">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 xml:space="preserve">5.1</w:t>
      </w:r>
      <w:r>
        <w:rPr>
          <w:lang w:val="pt-BR"/>
        </w:rPr>
        <w:t xml:space="preserve">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w:t>
      </w:r>
      <w:r>
        <w:rPr>
          <w:highlight w:val="yellow"/>
          <w:lang w:val="pt-BR"/>
        </w:rPr>
        <w:t xml:space="preserve">com base no Capítulo 4,</w:t>
      </w:r>
      <w:r>
        <w:rPr>
          <w:highlight w:val="yellow"/>
          <w:lang w:val="pt-BR"/>
        </w:rPr>
        <w:t xml:space="preserve"> se cada hipótese de 2.10 é aceita ou rejeitada: H1 pela concordância de </w:t>
      </w:r>
      <w:r>
        <w:rPr>
          <w:highlight w:val="yellow"/>
          <w:lang w:val="pt-BR"/>
        </w:rPr>
        <w:t xml:space="preserve">4.4</w:t>
      </w:r>
      <w:r>
        <w:rPr>
          <w:highlight w:val="yellow"/>
          <w:lang w:val="pt-BR"/>
        </w:rPr>
        <w:t xml:space="preserve">; H2 pelo resultado de </w:t>
      </w:r>
      <w:r>
        <w:rPr>
          <w:highlight w:val="yellow"/>
          <w:lang w:val="pt-BR"/>
        </w:rPr>
        <w:t xml:space="preserve">4.2</w:t>
      </w:r>
      <w:r>
        <w:rPr>
          <w:highlight w:val="yellow"/>
          <w:lang w:val="pt-BR"/>
        </w:rPr>
        <w:t xml:space="preserve">; H3 pela comparação entre o acionamento antecipado e o puramente reativo</w:t>
      </w:r>
      <w:r>
        <w:rPr>
          <w:highlight w:val="yellow"/>
          <w:lang w:val="pt-BR"/>
        </w:rPr>
        <w:t xml:space="preserve"> (3.9 e </w:t>
      </w:r>
      <w:r>
        <w:rPr>
          <w:highlight w:val="yellow"/>
          <w:lang w:val="pt-BR"/>
        </w:rPr>
        <w:t xml:space="preserve">4.6</w:t>
      </w:r>
      <w:r>
        <w:rPr>
          <w:highlight w:val="yellow"/>
          <w:lang w:val="pt-BR"/>
        </w:rPr>
        <w:t xml:space="preserve">)</w:t>
      </w:r>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r>
        <w:rPr>
          <w:lang w:val="pt-BR"/>
        </w:rPr>
        <w:t xml:space="preserve">5.2</w:t>
      </w:r>
      <w:r>
        <w:rPr>
          <w:lang w:val="pt-BR"/>
        </w:rPr>
        <w:t xml:space="preserve">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 xml:space="preserve">5.3</w:t>
      </w:r>
      <w:r>
        <w:rPr>
          <w:lang w:val="pt-BR"/>
        </w:rPr>
        <w:t xml:space="preserve">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w:t>
      </w:r>
      <w:r>
        <w:rPr>
          <w:highlight w:val="yellow"/>
          <w:lang w:val="pt-BR"/>
        </w:rPr>
        <w:t xml:space="preserve">os resultados do Capítulo 4.</w:t>
      </w:r>
      <w:r>
        <w:rPr>
          <w:highlight w:val="yellow"/>
          <w:lang w:val="pt-BR"/>
        </w:rPr>
        <w:t xml:space="preserve"> O invariante de segurança (</w:t>
      </w:r>
      <w:r>
        <w:rPr>
          <w:highlight w:val="yellow"/>
          <w:lang w:val="pt-BR"/>
        </w:rPr>
        <w:t xml:space="preserve">4.2</w:t>
      </w:r>
      <w:r>
        <w:rPr>
          <w:highlight w:val="yellow"/>
          <w:lang w:val="pt-BR"/>
        </w:rPr>
        <w:t xml:space="preserve">) não depende de nenhuma delas: seu critério é integralmente normativo e foi verificado em todas as decisões. A concordância com o envelope (</w:t>
      </w:r>
      <w:r>
        <w:rPr>
          <w:highlight w:val="yellow"/>
          <w:lang w:val="pt-BR"/>
        </w:rPr>
        <w:t xml:space="preserve">4.4</w:t>
      </w:r>
      <w:r>
        <w:rPr>
          <w:highlight w:val="yellow"/>
          <w:lang w:val="pt-BR"/>
        </w:rPr>
        <w:t xml:space="preserve">) e o déficit em relação ao nível pedido (</w:t>
      </w:r>
      <w:r>
        <w:rPr>
          <w:highlight w:val="yellow"/>
          <w:lang w:val="pt-BR"/>
        </w:rPr>
        <w:t xml:space="preserve">4.6) dependem de c</w:t>
      </w:r>
      <w:r>
        <w:rPr>
          <w:highlight w:val="yellow"/>
          <w:lang w:val="pt-BR"/>
        </w:rPr>
        <w:t xml:space="preserve">ritérios dos autores — os envelopes e a associação dos tercis às classes. A estimativa de energia (</w:t>
      </w:r>
      <w:r>
        <w:rPr>
          <w:highlight w:val="yellow"/>
          <w:lang w:val="pt-BR"/>
        </w:rPr>
        <w:t xml:space="preserve">4.5</w:t>
      </w:r>
      <w:r>
        <w:rPr>
          <w:highlight w:val="yellow"/>
          <w:lang w:val="pt-BR"/>
        </w:rPr>
        <w:t xml:space="preserve">) depende da hipótese de proporcionalidade e da luminária de referência. </w:t>
      </w:r>
      <w:r>
        <w:rPr>
          <w:highlight w:val="yellow"/>
          <w:lang w:val="pt-BR"/>
        </w:rPr>
        <w:t xml:space="preserve">Os resultados da previsão (</w:t>
      </w:r>
      <w:r>
        <w:rPr>
          <w:highlight w:val="yellow"/>
          <w:lang w:val="pt-BR"/>
        </w:rPr>
        <w:t xml:space="preserve">4.1</w:t>
      </w:r>
      <w:r>
        <w:rPr>
          <w:highlight w:val="yellow"/>
          <w:lang w:val="pt-BR"/>
        </w:rPr>
        <w:t xml:space="preserve"> e </w:t>
      </w:r>
      <w:r>
        <w:rPr>
          <w:highlight w:val="yellow"/>
          <w:lang w:val="pt-BR"/>
        </w:rPr>
        <w:t xml:space="preserve">4.6</w:t>
      </w:r>
      <w:r>
        <w:rPr>
          <w:highlight w:val="yellow"/>
          <w:lang w:val="pt-BR"/>
        </w:rPr>
        <w:t xml:space="preserve">) dependem de série de outra cidade.</w:t>
      </w:r>
      <w:r>
        <w:rPr>
          <w:highlight w:val="yellow"/>
          <w:lang w:val="pt-BR"/>
        </w:rPr>
        <w:t xml:space="preserve"> E os de bancada (</w:t>
      </w:r>
      <w:r>
        <w:rPr>
          <w:highlight w:val="yellow"/>
          <w:lang w:val="pt-BR"/>
        </w:rPr>
        <w:t xml:space="preserve">4.3</w:t>
      </w:r>
      <w:r>
        <w:rPr>
          <w:highlight w:val="yellow"/>
          <w:lang w:val="pt-BR"/>
        </w:rPr>
        <w:t xml:space="preserve">)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 xml:space="preserve">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w:t>
      </w:r>
      <w:r>
        <w:rPr>
          <w:lang w:val="pt-BR"/>
        </w:rPr>
        <w:t xml:space="preserve">6.1</w:t>
      </w:r>
      <w:r>
        <w:rPr>
          <w:lang w:val="pt-BR"/>
        </w:rPr>
        <w:t xml:space="preserve">.</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 xml:space="preserve">O aprendizado limita-se à camada de previsão: a base de regras permanece fixa e não é ajustada pela operação. Seu ajuste automático, por sistemas neuro-nebulosos ou por aprendizado por reforço, reintroduziria a circularidade recusada em 2.6 e figura entre as recomendações de </w:t>
      </w:r>
      <w:r>
        <w:rPr>
          <w:lang w:val="pt-BR"/>
        </w:rPr>
        <w:t xml:space="preserve">6.1</w:t>
      </w:r>
      <w:r>
        <w:rPr>
          <w:lang w:val="pt-BR"/>
        </w:rPr>
        <w:t xml:space="preserve">.</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w:t>
      </w:r>
      <w:r>
        <w:rPr>
          <w:lang w:val="pt-BR"/>
        </w:rPr>
        <w:t xml:space="preserve">6.1</w:t>
      </w:r>
      <w:r>
        <w:rPr>
          <w:lang w:val="pt-BR"/>
        </w:rPr>
        <w:t xml:space="preserve">.</w:t>
      </w:r>
    </w:p>
    <w:p w14:paraId="1984432D" w14:textId="77777777" w:rsidR="00E01C3A" w:rsidRDefault="00CC3326">
      <w:pPr>
        <w:pStyle w:val="ListParagraph"/>
        <w:numPr>
          <w:ilvl w:val="0"/>
          <w:numId w:val="2"/>
        </w:numPr>
        <w:spacing w:after="120" w:line="360" w:lineRule="auto"/>
        <w:jc w:val="both"/>
        <w:rPr>
          <w:lang w:val="pt-BR"/>
        </w:rPr>
      </w:pPr>
      <w:r>
        <w:rPr>
          <w:lang w:val="pt-BR"/>
        </w:rPr>
        <w:t xml:space="preserve">A depreciação do fluxo luminoso não é demonstrada, por constituir fenômeno de milhares de horas de operação, incompatível com o prazo de execução. A arquitetura habilita sua estimativa empírica, nos termos de 3.4.5, que figura entre as recomendações de </w:t>
      </w:r>
      <w:r>
        <w:rPr>
          <w:lang w:val="pt-BR"/>
        </w:rPr>
        <w:t xml:space="preserve">6.1</w:t>
      </w:r>
      <w:r>
        <w:rPr>
          <w:lang w:val="pt-BR"/>
        </w:rPr>
        <w:t xml:space="preserve">.</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w:t>
      </w:r>
      <w:r>
        <w:rPr>
          <w:lang w:val="pt-BR"/>
        </w:rPr>
        <w:t xml:space="preserve">3.12.9</w:t>
      </w:r>
      <w:r>
        <w:rPr>
          <w:lang w:val="pt-BR"/>
        </w:rPr>
        <w:t xml:space="preserve"> e </w:t>
      </w:r>
      <w:r>
        <w:rPr>
          <w:lang w:val="pt-BR"/>
        </w:rPr>
        <w:t xml:space="preserve">4.3</w:t>
      </w:r>
      <w:r>
        <w:rPr>
          <w:lang w:val="pt-BR"/>
        </w:rPr>
        <w:t xml:space="preserve">).</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r>
        <w:rPr>
          <w:lang w:val="pt-BR"/>
        </w:rPr>
        <w:t xml:space="preserve">permanece no fluxo pleno (3.7):</w:t>
      </w:r>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t xml:space="preserve">5.4</w:t>
      </w:r>
      <w:r>
        <w:rPr>
          <w:lang w:val="pt-BR"/>
        </w:rPr>
        <w:t xml:space="preserve">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t xml:space="preserve">6</w:t>
      </w:r>
      <w:r>
        <w:rPr>
          <w:lang w:val="pt-BR"/>
        </w:rPr>
        <w:t xml:space="preserve">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 xml:space="preserve">6.1</w:t>
      </w:r>
      <w:r>
        <w:rPr>
          <w:lang w:val="pt-BR"/>
        </w:rPr>
        <w:t xml:space="preserve">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r>
        <w:rPr>
          <w:lang w:val="pt-BR"/>
        </w:rPr>
        <w:t xml:space="preserve">política de retenção e armazenamento</w:t>
      </w:r>
      <w:r>
        <w:rPr>
          <w:lang w:val="pt-BR"/>
        </w:rPr>
        <w:t xml:space="preserve"> orientado a série temporal (</w:t>
      </w:r>
      <w:r>
        <w:rPr>
          <w:lang w:val="pt-BR"/>
        </w:rPr>
        <w:t xml:space="preserve">3.13.1</w:t>
      </w:r>
      <w:r>
        <w:rPr>
          <w:lang w:val="pt-BR"/>
        </w:rPr>
        <w:t xml:space="preserve">).</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 xml:space="preserve">Estender a avaliação ao controle coordenado de múltiplas luminárias em rede (3.4.4 e </w:t>
      </w:r>
      <w:r>
        <w:rPr>
          <w:lang w:val="pt-BR"/>
        </w:rPr>
        <w:t xml:space="preserve">5.3</w:t>
      </w:r>
      <w:r>
        <w:rPr>
          <w:lang w:val="pt-BR"/>
        </w:rPr>
        <w:t xml:space="preserve">).</w:t>
      </w:r>
    </w:p>
    <w:p w14:paraId="5B0EFD66" w14:textId="77777777" w:rsidR="004A7735" w:rsidRDefault="007F0308">
      <w:pPr>
        <w:pStyle w:val="ListParagraph"/>
        <w:numPr>
          <w:ilvl w:val="0"/>
          <w:numId w:val="2"/>
        </w:numPr>
        <w:spacing w:after="120" w:line="360" w:lineRule="auto"/>
        <w:jc w:val="both"/>
      </w:pPr>
      <w:r>
        <w:rPr>
          <w:lang w:val="pt-BR"/>
        </w:rPr>
        <w:t xml:space="preserve">Estender o modelo a pontos de luz que atendem mais de uma classe — pista e calçada —, com o piso da classe mais exigente e com a movimentação de pedestres e de veículos (3.7 e </w:t>
      </w:r>
      <w:r>
        <w:rPr>
          <w:lang w:val="pt-BR"/>
        </w:rPr>
        <w:t xml:space="preserve">5.3</w:t>
      </w:r>
      <w:r>
        <w:rPr>
          <w:lang w:val="pt-BR"/>
        </w:rPr>
        <w:t xml:space="preserve">).</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 xml:space="preserve">Quantificar o consumo em equipamento viário, com medição elétrica rastreável (3.11 e </w:t>
      </w:r>
      <w:r>
        <w:rPr>
          <w:lang w:val="pt-BR"/>
        </w:rPr>
        <w:t xml:space="preserve">5.3</w:t>
      </w:r>
      <w:r>
        <w:rPr>
          <w:lang w:val="pt-BR"/>
        </w:rPr>
        <w:t xml:space="preserve">).</w:t>
      </w:r>
    </w:p>
    <w:p w14:paraId="2B9DA26F" w14:textId="77777777" w:rsidR="00E01C3A" w:rsidRDefault="00CC3326">
      <w:pPr>
        <w:pStyle w:val="ListParagraph"/>
        <w:numPr>
          <w:ilvl w:val="0"/>
          <w:numId w:val="2"/>
        </w:numPr>
        <w:spacing w:after="120" w:line="360" w:lineRule="auto"/>
        <w:jc w:val="both"/>
        <w:rPr>
          <w:lang w:val="pt-BR"/>
        </w:rPr>
      </w:pPr>
      <w:r>
        <w:rPr>
          <w:lang w:val="pt-BR"/>
        </w:rPr>
        <w:t xml:space="preserve">Conduzir campanha de verificação fotométrica sobre ponto de luz efetivamente instalado (</w:t>
      </w:r>
      <w:r>
        <w:rPr>
          <w:lang w:val="pt-BR"/>
        </w:rPr>
        <w:t xml:space="preserve">5.3</w:t>
      </w:r>
      <w:r>
        <w:rPr>
          <w:lang w:val="pt-BR"/>
        </w:rPr>
        <w:t xml:space="preserve">).</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w:t>
      </w:r>
      <w:r>
        <w:rPr>
          <w:lang w:val="pt-BR"/>
        </w:rPr>
        <w:t xml:space="preserve">4.6</w:t>
      </w:r>
      <w:r>
        <w:rPr>
          <w:lang w:val="pt-BR"/>
        </w:rPr>
        <w:t xml:space="preserve"> e </w:t>
      </w:r>
      <w:r>
        <w:rPr>
          <w:lang w:val="pt-BR"/>
        </w:rPr>
        <w:t xml:space="preserve">5.3</w:t>
      </w:r>
      <w:r>
        <w:rPr>
          <w:lang w:val="pt-BR"/>
        </w:rPr>
        <w:t xml:space="preserve">).</w:t>
      </w:r>
    </w:p>
    <w:p w14:paraId="6EE95B26" w14:textId="77777777" w:rsidR="001A5FD5" w:rsidRDefault="002D2B91">
      <w:pPr>
        <w:pStyle w:val="ListParagraph"/>
        <w:numPr>
          <w:ilvl w:val="0"/>
          <w:numId w:val="2"/>
        </w:numPr>
        <w:spacing w:after="120" w:line="360" w:lineRule="auto"/>
        <w:jc w:val="both"/>
      </w:pPr>
      <w:r>
        <w:rPr>
          <w:lang w:val="pt-BR"/>
        </w:rPr>
        <w:t xml:space="preserve">Treinar o modelo de previsão para o que a decisão usa — a faixa de movimentação, ou um quantil superior do nível —, em lugar do erro médio (</w:t>
      </w:r>
      <w:r>
        <w:rPr>
          <w:lang w:val="pt-BR"/>
        </w:rPr>
        <w:t xml:space="preserve">5.3</w:t>
      </w:r>
      <w:r>
        <w:rPr>
          <w:lang w:val="pt-BR"/>
        </w:rPr>
        <w:t xml:space="preserve">).</w:t>
      </w:r>
    </w:p>
    <w:p w14:paraId="095AC415" w14:textId="77777777" w:rsidR="00E01C3A" w:rsidRDefault="00CC3326">
      <w:pPr>
        <w:pStyle w:val="ListParagraph"/>
        <w:numPr>
          <w:ilvl w:val="0"/>
          <w:numId w:val="2"/>
        </w:numPr>
        <w:spacing w:after="120" w:line="360" w:lineRule="auto"/>
        <w:jc w:val="both"/>
        <w:rPr>
          <w:lang w:val="pt-BR"/>
        </w:rPr>
      </w:pPr>
      <w:r>
        <w:rPr>
          <w:lang w:val="pt-BR"/>
        </w:rPr>
        <w:t xml:space="preserve">Investigar o ajuste automático da base de regras, por sistemas neuro-nebulosos ou por aprendizado por reforço, enfrentando a circularidade discutida em 2.6 (</w:t>
      </w:r>
      <w:r>
        <w:rPr>
          <w:lang w:val="pt-BR"/>
        </w:rPr>
        <w:t xml:space="preserve">5.3</w:t>
      </w:r>
      <w:r>
        <w:rPr>
          <w:lang w:val="pt-BR"/>
        </w:rPr>
        <w:t xml:space="preserve">).</w:t>
      </w:r>
    </w:p>
    <w:p w14:paraId="7A211618" w14:textId="77777777" w:rsidR="00E01C3A" w:rsidRDefault="00CC3326">
      <w:pPr>
        <w:pStyle w:val="ListParagraph"/>
        <w:numPr>
          <w:ilvl w:val="0"/>
          <w:numId w:val="2"/>
        </w:numPr>
        <w:spacing w:after="120" w:line="360" w:lineRule="auto"/>
        <w:jc w:val="both"/>
        <w:rPr>
          <w:lang w:val="pt-BR"/>
        </w:rPr>
      </w:pPr>
      <w:r>
        <w:rPr>
          <w:lang w:val="pt-BR"/>
        </w:rPr>
        <w:t xml:space="preserve">Realizar a integração efetiva com a plataforma municipal e com o sistema de telegestão, precedida do tratamento jurídico de proteção de dados que essa integração exige (3.10 e </w:t>
      </w:r>
      <w:r>
        <w:rPr>
          <w:lang w:val="pt-BR"/>
        </w:rPr>
        <w:t xml:space="preserve">5.3</w:t>
      </w:r>
      <w:r>
        <w:rPr>
          <w:lang w:val="pt-BR"/>
        </w:rPr>
        <w:t xml:space="preserve">).</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t xml:space="preserve">Figuras 1, 2 e 3</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de sequência e de entidade-relacionamento</w:t>
            </w:r>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 xml:space="preserve">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 xml:space="preserve">Protótipo (repositório de código), 3.12 e 3.13</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 xml:space="preserve">3.6, 3.9, </w:t>
            </w:r>
            <w:r>
              <w:rPr>
                <w:sz w:val="20"/>
                <w:szCs w:val="20"/>
              </w:rPr>
              <w:t xml:space="preserve">4.1</w:t>
            </w:r>
            <w:r>
              <w:rPr>
                <w:sz w:val="20"/>
                <w:szCs w:val="20"/>
              </w:rPr>
              <w:t xml:space="preserve">, </w:t>
            </w:r>
            <w:r>
              <w:rPr>
                <w:sz w:val="20"/>
                <w:szCs w:val="20"/>
              </w:rPr>
              <w:t xml:space="preserve">4.6</w:t>
            </w:r>
            <w:r>
              <w:rPr>
                <w:sz w:val="20"/>
                <w:szCs w:val="20"/>
              </w:rPr>
              <w:t xml:space="preserve">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t>APÊNDICE B — REPRODUTIBILIDADE DOS RESULTADOS</w:t>
      </w:r>
      <w:bookmarkEnd w:id="76"/>
    </w:p>
    <w:p w14:paraId="3A6B6968" w14:textId="77777777" w:rsidR="00724418" w:rsidRDefault="002679C7">
      <w:pPr>
        <w:spacing w:after="120" w:line="360" w:lineRule="auto"/>
        <w:ind w:firstLine="709"/>
        <w:jc w:val="both"/>
      </w:pPr>
      <w:r>
        <w:rPr>
          <w:lang w:val="pt-BR"/>
        </w:rPr>
        <w:t xml:space="preserve">O código-fonte do protótipo, os protocolos de avaliação e os arquivos de resultado estão em repositório público, em https://github.com/oliveiravitor32/TCC2, na pasta Codigo. </w:t>
      </w:r>
      <w:r>
        <w:rPr>
          <w:lang w:val="pt-BR"/>
        </w:rPr>
        <w:t xml:space="preserve">Os números dos Capítulos 3 e 4</w:t>
      </w:r>
      <w:r>
        <w:rPr>
          <w:lang w:val="pt-BR"/>
        </w:rPr>
        <w:t xml:space="preserve">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w:t>
      </w:r>
      <w:r>
        <w:rPr>
          <w:lang w:val="pt-BR"/>
        </w:rPr>
        <w:t xml:space="preserve">4.6</w:t>
      </w:r>
      <w:r>
        <w:rPr>
          <w:lang w:val="pt-BR"/>
        </w:rPr>
        <w:t xml:space="preserve">, itens 65 e 66 para a sessão de bancada, itens 69 e 70 para a troca da série e da base de regras, </w:t>
      </w:r>
      <w:r>
        <w:rPr>
          <w:lang w:val="pt-BR"/>
        </w:rPr>
        <w:t xml:space="preserve">item 71 para a arquitetura de implantação, item 72</w:t>
      </w:r>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 xml:space="preserve">4.1</w:t>
            </w:r>
            <w:r>
              <w:rPr>
                <w:sz w:val="20"/>
                <w:szCs w:val="20"/>
              </w:rPr>
              <w:t xml:space="preserve">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4.1</w:t>
            </w:r>
            <w:r>
              <w:rPr>
                <w:sz w:val="20"/>
                <w:szCs w:val="20"/>
              </w:rPr>
              <w:t xml:space="preserve">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w:t>
            </w:r>
            <w:r>
              <w:rPr>
                <w:sz w:val="20"/>
                <w:szCs w:val="20"/>
              </w:rPr>
              <w:t xml:space="preserve">4.3</w:t>
            </w:r>
            <w:r>
              <w:rPr>
                <w:sz w:val="20"/>
                <w:szCs w:val="20"/>
              </w:rPr>
              <w:t xml:space="preserve">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3.12.9</w:t>
            </w:r>
            <w:r>
              <w:rPr>
                <w:sz w:val="20"/>
                <w:szCs w:val="20"/>
              </w:rPr>
              <w:t xml:space="preserve"> e </w:t>
            </w:r>
            <w:r>
              <w:rPr>
                <w:sz w:val="20"/>
                <w:szCs w:val="20"/>
              </w:rPr>
              <w:t xml:space="preserve">4.3</w:t>
            </w:r>
            <w:r>
              <w:rPr>
                <w:sz w:val="20"/>
                <w:szCs w:val="20"/>
              </w:rPr>
              <w:t xml:space="preserve">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4.5</w:t>
            </w:r>
            <w:r>
              <w:rPr>
                <w:sz w:val="20"/>
                <w:szCs w:val="20"/>
              </w:rPr>
              <w:t xml:space="preserve">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