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86AF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UNIVERSIDADE PAULISTA – UNIP</w:t>
      </w:r>
    </w:p>
    <w:p w14:paraId="74E1D903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CIÊNCIA DA COMPUTAÇÃO – 8º SEMESTRE</w:t>
      </w:r>
    </w:p>
    <w:p w14:paraId="174F4898" w14:textId="77777777" w:rsidR="006B1E66" w:rsidRPr="000F5B8B" w:rsidRDefault="006B1E66">
      <w:pPr>
        <w:spacing w:line="360" w:lineRule="auto"/>
        <w:rPr>
          <w:lang w:val="pt-BR"/>
        </w:rPr>
      </w:pPr>
    </w:p>
    <w:p w14:paraId="57A0B679" w14:textId="77777777" w:rsidR="006B1E66" w:rsidRPr="000F5B8B" w:rsidRDefault="006B1E66">
      <w:pPr>
        <w:spacing w:line="360" w:lineRule="auto"/>
        <w:rPr>
          <w:lang w:val="pt-BR"/>
        </w:rPr>
      </w:pPr>
    </w:p>
    <w:p w14:paraId="4B853632" w14:textId="77777777" w:rsidR="006B1E66" w:rsidRPr="000F5B8B" w:rsidRDefault="006B1E66">
      <w:pPr>
        <w:spacing w:line="360" w:lineRule="auto"/>
        <w:rPr>
          <w:lang w:val="pt-BR"/>
        </w:rPr>
      </w:pPr>
    </w:p>
    <w:p w14:paraId="507CE7C4" w14:textId="77777777" w:rsidR="006B1E66" w:rsidRPr="000F5B8B" w:rsidRDefault="006B1E66">
      <w:pPr>
        <w:spacing w:line="360" w:lineRule="auto"/>
        <w:rPr>
          <w:lang w:val="pt-BR"/>
        </w:rPr>
      </w:pPr>
    </w:p>
    <w:p w14:paraId="62D42E9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BRUNO BONAVIGO DACAL – N309EC4</w:t>
      </w:r>
    </w:p>
    <w:p w14:paraId="010CD970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LUCAS DE ARAUJO VERGARA – N090758</w:t>
      </w:r>
    </w:p>
    <w:p w14:paraId="64FE4B18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VITOR OLIVEIRA DOS SANTOS – N083DG1</w:t>
      </w:r>
    </w:p>
    <w:p w14:paraId="0A93B469" w14:textId="77777777" w:rsidR="006B1E66" w:rsidRPr="000F5B8B" w:rsidRDefault="006B1E66">
      <w:pPr>
        <w:spacing w:line="360" w:lineRule="auto"/>
        <w:rPr>
          <w:lang w:val="pt-BR"/>
        </w:rPr>
      </w:pPr>
    </w:p>
    <w:p w14:paraId="5F7CD32B" w14:textId="77777777" w:rsidR="006B1E66" w:rsidRPr="000F5B8B" w:rsidRDefault="006B1E66">
      <w:pPr>
        <w:spacing w:line="360" w:lineRule="auto"/>
        <w:rPr>
          <w:lang w:val="pt-BR"/>
        </w:rPr>
      </w:pPr>
    </w:p>
    <w:p w14:paraId="52BE0D35" w14:textId="77777777" w:rsidR="006B1E66" w:rsidRPr="000F5B8B" w:rsidRDefault="006B1E66">
      <w:pPr>
        <w:spacing w:line="360" w:lineRule="auto"/>
        <w:rPr>
          <w:lang w:val="pt-BR"/>
        </w:rPr>
      </w:pPr>
    </w:p>
    <w:p w14:paraId="600D9C5E" w14:textId="77777777" w:rsidR="006B1E66" w:rsidRPr="000F5B8B" w:rsidRDefault="006B1E66">
      <w:pPr>
        <w:spacing w:line="360" w:lineRule="auto"/>
        <w:rPr>
          <w:lang w:val="pt-BR"/>
        </w:rPr>
      </w:pPr>
    </w:p>
    <w:p w14:paraId="0534B47E" w14:textId="77777777" w:rsidR="006B1E66" w:rsidRPr="000F5B8B" w:rsidRDefault="006B1E66">
      <w:pPr>
        <w:spacing w:line="360" w:lineRule="auto"/>
        <w:rPr>
          <w:lang w:val="pt-BR"/>
        </w:rPr>
      </w:pPr>
    </w:p>
    <w:p w14:paraId="51FD00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720111C3" w14:textId="77777777" w:rsidR="006B1E66" w:rsidRPr="000F5B8B" w:rsidRDefault="006B1E66">
      <w:pPr>
        <w:spacing w:line="360" w:lineRule="auto"/>
        <w:rPr>
          <w:lang w:val="pt-BR"/>
        </w:rPr>
      </w:pPr>
    </w:p>
    <w:p w14:paraId="2E1361D9" w14:textId="77777777" w:rsidR="006B1E66" w:rsidRPr="000F5B8B" w:rsidRDefault="006B1E66">
      <w:pPr>
        <w:spacing w:line="360" w:lineRule="auto"/>
        <w:rPr>
          <w:lang w:val="pt-BR"/>
        </w:rPr>
      </w:pPr>
    </w:p>
    <w:p w14:paraId="389D8CF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PRÉ-PROJETO DE TRABALHO DE CONCLUSÃO DE CURSO</w:t>
      </w:r>
    </w:p>
    <w:p w14:paraId="0F368082" w14:textId="77777777" w:rsidR="006B1E66" w:rsidRPr="000F5B8B" w:rsidRDefault="006B1E66">
      <w:pPr>
        <w:spacing w:line="360" w:lineRule="auto"/>
        <w:rPr>
          <w:lang w:val="pt-BR"/>
        </w:rPr>
      </w:pPr>
    </w:p>
    <w:p w14:paraId="38ECB05A" w14:textId="77777777" w:rsidR="006B1E66" w:rsidRPr="000F5B8B" w:rsidRDefault="006B1E66">
      <w:pPr>
        <w:spacing w:line="360" w:lineRule="auto"/>
        <w:rPr>
          <w:lang w:val="pt-BR"/>
        </w:rPr>
      </w:pPr>
    </w:p>
    <w:p w14:paraId="6B363E37" w14:textId="77777777" w:rsidR="006B1E66" w:rsidRPr="000F5B8B" w:rsidRDefault="006B1E66">
      <w:pPr>
        <w:spacing w:line="360" w:lineRule="auto"/>
        <w:rPr>
          <w:lang w:val="pt-BR"/>
        </w:rPr>
      </w:pPr>
    </w:p>
    <w:p w14:paraId="1AFDB5CD" w14:textId="77777777" w:rsidR="006B1E66" w:rsidRPr="000F5B8B" w:rsidRDefault="006B1E66">
      <w:pPr>
        <w:spacing w:line="360" w:lineRule="auto"/>
        <w:rPr>
          <w:lang w:val="pt-BR"/>
        </w:rPr>
      </w:pPr>
    </w:p>
    <w:p w14:paraId="123429A8" w14:textId="77777777" w:rsidR="006B1E66" w:rsidRPr="000F5B8B" w:rsidRDefault="006B1E66">
      <w:pPr>
        <w:spacing w:line="360" w:lineRule="auto"/>
        <w:rPr>
          <w:lang w:val="pt-BR"/>
        </w:rPr>
      </w:pPr>
    </w:p>
    <w:p w14:paraId="762EBDA3" w14:textId="77777777" w:rsidR="006B1E66" w:rsidRPr="000F5B8B" w:rsidRDefault="006B1E66">
      <w:pPr>
        <w:spacing w:line="360" w:lineRule="auto"/>
        <w:rPr>
          <w:lang w:val="pt-BR"/>
        </w:rPr>
      </w:pPr>
    </w:p>
    <w:p w14:paraId="7A2E0B79" w14:textId="77777777" w:rsidR="006B1E66" w:rsidRPr="000F5B8B" w:rsidRDefault="006B1E66">
      <w:pPr>
        <w:spacing w:line="360" w:lineRule="auto"/>
        <w:rPr>
          <w:lang w:val="pt-BR"/>
        </w:rPr>
      </w:pPr>
    </w:p>
    <w:p w14:paraId="537B2B80" w14:textId="77777777" w:rsidR="006B1E66" w:rsidRPr="000F5B8B" w:rsidRDefault="006B1E66">
      <w:pPr>
        <w:spacing w:line="360" w:lineRule="auto"/>
        <w:rPr>
          <w:lang w:val="pt-BR"/>
        </w:rPr>
      </w:pPr>
    </w:p>
    <w:p w14:paraId="3740A1C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SÃO PAULO</w:t>
      </w:r>
    </w:p>
    <w:p w14:paraId="458BCFD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2026</w:t>
      </w:r>
    </w:p>
    <w:p w14:paraId="1FB18F47" w14:textId="77777777" w:rsidR="006B1E66" w:rsidRPr="000F5B8B" w:rsidRDefault="00000000">
      <w:pPr>
        <w:rPr>
          <w:lang w:val="pt-BR"/>
        </w:rPr>
      </w:pPr>
      <w:r w:rsidRPr="000F5B8B">
        <w:rPr>
          <w:lang w:val="pt-BR"/>
        </w:rPr>
        <w:br w:type="page"/>
      </w:r>
    </w:p>
    <w:p w14:paraId="79D249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lastRenderedPageBreak/>
        <w:t>BRUNO BONAVIGO DACAL – N309EC4</w:t>
      </w:r>
    </w:p>
    <w:p w14:paraId="1352AC6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LUCAS DE ARAUJO VERGARA – N090758</w:t>
      </w:r>
    </w:p>
    <w:p w14:paraId="65AD6D8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VITOR OLIVEIRA DOS SANTOS – N083DG1</w:t>
      </w:r>
    </w:p>
    <w:p w14:paraId="4950642F" w14:textId="77777777" w:rsidR="006B1E66" w:rsidRPr="000F5B8B" w:rsidRDefault="006B1E66">
      <w:pPr>
        <w:spacing w:line="360" w:lineRule="auto"/>
        <w:rPr>
          <w:lang w:val="pt-BR"/>
        </w:rPr>
      </w:pPr>
    </w:p>
    <w:p w14:paraId="2C202E20" w14:textId="77777777" w:rsidR="006B1E66" w:rsidRPr="000F5B8B" w:rsidRDefault="006B1E66">
      <w:pPr>
        <w:spacing w:line="360" w:lineRule="auto"/>
        <w:rPr>
          <w:lang w:val="pt-BR"/>
        </w:rPr>
      </w:pPr>
    </w:p>
    <w:p w14:paraId="69964D4D" w14:textId="77777777" w:rsidR="006B1E66" w:rsidRPr="000F5B8B" w:rsidRDefault="006B1E66">
      <w:pPr>
        <w:spacing w:line="360" w:lineRule="auto"/>
        <w:rPr>
          <w:lang w:val="pt-BR"/>
        </w:rPr>
      </w:pPr>
    </w:p>
    <w:p w14:paraId="46206E58" w14:textId="77777777" w:rsidR="006B1E66" w:rsidRPr="000F5B8B" w:rsidRDefault="006B1E66">
      <w:pPr>
        <w:spacing w:line="360" w:lineRule="auto"/>
        <w:rPr>
          <w:lang w:val="pt-BR"/>
        </w:rPr>
      </w:pPr>
    </w:p>
    <w:p w14:paraId="65360AF8" w14:textId="77777777" w:rsidR="006B1E66" w:rsidRPr="000F5B8B" w:rsidRDefault="006B1E66">
      <w:pPr>
        <w:spacing w:line="360" w:lineRule="auto"/>
        <w:rPr>
          <w:lang w:val="pt-BR"/>
        </w:rPr>
      </w:pPr>
    </w:p>
    <w:p w14:paraId="654FC69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4082DB1C" w14:textId="77777777" w:rsidR="006B1E66" w:rsidRPr="000F5B8B" w:rsidRDefault="006B1E66">
      <w:pPr>
        <w:spacing w:line="360" w:lineRule="auto"/>
        <w:rPr>
          <w:lang w:val="pt-BR"/>
        </w:rPr>
      </w:pPr>
    </w:p>
    <w:p w14:paraId="771CA0DA" w14:textId="77777777" w:rsidR="006B1E66" w:rsidRPr="000F5B8B" w:rsidRDefault="006B1E66">
      <w:pPr>
        <w:spacing w:line="360" w:lineRule="auto"/>
        <w:rPr>
          <w:lang w:val="pt-BR"/>
        </w:rPr>
      </w:pPr>
    </w:p>
    <w:p w14:paraId="2053C9AD" w14:textId="77777777" w:rsidR="006B1E66" w:rsidRPr="000F5B8B" w:rsidRDefault="006B1E66">
      <w:pPr>
        <w:spacing w:line="360" w:lineRule="auto"/>
        <w:rPr>
          <w:lang w:val="pt-BR"/>
        </w:rPr>
      </w:pPr>
    </w:p>
    <w:p w14:paraId="496CBCB3" w14:textId="77777777" w:rsidR="006B1E66" w:rsidRPr="000F5B8B" w:rsidRDefault="00000000">
      <w:pPr>
        <w:ind w:left="4536"/>
        <w:jc w:val="both"/>
        <w:rPr>
          <w:lang w:val="pt-BR"/>
        </w:rPr>
      </w:pPr>
      <w:r w:rsidRPr="000F5B8B">
        <w:rPr>
          <w:lang w:val="pt-BR"/>
        </w:rPr>
        <w:t>Pré-projeto de Trabalho de Conclusão de Curso apresentado ao curso de Bacharelado em Ciência da Computação da Universidade Paulista – UNIP, como requisito parcial para a definição do tema do Trabalho de Conclusão de Curso.</w:t>
      </w:r>
    </w:p>
    <w:p w14:paraId="6B900A79" w14:textId="77777777" w:rsidR="006B1E66" w:rsidRPr="000F5B8B" w:rsidRDefault="006B1E66">
      <w:pPr>
        <w:spacing w:line="360" w:lineRule="auto"/>
        <w:rPr>
          <w:lang w:val="pt-BR"/>
        </w:rPr>
      </w:pPr>
    </w:p>
    <w:p w14:paraId="0FEEAFEF" w14:textId="77777777" w:rsidR="006B1E66" w:rsidRPr="000F5B8B" w:rsidRDefault="00000000">
      <w:pPr>
        <w:ind w:left="4536"/>
        <w:rPr>
          <w:lang w:val="pt-BR"/>
        </w:rPr>
      </w:pPr>
      <w:r w:rsidRPr="000F5B8B">
        <w:rPr>
          <w:lang w:val="pt-BR"/>
        </w:rPr>
        <w:t>Orientador: Prof. Marco Gomes</w:t>
      </w:r>
    </w:p>
    <w:p w14:paraId="52E00D8F" w14:textId="77777777" w:rsidR="006B1E66" w:rsidRPr="000F5B8B" w:rsidRDefault="006B1E66">
      <w:pPr>
        <w:spacing w:line="360" w:lineRule="auto"/>
        <w:rPr>
          <w:lang w:val="pt-BR"/>
        </w:rPr>
      </w:pPr>
    </w:p>
    <w:p w14:paraId="78750774" w14:textId="77777777" w:rsidR="006B1E66" w:rsidRPr="000F5B8B" w:rsidRDefault="006B1E66">
      <w:pPr>
        <w:spacing w:line="360" w:lineRule="auto"/>
        <w:rPr>
          <w:lang w:val="pt-BR"/>
        </w:rPr>
      </w:pPr>
    </w:p>
    <w:p w14:paraId="3CABEB8C" w14:textId="77777777" w:rsidR="006B1E66" w:rsidRPr="000F5B8B" w:rsidRDefault="006B1E66">
      <w:pPr>
        <w:spacing w:line="360" w:lineRule="auto"/>
        <w:rPr>
          <w:lang w:val="pt-BR"/>
        </w:rPr>
      </w:pPr>
    </w:p>
    <w:p w14:paraId="2A781DD2" w14:textId="77777777" w:rsidR="006B1E66" w:rsidRPr="000F5B8B" w:rsidRDefault="006B1E66">
      <w:pPr>
        <w:spacing w:line="360" w:lineRule="auto"/>
        <w:rPr>
          <w:lang w:val="pt-BR"/>
        </w:rPr>
      </w:pPr>
    </w:p>
    <w:p w14:paraId="5D1CD176" w14:textId="77777777" w:rsidR="006B1E66" w:rsidRPr="000F5B8B" w:rsidRDefault="006B1E66">
      <w:pPr>
        <w:spacing w:line="360" w:lineRule="auto"/>
        <w:rPr>
          <w:lang w:val="pt-BR"/>
        </w:rPr>
      </w:pPr>
    </w:p>
    <w:p w14:paraId="359C8358" w14:textId="77777777" w:rsidR="006B1E66" w:rsidRPr="000F5B8B" w:rsidRDefault="006B1E66">
      <w:pPr>
        <w:spacing w:line="360" w:lineRule="auto"/>
        <w:rPr>
          <w:lang w:val="pt-BR"/>
        </w:rPr>
      </w:pPr>
    </w:p>
    <w:p w14:paraId="50679AE3" w14:textId="77777777" w:rsidR="006B1E66" w:rsidRPr="000F5B8B" w:rsidRDefault="006B1E66">
      <w:pPr>
        <w:spacing w:line="360" w:lineRule="auto"/>
        <w:rPr>
          <w:lang w:val="pt-BR"/>
        </w:rPr>
      </w:pPr>
    </w:p>
    <w:p w14:paraId="31ADE117" w14:textId="77777777" w:rsidR="006B1E66" w:rsidRPr="000F5B8B" w:rsidRDefault="006B1E66">
      <w:pPr>
        <w:spacing w:line="360" w:lineRule="auto"/>
        <w:rPr>
          <w:lang w:val="pt-BR"/>
        </w:rPr>
      </w:pPr>
    </w:p>
    <w:p w14:paraId="76A0F50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SÃO PAULO</w:t>
      </w:r>
    </w:p>
    <w:p w14:paraId="17E557A1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2026</w:t>
      </w:r>
    </w:p>
    <w:p w14:paraId="545F6A9E" w14:textId="77777777" w:rsidR="006B1E66" w:rsidRDefault="00000000">
      <w:pPr>
        <w:rPr>
          <w:lang w:val="pt-BR"/>
        </w:rPr>
      </w:pPr>
      <w:r w:rsidRPr="000F5B8B">
        <w:rPr>
          <w:lang w:val="pt-BR"/>
        </w:rPr>
        <w:br w:type="page"/>
      </w:r>
    </w:p>
    <w:p w14:paraId="0155AD1E" w14:textId="2E0F5169" w:rsidR="000F5B8B" w:rsidRPr="000F5B8B" w:rsidRDefault="000F5B8B" w:rsidP="000F5B8B">
      <w:pPr>
        <w:jc w:val="center"/>
        <w:rPr>
          <w:b/>
          <w:bCs/>
          <w:lang w:val="pt-BR"/>
        </w:rPr>
      </w:pPr>
      <w:r w:rsidRPr="000F5B8B">
        <w:rPr>
          <w:b/>
          <w:bCs/>
          <w:lang w:val="pt-BR"/>
        </w:rPr>
        <w:lastRenderedPageBreak/>
        <w:t>ÍNDICE</w:t>
      </w:r>
    </w:p>
    <w:p w14:paraId="1A21B3BF" w14:textId="77777777" w:rsidR="006B1E66" w:rsidRDefault="006B1E66">
      <w:pPr>
        <w:rPr>
          <w:lang w:val="pt-BR"/>
        </w:rPr>
      </w:pPr>
    </w:p>
    <w:sdt>
      <w:sdtPr>
        <w:rPr>
          <w:rFonts w:ascii="Arial" w:eastAsia="Arial" w:hAnsi="Arial" w:cs="Arial"/>
          <w:color w:val="000000"/>
          <w:sz w:val="24"/>
          <w:szCs w:val="24"/>
        </w:rPr>
        <w:id w:val="-1132181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2B3417" w14:textId="1F1E73E9" w:rsidR="000F5B8B" w:rsidRDefault="000F5B8B">
          <w:pPr>
            <w:pStyle w:val="TOCHeading"/>
          </w:pPr>
        </w:p>
        <w:p w14:paraId="7DE55BF7" w14:textId="2D0079D1" w:rsidR="007B78AE" w:rsidRDefault="000F5B8B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23120" w:history="1">
            <w:r w:rsidR="007B78AE" w:rsidRPr="000308CB">
              <w:rPr>
                <w:rStyle w:val="Hyperlink"/>
                <w:noProof/>
                <w:lang w:val="pt-BR"/>
              </w:rPr>
              <w:t>1 TEMA DO PROJETO</w:t>
            </w:r>
            <w:r w:rsidR="007B78AE">
              <w:rPr>
                <w:noProof/>
                <w:webHidden/>
              </w:rPr>
              <w:tab/>
            </w:r>
            <w:r w:rsidR="007B78AE">
              <w:rPr>
                <w:noProof/>
                <w:webHidden/>
              </w:rPr>
              <w:fldChar w:fldCharType="begin"/>
            </w:r>
            <w:r w:rsidR="007B78AE">
              <w:rPr>
                <w:noProof/>
                <w:webHidden/>
              </w:rPr>
              <w:instrText xml:space="preserve"> PAGEREF _Toc240223120 \h </w:instrText>
            </w:r>
            <w:r w:rsidR="007B78AE">
              <w:rPr>
                <w:noProof/>
                <w:webHidden/>
              </w:rPr>
            </w:r>
            <w:r w:rsidR="007B78AE">
              <w:rPr>
                <w:noProof/>
                <w:webHidden/>
              </w:rPr>
              <w:fldChar w:fldCharType="separate"/>
            </w:r>
            <w:r w:rsidR="007B78AE">
              <w:rPr>
                <w:noProof/>
                <w:webHidden/>
              </w:rPr>
              <w:t>5</w:t>
            </w:r>
            <w:r w:rsidR="007B78AE">
              <w:rPr>
                <w:noProof/>
                <w:webHidden/>
              </w:rPr>
              <w:fldChar w:fldCharType="end"/>
            </w:r>
          </w:hyperlink>
        </w:p>
        <w:p w14:paraId="63060572" w14:textId="79AB8627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1" w:history="1">
            <w:r w:rsidRPr="000308CB">
              <w:rPr>
                <w:rStyle w:val="Hyperlink"/>
                <w:noProof/>
                <w:lang w:val="pt-BR"/>
              </w:rPr>
              <w:t>1.1 Cidades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C3D9" w14:textId="6207EBF6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2" w:history="1">
            <w:r w:rsidRPr="000308CB">
              <w:rPr>
                <w:rStyle w:val="Hyperlink"/>
                <w:noProof/>
                <w:lang w:val="pt-BR"/>
              </w:rPr>
              <w:t>1.2 Internet das Coisas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4914" w14:textId="06AAF6E6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3" w:history="1">
            <w:r w:rsidRPr="000308CB">
              <w:rPr>
                <w:rStyle w:val="Hyperlink"/>
                <w:noProof/>
                <w:lang w:val="pt-BR"/>
              </w:rPr>
              <w:t>1.3 Inteligência artificial aplicada à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57CF" w14:textId="79DBE488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4" w:history="1">
            <w:r w:rsidRPr="000308CB">
              <w:rPr>
                <w:rStyle w:val="Hyperlink"/>
                <w:noProof/>
                <w:lang w:val="pt-BR"/>
              </w:rPr>
              <w:t>2 DEFINIÇÃO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8E59" w14:textId="0A7C60AB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5" w:history="1">
            <w:r w:rsidRPr="000308CB">
              <w:rPr>
                <w:rStyle w:val="Hyperlink"/>
                <w:noProof/>
                <w:lang w:val="pt-BR"/>
              </w:rPr>
              <w:t>3 PROBLEMA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A069" w14:textId="5736E2C3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6" w:history="1">
            <w:r w:rsidRPr="000308CB">
              <w:rPr>
                <w:rStyle w:val="Hyperlink"/>
                <w:noProof/>
                <w:lang w:val="pt-BR"/>
              </w:rPr>
              <w:t>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98D6" w14:textId="558E3B10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7" w:history="1">
            <w:r w:rsidRPr="000308CB">
              <w:rPr>
                <w:rStyle w:val="Hyperlink"/>
                <w:noProof/>
                <w:lang w:val="pt-BR"/>
              </w:rPr>
              <w:t>4.1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3407" w14:textId="672B03FE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8" w:history="1">
            <w:r w:rsidRPr="000308CB">
              <w:rPr>
                <w:rStyle w:val="Hyperlink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9D074" w14:textId="0C8D2D16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29" w:history="1">
            <w:r w:rsidRPr="000308CB">
              <w:rPr>
                <w:rStyle w:val="Hyperlink"/>
                <w:noProof/>
                <w:lang w:val="pt-BR"/>
              </w:rPr>
              <w:t>5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B8CC" w14:textId="7983321F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0" w:history="1">
            <w:r w:rsidRPr="000308CB">
              <w:rPr>
                <w:rStyle w:val="Hyperlink"/>
                <w:noProof/>
                <w:lang w:val="pt-BR"/>
              </w:rPr>
              <w:t>6 REVISÃO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44EF8" w14:textId="21761408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1" w:history="1">
            <w:r w:rsidRPr="000308CB">
              <w:rPr>
                <w:rStyle w:val="Hyperlink"/>
                <w:noProof/>
                <w:lang w:val="pt-BR"/>
              </w:rPr>
              <w:t>6.1 Metodologia de seleção das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1FF1" w14:textId="5F161424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2" w:history="1">
            <w:r w:rsidRPr="000308CB">
              <w:rPr>
                <w:rStyle w:val="Hyperlink"/>
                <w:noProof/>
                <w:lang w:val="pt-BR"/>
              </w:rPr>
              <w:t>6.2 Infraestrutura instalada e integração ausente: um padrão documentado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1B98" w14:textId="0988473E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3" w:history="1">
            <w:r w:rsidRPr="000308CB">
              <w:rPr>
                <w:rStyle w:val="Hyperlink"/>
                <w:noProof/>
                <w:lang w:val="pt-BR"/>
              </w:rPr>
              <w:t>6.3 A infraestrutura instalada no município de São Paulo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80A6" w14:textId="468D9DA8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4" w:history="1">
            <w:r w:rsidRPr="000308CB">
              <w:rPr>
                <w:rStyle w:val="Hyperlink"/>
                <w:noProof/>
                <w:lang w:val="pt-BR"/>
              </w:rPr>
              <w:t>6.4 Internet das Coisas e nós embarcados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B5D83" w14:textId="30C53DA7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5" w:history="1">
            <w:r w:rsidRPr="000308CB">
              <w:rPr>
                <w:rStyle w:val="Hyperlink"/>
                <w:noProof/>
                <w:lang w:val="pt-BR"/>
              </w:rPr>
              <w:t>6.5 Requisitos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3225" w14:textId="00ACED10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6" w:history="1">
            <w:r w:rsidRPr="000308CB">
              <w:rPr>
                <w:rStyle w:val="Hyperlink"/>
                <w:noProof/>
                <w:lang w:val="pt-BR"/>
              </w:rPr>
              <w:t>6.6 Decisão sob informação imprecisa e a escolha de um modelo interpretável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3A131" w14:textId="306E3090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7" w:history="1">
            <w:r w:rsidRPr="000308CB">
              <w:rPr>
                <w:rStyle w:val="Hyperlink"/>
                <w:noProof/>
                <w:lang w:val="pt-BR"/>
              </w:rPr>
              <w:t>6.7 Trabalhos correlatos e o trabalho mais próximo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8FEB" w14:textId="3E516626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8" w:history="1">
            <w:r w:rsidRPr="000308CB">
              <w:rPr>
                <w:rStyle w:val="Hyperlink"/>
                <w:noProof/>
              </w:rPr>
              <w:t>6.8 Lacuna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1046" w14:textId="4E5B5783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39" w:history="1">
            <w:r w:rsidRPr="000308CB">
              <w:rPr>
                <w:rStyle w:val="Hyperlink"/>
                <w:noProof/>
                <w:lang w:val="pt-BR"/>
              </w:rPr>
              <w:t>7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2877" w14:textId="282F33D7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0" w:history="1">
            <w:r w:rsidRPr="000308CB">
              <w:rPr>
                <w:rStyle w:val="Hyperlink"/>
                <w:noProof/>
                <w:lang w:val="pt-BR"/>
              </w:rPr>
              <w:t>7.1 Classificação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51AB" w14:textId="1954410F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1" w:history="1">
            <w:r w:rsidRPr="000308CB">
              <w:rPr>
                <w:rStyle w:val="Hyperlink"/>
                <w:noProof/>
                <w:lang w:val="pt-BR"/>
              </w:rPr>
              <w:t>7.2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F173" w14:textId="41F297A0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2" w:history="1">
            <w:r w:rsidRPr="000308CB">
              <w:rPr>
                <w:rStyle w:val="Hyperlink"/>
                <w:noProof/>
                <w:lang w:val="pt-BR"/>
              </w:rPr>
              <w:t>7.2.1 Implantação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AAEF" w14:textId="79CF4047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3" w:history="1">
            <w:r w:rsidRPr="000308CB">
              <w:rPr>
                <w:rStyle w:val="Hyperlink"/>
                <w:noProof/>
                <w:lang w:val="pt-BR"/>
              </w:rPr>
              <w:t>7.2.2 Persistência e 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6AB7" w14:textId="59848FF0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4" w:history="1">
            <w:r w:rsidRPr="000308CB">
              <w:rPr>
                <w:rStyle w:val="Hyperlink"/>
                <w:noProof/>
                <w:lang w:val="pt-BR"/>
              </w:rPr>
              <w:t>7.3 O nó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CACB" w14:textId="12013785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5" w:history="1">
            <w:r w:rsidRPr="000308CB">
              <w:rPr>
                <w:rStyle w:val="Hyperlink"/>
                <w:noProof/>
                <w:lang w:val="pt-BR"/>
              </w:rPr>
              <w:t>7.3.1 Critérios de seleção e alternativas preteridas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9F31" w14:textId="61BCAF6C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6" w:history="1">
            <w:r w:rsidRPr="000308CB">
              <w:rPr>
                <w:rStyle w:val="Hyperlink"/>
                <w:noProof/>
                <w:lang w:val="pt-BR"/>
              </w:rPr>
              <w:t>7.3.2 Dimensionamento fo</w:t>
            </w:r>
            <w:r w:rsidRPr="000308CB">
              <w:rPr>
                <w:rStyle w:val="Hyperlink"/>
                <w:noProof/>
                <w:lang w:val="pt-BR"/>
              </w:rPr>
              <w:t>t</w:t>
            </w:r>
            <w:r w:rsidRPr="000308CB">
              <w:rPr>
                <w:rStyle w:val="Hyperlink"/>
                <w:noProof/>
                <w:lang w:val="pt-BR"/>
              </w:rPr>
              <w:t>ométrico da bancada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05A7" w14:textId="6191DC52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7" w:history="1">
            <w:r w:rsidRPr="000308CB">
              <w:rPr>
                <w:rStyle w:val="Hyperlink"/>
                <w:noProof/>
                <w:lang w:val="pt-BR"/>
              </w:rPr>
              <w:t>7.3.3 Controle das condições de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8BE5" w14:textId="1E75B923" w:rsidR="007B78AE" w:rsidRDefault="007B78AE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8" w:history="1">
            <w:r w:rsidRPr="000308CB">
              <w:rPr>
                <w:rStyle w:val="Hyperlink"/>
                <w:noProof/>
                <w:lang w:val="pt-BR"/>
              </w:rPr>
              <w:t>7.3.4 Verificação da medição e incerteza declarada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9AD1" w14:textId="75857499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49" w:history="1">
            <w:r w:rsidRPr="000308CB">
              <w:rPr>
                <w:rStyle w:val="Hyperlink"/>
                <w:noProof/>
                <w:lang w:val="pt-BR"/>
              </w:rPr>
              <w:t>7.4 Dados urbanos e construção dos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740D5" w14:textId="255EF75B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0" w:history="1">
            <w:r w:rsidRPr="000308CB">
              <w:rPr>
                <w:rStyle w:val="Hyperlink"/>
                <w:noProof/>
                <w:lang w:val="pt-BR"/>
              </w:rPr>
              <w:t>7.5 Mecanismo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FD6D" w14:textId="1D8BF677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1" w:history="1">
            <w:r w:rsidRPr="000308CB">
              <w:rPr>
                <w:rStyle w:val="Hyperlink"/>
                <w:noProof/>
                <w:lang w:val="pt-BR"/>
              </w:rPr>
              <w:t>7.6 Classe de iluminação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1476" w14:textId="0FB7D681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2" w:history="1">
            <w:r w:rsidRPr="000308CB">
              <w:rPr>
                <w:rStyle w:val="Hyperlink"/>
                <w:noProof/>
                <w:lang w:val="pt-BR"/>
              </w:rPr>
              <w:t>7.7 Procedimentos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6F936" w14:textId="7491C320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3" w:history="1">
            <w:r w:rsidRPr="000308CB">
              <w:rPr>
                <w:rStyle w:val="Hyperlink"/>
                <w:noProof/>
                <w:lang w:val="pt-BR"/>
              </w:rPr>
              <w:t>7.8 Tratamento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80AF" w14:textId="31267F1E" w:rsidR="007B78AE" w:rsidRDefault="007B78AE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4" w:history="1">
            <w:r w:rsidRPr="000308CB">
              <w:rPr>
                <w:rStyle w:val="Hyperlink"/>
                <w:noProof/>
                <w:lang w:val="pt-BR"/>
              </w:rPr>
              <w:t>7.9 Cronograma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7AFD" w14:textId="44F090F3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5" w:history="1">
            <w:r w:rsidRPr="000308CB">
              <w:rPr>
                <w:rStyle w:val="Hyperlink"/>
                <w:noProof/>
                <w:lang w:val="pt-BR"/>
              </w:rPr>
              <w:t>8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0558" w14:textId="74E18FDB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6" w:history="1">
            <w:r w:rsidRPr="000308CB">
              <w:rPr>
                <w:rStyle w:val="Hyperlink"/>
                <w:noProof/>
                <w:lang w:val="pt-BR"/>
              </w:rPr>
              <w:t>9 LIMITAÇÕES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4B4BE" w14:textId="4284758D" w:rsidR="007B78AE" w:rsidRDefault="007B78AE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157" w:history="1">
            <w:r w:rsidRPr="000308CB">
              <w:rPr>
                <w:rStyle w:val="Hyperlink"/>
                <w:noProof/>
                <w:lang w:val="pt-BR"/>
              </w:rPr>
              <w:t>10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2867" w14:textId="6146CA91" w:rsidR="000F5B8B" w:rsidRDefault="000F5B8B">
          <w:r>
            <w:rPr>
              <w:b/>
              <w:bCs/>
              <w:noProof/>
            </w:rPr>
            <w:fldChar w:fldCharType="end"/>
          </w:r>
        </w:p>
      </w:sdtContent>
    </w:sdt>
    <w:p w14:paraId="6B8A12E7" w14:textId="77777777" w:rsidR="000F5B8B" w:rsidRPr="000F5B8B" w:rsidRDefault="000F5B8B">
      <w:pPr>
        <w:rPr>
          <w:lang w:val="pt-BR"/>
        </w:rPr>
        <w:sectPr w:rsidR="000F5B8B" w:rsidRPr="000F5B8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B040A27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0" w:name="_Toc240223120"/>
      <w:r w:rsidRPr="000F5B8B">
        <w:rPr>
          <w:lang w:val="pt-BR"/>
        </w:rPr>
        <w:lastRenderedPageBreak/>
        <w:t>1 TEMA DO PROJETO</w:t>
      </w:r>
      <w:bookmarkEnd w:id="0"/>
    </w:p>
    <w:p w14:paraId="550632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insere-se no domínio das Cidades Inteligentes, com emprego articulado de Internet das Coisas e Inteligência Artificial. O tema específico é o controle dinâmico da iluminação pública a partir de dados urbanos que o município de São Paulo já produz.</w:t>
      </w:r>
    </w:p>
    <w:p w14:paraId="69D55B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proposta parte de uma constatação factual sobre a cidade. São Paulo dispõe hoje das duas pontas necessárias a um sistema de iluminação responsiva: de um lado, uma plataforma de videomonitoramento com dezenas de milhares de câmeras e detecção automática de eventos; de outro, um parque de iluminação de mais de seiscentos mil pontos, quase integralmente convertido para tecnologia de estado sólido e sob concessão que obriga a instalação de telegestão em cada luminária, com controle remoto de intensidade. O que não existe é a ligação entre as duas coisas.</w:t>
      </w:r>
    </w:p>
    <w:p w14:paraId="393054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constrói e demonstra essa ligação. Um serviço em nuvem recebe dados do ambiente urbano por interface que emula a integração com a plataforma municipal, submete-os a análise por inteligência artificial, decide o nível de iluminação adequado e comanda um nó físico, que ajusta a intensidade da luminária. Um sensor de iluminância no nó devolve, em tempo real, o valor efetivamente entregue, de modo que a plateia da defesa acompanhe simultaneamente o dado que entrou, a decisão tomada e a luz que saiu.</w:t>
      </w:r>
    </w:p>
    <w:p w14:paraId="0E39559D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" w:name="_Toc240223121"/>
      <w:r w:rsidRPr="000F5B8B">
        <w:rPr>
          <w:lang w:val="pt-BR"/>
        </w:rPr>
        <w:t>1.1 Cidades inteligentes</w:t>
      </w:r>
      <w:bookmarkEnd w:id="1"/>
    </w:p>
    <w:p w14:paraId="48962A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Cidade inteligente designa o emprego de tecnologias da informação e comunicação para elevar a eficiência dos serviços públicos, a sustentabilidade ambiental e a qualidade de vida da população. Suas características principais são o sensoriamento e a análise de dados em escala urbana, a sustentabilidade ambiental, a mobilidade eficiente, a governança participativa e a economia inovadora.</w:t>
      </w:r>
    </w:p>
    <w:p w14:paraId="43E9286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estágio atual dessas iniciativas em São Paulo tem um traço que interessa diretamente a este trabalho: a instrumentação da cidade deixou de ser proposta e passou a ser infraestrutura instalada e contratada. Não se trata, portanto, de propor que a cidade passe a coletar dados ou a controlar remotamente suas luminárias — ambas as coisas já estão em curso. Trata-se de propor um uso para o que já existe.</w:t>
      </w:r>
    </w:p>
    <w:p w14:paraId="62BF97D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" w:name="_Toc240223122"/>
      <w:r w:rsidRPr="000F5B8B">
        <w:rPr>
          <w:lang w:val="pt-BR"/>
        </w:rPr>
        <w:lastRenderedPageBreak/>
        <w:t>1.2 Internet das Coisas</w:t>
      </w:r>
      <w:bookmarkEnd w:id="2"/>
    </w:p>
    <w:p w14:paraId="6B31C5B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Internet das Coisas designa a interconexão de dispositivos dotados de sensoriamento, processamento e comunicação. Sua arquitetura é descrita em camadas — percepção, rede e aplicação —, conforme sistematizado por Lin et al. (2017).</w:t>
      </w:r>
    </w:p>
    <w:p w14:paraId="6F7ABB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Neste trabalho, a Internet das Coisas responde pela camada física: é o nó que recebe a decisão produzida na nuvem, ajusta a luminária ao nível determinado e devolve a iluminância medida. Essa telemetria de retorno não é acessório. É ela que converte a decisão, que é abstrata, em grandeza observável — e, portanto, verificável.</w:t>
      </w:r>
    </w:p>
    <w:p w14:paraId="5275E6A5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" w:name="_Toc240223123"/>
      <w:r w:rsidRPr="000F5B8B">
        <w:rPr>
          <w:lang w:val="pt-BR"/>
        </w:rPr>
        <w:t>1.3 Inteligência artificial aplicada à decisão</w:t>
      </w:r>
      <w:bookmarkEnd w:id="3"/>
    </w:p>
    <w:p w14:paraId="101E26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inteligência artificial comparece na função de decidir sob informação imprecisa. As variáveis que descrevem o ambiente urbano não chegam como valores exatos aos quais corresponda uma regra única: chegam como grandezas parcialmente verdadeiras e frequentemente simultâneas. Movimentação moderada com ocorrência reportada nas proximidades; chuva com via vazia; horário avançado com fluxo intenso. Decidir o nível de iluminação a partir disso é raciocínio aproximado, não consulta a tabela.</w:t>
      </w:r>
    </w:p>
    <w:p w14:paraId="6FC63E8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Adota-se sistema de inferência nebulosa, cuja formulação matemática remonta a Zadeh (1965) e cuja aplicação a controle foi estabelecida por Mamdani e Assilian (1975). É técnica consolidada de inteligência artificial, adequada a situações em que o conhecimento do domínio existe em forma linguística e as fronteiras entre as condições são graduais.</w:t>
      </w:r>
    </w:p>
    <w:p w14:paraId="2359DB7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pretendida é adaptativa e não preditiva. O sistema não estima estado futuro nem projeta séries temporais: interpreta as condições observadas no instante e determina o nível correspondente. A delimitação é deliberada e tem consequência direta sobre o mecanismo escolhido e sobre o que se pode afirmar a respeito dos resultados.</w:t>
      </w:r>
    </w:p>
    <w:p w14:paraId="4945725F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4" w:name="_Toc240223124"/>
      <w:r w:rsidRPr="000F5B8B">
        <w:rPr>
          <w:lang w:val="pt-BR"/>
        </w:rPr>
        <w:t>2 DEFINIÇÃO DO TEMA</w:t>
      </w:r>
      <w:bookmarkEnd w:id="4"/>
    </w:p>
    <w:p w14:paraId="08416FF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O tema definido é a especificação, construção e avaliação de uma camada de decisão que converte dados do ambiente urbano em comando de intensidade para a iluminação pública, demonstrada em um nó físico e situada na infraestrutura efetivamente instalada no município de São Paulo. A escolha atende aos quatro critérios de definição do tema.</w:t>
      </w:r>
    </w:p>
    <w:p w14:paraId="51704AB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Interesse e competências dos autores: o trabalho articula desenvolvimento de serviço em nuvem, projeto de interface de programação, modelagem de decisão e programação embarcada — competências desenvolvidas ao longo do curso.</w:t>
      </w:r>
    </w:p>
    <w:p w14:paraId="5BEE2F7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Aderência a tendências acadêmicas e de mercado: telegestão de iluminação pública e reaproveitamento de dados de plataformas urbanas são linhas ativas de pesquisa e objeto de contrato público vigente na maior cidade do país.</w:t>
      </w:r>
    </w:p>
    <w:p w14:paraId="5BA070F3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Problema real a ser solucionado: a iluminação pública paulistana opera segundo regime praticamente invariante, indiferente às condições observadas na via, embora a cidade disponha de infraestrutura para observar essas condições e para comandar a intensidade de cada luminária.</w:t>
      </w:r>
    </w:p>
    <w:p w14:paraId="351A105E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Viabilidade técnica e logística: o protótipo é um nó único, construído com componentes de baixo custo, operando em baixa tensão de corrente contínua, sem qualquer intervenção em via pública ou instalação energizada.</w:t>
      </w:r>
    </w:p>
    <w:p w14:paraId="43F2A3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Delimita-se o tema a um nó único, em bancada, alimentado por interface que emula a plataforma municipal. Não se contempla integração efetiva com o Smart Sampa ou com o sistema de telegestão da concessionária, controle coordenado de múltiplas luminárias, nem operação em via pública.</w:t>
      </w:r>
    </w:p>
    <w:p w14:paraId="4E834F3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5" w:name="_Toc240223125"/>
      <w:r w:rsidRPr="000F5B8B">
        <w:rPr>
          <w:lang w:val="pt-BR"/>
        </w:rPr>
        <w:t>3 PROBLEMA DE PESQUISA</w:t>
      </w:r>
      <w:bookmarkEnd w:id="5"/>
    </w:p>
    <w:p w14:paraId="1E828CA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iluminação pública não se adapta adequadamente às variações das condições e da movimentação urbana, podendo oferecer iluminação insuficiente em </w:t>
      </w:r>
      <w:r w:rsidRPr="000F5B8B">
        <w:rPr>
          <w:lang w:val="pt-BR"/>
        </w:rPr>
        <w:lastRenderedPageBreak/>
        <w:t>situações de maior demanda ou iluminação desnecessariamente elevada em situações de menor demanda.</w:t>
      </w:r>
    </w:p>
    <w:p w14:paraId="1159D74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Existem sistemas capazes de coletar e analisar informações sobre o ambiente urbano. O problema investigado neste trabalho é como utilizar essas informações para tornar a iluminação pública mais responsiva às condições observadas.</w:t>
      </w:r>
    </w:p>
    <w:p w14:paraId="3EA584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problema é de integração e de decisão, não de sensoriamento nem de atuação. Em São Paulo, ambas já existem e estão documentadas na subseção 6.3: a plataforma Smart Sampa produz alertas automáticos de evento a partir de dezenas de milhares de câmeras, e a concessão de iluminação pública obriga a instalação de dispositivo de telegestão em cada uma das mais de seiscentas mil luminárias, com informação e controle de intensidade em tempo real. A informação é produzida em um sistema e a capacidade de agir sobre a luz existe em outro, e nada liga os dois.</w:t>
      </w:r>
    </w:p>
    <w:p w14:paraId="6ED93967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Converter descrição do ambiente em comando de iluminação exige estabelecer quais variáveis são pertinentes, como se combinam quando apontam em direções distintas, e como se garante que a decisão jamais transgrida os limites de segurança fixados pela normalização técnica.</w:t>
      </w:r>
    </w:p>
    <w:p w14:paraId="1E7C1DE1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Formula-se, assim, o seguinte problema de pesquisa:</w:t>
      </w:r>
    </w:p>
    <w:p w14:paraId="1A930527" w14:textId="77777777" w:rsidR="006B1E66" w:rsidRPr="000F5B8B" w:rsidRDefault="00000000">
      <w:pPr>
        <w:spacing w:before="120" w:after="360"/>
        <w:ind w:left="1134" w:right="567"/>
        <w:jc w:val="both"/>
        <w:rPr>
          <w:lang w:val="pt-BR"/>
        </w:rPr>
      </w:pPr>
      <w:r w:rsidRPr="000F5B8B">
        <w:rPr>
          <w:sz w:val="20"/>
          <w:szCs w:val="20"/>
          <w:lang w:val="pt-BR"/>
        </w:rPr>
        <w:t>Como utilizar dados urbanos e Inteligência Artificial para determinar dinamicamente o nível adequado de iluminação pública de acordo com as condições do ambiente?</w:t>
      </w:r>
    </w:p>
    <w:p w14:paraId="1539566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Duas hipóteses orientam a investigação. A primeira é que um sistema de inferência nebulosa operando sobre variáveis do ambiente urbano produz decisões de nível luminoso consistentes com as condições observadas, sem recorrer a estimativa de estado futuro. A segunda é que a interposição de uma camada de verificação normativa entre a inferência e a atuação impede, em todas as decisões, a violação dos limites da ABNT NBR 5101 — de modo que adaptabilidade e conformidade não sejam objetivos concorrentes, mas propriedades simultâneas asseguradas por construção.</w:t>
      </w:r>
    </w:p>
    <w:p w14:paraId="53B56259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6" w:name="_Toc240223126"/>
      <w:r w:rsidRPr="000F5B8B">
        <w:rPr>
          <w:lang w:val="pt-BR"/>
        </w:rPr>
        <w:t>4 OBJETIVOS</w:t>
      </w:r>
      <w:bookmarkEnd w:id="6"/>
    </w:p>
    <w:p w14:paraId="708AC67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7" w:name="_Toc240223127"/>
      <w:r w:rsidRPr="000F5B8B">
        <w:rPr>
          <w:lang w:val="pt-BR"/>
        </w:rPr>
        <w:t>4.1 Objetivo geral</w:t>
      </w:r>
      <w:bookmarkEnd w:id="7"/>
    </w:p>
    <w:p w14:paraId="16EDF1F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Demonstrar que dados do ambiente urbano disponíveis no município de São Paulo, submetidos a decisão por inferência artificial, comandam o ajuste da intensidade de um nó de iluminação pública de forma consistente com as condições observadas, dentro de limite de latência especificado, e sem violar em nenhuma decisão os limites estabelecidos pela ABNT NBR 5101.</w:t>
      </w:r>
    </w:p>
    <w:p w14:paraId="416980DA" w14:textId="77777777" w:rsidR="006B1E66" w:rsidRDefault="00000000">
      <w:pPr>
        <w:pStyle w:val="Heading2"/>
        <w:spacing w:before="360" w:after="240" w:line="360" w:lineRule="auto"/>
      </w:pPr>
      <w:bookmarkStart w:id="8" w:name="_Toc240223128"/>
      <w:r>
        <w:t xml:space="preserve">4.2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8"/>
      <w:proofErr w:type="spellEnd"/>
    </w:p>
    <w:p w14:paraId="07811466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Caracterizar a infraestrutura de monitoramento urbano e de telegestão de iluminação pública instalada no município de São Paulo, identificando que informação é produzida, que capacidade de atuação existe e o que falta para conectá-las.</w:t>
      </w:r>
    </w:p>
    <w:p w14:paraId="7DF8416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Especificar o conjunto de variáveis do ambiente urbano pertinentes à decisão de iluminação e as faixas em que cada uma opera, a partir de conjuntos de dados públicos municipais.</w:t>
      </w:r>
    </w:p>
    <w:p w14:paraId="37F2F18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Construir a base de regras e as funções de pertinência do sistema de inferência, derivando das prescrições da ABNT NBR 5101 as restrições que operam como limites rígidos.</w:t>
      </w:r>
    </w:p>
    <w:p w14:paraId="7E28967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Demonstrar que a camada de verificação normativa impede a violação do piso de iluminância da classe adotada, da taxa máxima de variação do fluxo e da vedação à dimerização sob condição meteorológica adversa, em todas as decisões da suíte de cenários.</w:t>
      </w:r>
    </w:p>
    <w:p w14:paraId="7622406E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Determinar a latência do percurso completo, desde a recepção do dado urbano até a alteração mensurada da iluminância no nó.</w:t>
      </w:r>
    </w:p>
    <w:p w14:paraId="1B0EA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Especificar a interface de integração entre plataforma de monitoramento urbano e sistema de telegestão de iluminação, indicando que informação precisaria ser publicada e em que semântica.</w:t>
      </w:r>
    </w:p>
    <w:p w14:paraId="1B6D160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construção do protótipo, a implantação da arquitetura em nuvem e o levantamento bibliográfico não figuram entre os objetivos específicos, ainda que sejam necessários à execução. Objetivos específicos correspondem a resultados finais mensuráveis; aquelas atividades são meios, descritos na metodologia.</w:t>
      </w:r>
    </w:p>
    <w:p w14:paraId="42F239C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9" w:name="_Toc240223129"/>
      <w:r w:rsidRPr="000F5B8B">
        <w:rPr>
          <w:lang w:val="pt-BR"/>
        </w:rPr>
        <w:lastRenderedPageBreak/>
        <w:t>5 JUSTIFICATIVA</w:t>
      </w:r>
      <w:bookmarkEnd w:id="9"/>
    </w:p>
    <w:p w14:paraId="619F1B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relevância do trabalho sustenta-se em quatro eixos.</w:t>
      </w:r>
    </w:p>
    <w:p w14:paraId="2FF85EC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primeiro é de aproveitamento de investimento público. São Paulo contratou, em 2018, a modernização e a operação de seu parque de iluminação por vinte anos, ao valor de R$ 6,9 bilhões, com obrigação de telegestão em cada luminária (SÃO PAULO, 2018a, 2018b). Construiu, a partir de 2023, uma plataforma de videomonitoramento com dezenas de milhares de câmeras e análise automática de eventos. São dois ativos de escala municipal, custeados com recurso público, cujas finalidades declaradas não se comunicam. Propor o uso conjunto deles não demanda novo investimento em infraestrutura: demanda uma camada de software.</w:t>
      </w:r>
    </w:p>
    <w:p w14:paraId="6658E3D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segundo é social. A iluminação viária cumpre função de segurança de tráfego e de percepção de segurança pública. Elevar o nível luminoso diante de condições que o justifiquem — movimentação intensa, ocorrência reportada nas proximidades, precipitação que reduz a visibilidade — atende essa função de modo mais aderente à situação real do que um regime fixo. A própria norma ancora esse raciocínio: ao fixar iluminância vertical mínima para as classes de pedestres, a ABNT NBR 5101 declara que o critério destina-se ao reconhecimento facial e à reação antecipada do pedestre diante de eventual ato de agressão. O nível de iluminação de uma área de circulação é dimensionado pela condição de que uma pessoa seja reconhecível nela.</w:t>
      </w:r>
    </w:p>
    <w:p w14:paraId="7B2895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terceiro é técnico. Decidir sob informação imprecisa é problema legítimo de inteligência artificial e não se resolve por tabela. As variáveis urbanas chegam parcialmente verdadeiras e em conflito, e um mecanismo capaz de compor evidências parciais numa saída única e graduada é condição para que o sistema se comporte de modo previsível nessas situações. É essa composição que o trabalho implementa e avalia.</w:t>
      </w:r>
    </w:p>
    <w:p w14:paraId="5EFC41C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quarto é normativo. A revisão de 2024 da ABNT NBR 5101 passou a tratar explicitamente a iluminação adaptativa, fixou os critérios sob os quais a atenuação é admissível e recomendou o monitoramento contínuo do tráfego e do meio ambiente para determinar o funcionamento do sistema. O trabalho opera dentro de moldura normativa vigente, e a subseção 6.5 a examina em detalhe.</w:t>
      </w:r>
    </w:p>
    <w:p w14:paraId="0E73D63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Delimita-se, por fim, o escopo quanto à energia. O trabalho não se propõe a demonstrar nem a quantificar economia. Fazê-lo exigiria definir linha de base, perfil </w:t>
      </w:r>
      <w:r w:rsidRPr="000F5B8B">
        <w:rPr>
          <w:lang w:val="pt-BR"/>
        </w:rPr>
        <w:lastRenderedPageBreak/>
        <w:t>anual de ocupação e tratamento estatístico próprios, que constituiriam investigação distinta. A avaliação energética do controle proposto é indicada entre os trabalhos futuros.</w:t>
      </w:r>
    </w:p>
    <w:p w14:paraId="0CECF56A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10" w:name="_Toc240223130"/>
      <w:r w:rsidRPr="000F5B8B">
        <w:rPr>
          <w:lang w:val="pt-BR"/>
        </w:rPr>
        <w:t>6 REVISÃO BIBLIOGRÁFICA</w:t>
      </w:r>
      <w:bookmarkEnd w:id="10"/>
    </w:p>
    <w:p w14:paraId="798F8E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1" w:name="_Toc240223131"/>
      <w:r w:rsidRPr="000F5B8B">
        <w:rPr>
          <w:lang w:val="pt-BR"/>
        </w:rPr>
        <w:t>6.1 Metodologia de seleção das fontes</w:t>
      </w:r>
      <w:bookmarkEnd w:id="11"/>
    </w:p>
    <w:p w14:paraId="1352A2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seleção obedeceu a procedimento explícito, de modo que a revisão seja reproduzível e os critérios de inclusão possam ser auditados.</w:t>
      </w:r>
    </w:p>
    <w:p w14:paraId="642629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Foram consultados o Portal de Periódicos da CAPES, a base SciELO, a Biblioteca Digital Brasileira de Teses e Dissertações e os acervos das editoras IEEE, Elsevier, Springer, Taylor &amp; Francis e SAGE. Os termos empregados, combinados por operadores booleanos, foram: telegestão de iluminação pública; iluminação pública adaptativa e seu correspondente em língua inglesa adaptive street lighting; smart street lighting; fuzzy logic lighting control; urban data platform; smart city interoperability; e os descritores normativos referentes à iluminação viária.</w:t>
      </w:r>
    </w:p>
    <w:p w14:paraId="271576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critérios de inclusão foram aplicados cumulativamente. O primeiro é a publicação em veículo com processo editorial de revisão por pares documentado, indexado em base consolidada, privilegiando periódicos de sociedades científicas e de editoras de tradição reconhecida, ou, no caso da produção nacional, teses e dissertações de programas de pós-graduação avaliados pela Coordenação de Aperfeiçoamento de Pessoal de Nível Superior. O segundo é a aderência direta a um dos eixos que estruturam esta seção. O terceiro é o recorte temporal de dez anos, contado a partir de 2016.</w:t>
      </w:r>
    </w:p>
    <w:p w14:paraId="7D79336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Foram excluídas fontes sem revisão por pares, trabalhos de aderência apenas tangencial e publicações em periódicos de processo editorial não verificável.</w:t>
      </w:r>
    </w:p>
    <w:p w14:paraId="2DB61B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Duas exceções ao recorte temporal são declaradas e delimitadas. A primeira são duas obras seminais — Zadeh (1965) e Mamdani e Assilian (1975) —, que comparecem exclusivamente como atribuição de origem da técnica adotada, e não como sustentação de qualquer afirmação sobre o estado da arte. A distinção é relevante: o estado atual da discussão sobre a técnica é sustentado por fontes de 2019 e 2026, apresentadas na subseção 6.6, e nenhuma afirmação deste trabalho </w:t>
      </w:r>
      <w:r w:rsidRPr="000F5B8B">
        <w:rPr>
          <w:lang w:val="pt-BR"/>
        </w:rPr>
        <w:lastRenderedPageBreak/>
        <w:t>depende de literatura anterior ao recorte. A segunda exceção são os documentos oficiais do poder público e de instituições públicas, os atos regulatórios e os relatórios de órgão de controle externo, empregados exclusivamente para estabelecer fatos sobre a infraestrutura instalada e sobre o regime jurídico que a rege. Fontes dessa natureza comparecem identificadas como tais, e delas não se extrai afirmação de desempenho. Essa matéria não é reportada por literatura revisada por pares, e a fonte primária a documenta de modo verificável.</w:t>
      </w:r>
    </w:p>
    <w:p w14:paraId="3E4C23A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terceira exceção, mais restrita, alcança duas fontes nominalmente identificadas. A primeira é a publicação normativa da Commission Internationale de l'Éclairage sobre iluminação viária, de 2010: documento técnico normativo não se avalia pela data de publicação, e sim pela vigência, e a edição citada é a que permanece em vigor. A segunda é o relato da plataforma SmartSantander, de 2014, que comparece exclusivamente como precedente histórico de infraestrutura urbana de sensoriamento efetivamente implantada — uso em que a anterioridade é a própria qualidade pertinente. De nenhuma das duas se extrai afirmação sobre o estado da arte da técnica.</w:t>
      </w:r>
    </w:p>
    <w:p w14:paraId="0A017ED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2" w:name="_Toc240223132"/>
      <w:r w:rsidRPr="000F5B8B">
        <w:rPr>
          <w:lang w:val="pt-BR"/>
        </w:rPr>
        <w:t>6.2 Infraestrutura instalada e integração ausente: um padrão documentado</w:t>
      </w:r>
      <w:bookmarkEnd w:id="12"/>
    </w:p>
    <w:p w14:paraId="766AB8A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Antes de examinar São Paulo, convém estabelecer que a situação descrita neste trabalho não é uma peculiaridade local, e sim uma configuração recorrente, reportada na literatura.</w:t>
      </w:r>
    </w:p>
    <w:p w14:paraId="773B60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Alves, Dias e Seixas (2019) examinam o estado da arte das cidades inteligentes no Brasil e em Portugal e concluem que nenhum dos dois países ultrapassou a primeira fase do processo, aquela de implantação de infraestrutura tecnológica, permanecendo incipiente o estágio em que a tecnologia integrada passa a apoiar o planejamento urbano. Os autores identificam ainda que a iluminação pública e a mobilidade figuram entre os setores que mais recebem investimento municipal. O diagnóstico é preciso quanto ao problema aqui tratado: investe-se em infraestrutura, e não se investe na integração que a tornaria útil a mais de um serviço.</w:t>
      </w:r>
    </w:p>
    <w:p w14:paraId="3BEEE31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Dizon e Pranggono (2022) documentam o caso de Sheffield, no Reino Unido, onde 66.802 luminárias — 99,5% do parque — foram convertidas para tecnologia de estado sólido e integradas a um sistema central de telegestão. Os autores registram </w:t>
      </w:r>
      <w:r w:rsidRPr="000F5B8B">
        <w:rPr>
          <w:lang w:val="pt-BR"/>
        </w:rPr>
        <w:lastRenderedPageBreak/>
        <w:t>que a operação utiliza apenas parte das capacidades de controle disponíveis, mantendo regime de acionamento por calendário solar e horário programado, e que a cidade não implantou controle responsivo ao tráfego. É o mesmo descompasso entre capacidade instalada e capacidade utilizada, observado em outra cidade, em outro país e sob outro arranjo contratual.</w:t>
      </w:r>
    </w:p>
    <w:p w14:paraId="568A59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mesma assimetria aparece nos grandes instrumentos urbanos de pesquisa. O Array of Things, implantado em Chicago pela Universidade de Chicago e pelo Argonne National Laboratory, instala em postes de iluminação nós que executam visão computacional no próprio dispositivo e publicam apenas medições derivadas, jamais imagens (CATLETT et al., 2017). O SmartSantander, na Espanha, opera milhares de dispositivos, dentre os quais sessenta medem volume, ocupação, velocidade e comprimento de fila nas entradas da cidade (SANCHEZ et al., 2014). Ambos são referências consolidadas de sensoriamento urbano em escala, e em ambos os postes comparecem como ponto de instalação: nenhum dos dois fecha o laço sobre a própria iluminação que os sustenta.</w:t>
      </w:r>
    </w:p>
    <w:p w14:paraId="14AB5C6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Anthony Jnr (2024) conduz revisão sistemática sobre o emprego de interfaces de programação de aplicações na interoperabilidade entre sistemas digitais municipais e conclui que a fragmentação entre sistemas concebidos isoladamente é o obstáculo dominante à integração, e que a especificação da interface é o instrumento pelo qual essa fragmentação se resolve. Reia e Cruz (2023), examinando a agenda brasileira de cidades inteligentes, oferecem a explicação causal: a arquitetura tecnológica municipal é definida por fornecedores no interior de contratos setoriais, o que produz sistemas que cumprem bem a finalidade contratada e não preveem qualquer outra.</w:t>
      </w:r>
    </w:p>
    <w:p w14:paraId="0D04FA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 caso brasileiro recente ilustra o mesmo ponto em escala menor e sob condições favoráveis. Em janeiro de 2026, a Universidade Estadual de Campinas recebeu os dispositivos de telegestão de um projeto que instala 2.615 sensores junto a luminárias de estado sólido em seu campus, executado por operadora de telecomunicações com financiamento vinculado ao Programa Nacional de Iluminação Pública Eficiente (RIBEIRO, 2026). A descrição oficial do sistema informa que a plataforma permite ajustar níveis de iluminação conforme horários, condições ambientais ou demandas específicas, além de identificar falhas em tempo real (NIPE, 2026).</w:t>
      </w:r>
    </w:p>
    <w:p w14:paraId="13103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 proximidade com o que aqui se propõe é aparente e convém demarcá-la. O que se implanta é uma plataforma de telegestão dotada de sensoriamento próprio, instalado para essa finalidade, em rede fechada de campus, com ajuste por programação horária e por condição medida localmente. Não há consumo de dados produzidos por outro sistema, concebido para outra finalidade, nem camada de verificação normativa interposta entre a decisão e a atuação. O caso é, portanto, mais um registro de capacidade instalada — e recente, brasileiro e no estado de São Paulo — do que uma realização do vínculo que este trabalho investiga.</w:t>
      </w:r>
    </w:p>
    <w:p w14:paraId="71499E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quadro nacional dimensiona o problema. Segundo o censo do setor, elaborado a partir da Base de Dados Geográfica da Distribuidora mantida pela Agência Nacional de Energia Elétrica, o Brasil registrava 19.362.437 pontos de luz nas redes das distribuidoras em 2023, número que o próprio censo estima em 22.037.666 quando incluída a iluminação ornamental, com margem de segurança entre 20.185.063 e 24.761.415. Sobre a base das distribuidoras, 3.793.293 pontos, ou 19,6%, operavam em tecnologia de estado sólido (ABCIP, 2024). São Paulo, que já em 2021 contabilizava cerca de 90% do parque convertido, com modernização integral prevista para 2024 (SÃO PAULO, 2021), é exceção — e é justamente por ser exceção que constitui o caso em que a pergunta deste trabalho pode ser formulada sem depender de investimento ainda não realizado.</w:t>
      </w:r>
    </w:p>
    <w:p w14:paraId="305071A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3" w:name="_Toc240223133"/>
      <w:r w:rsidRPr="000F5B8B">
        <w:rPr>
          <w:lang w:val="pt-BR"/>
        </w:rPr>
        <w:t>6.3 A infraestrutura instalada no município de São Paulo</w:t>
      </w:r>
      <w:bookmarkEnd w:id="13"/>
    </w:p>
    <w:p w14:paraId="1924DF6C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Esta subseção estabelece o fato sobre o qual o trabalho se apoia: as duas capacidades necessárias a um sistema de iluminação responsiva já existem na cidade, contratadas e em operação. O Quadro 1 sintetiza o levantamento, construído sobre fontes primárias.</w:t>
      </w:r>
    </w:p>
    <w:p w14:paraId="369BFE36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1 – Infraestrutura urbana instalada no município de São Paulo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:rsidRPr="007B78AE" w14:paraId="083A2BF3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43E8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Ativo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E8906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existe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B5A7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O que ainda não faz</w:t>
            </w:r>
          </w:p>
        </w:tc>
      </w:tr>
      <w:tr w:rsidR="006B1E66" w:rsidRPr="007B78AE" w14:paraId="54D753C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4BCE7" w14:textId="77777777" w:rsidR="006B1E66" w:rsidRDefault="00000000">
            <w:r>
              <w:rPr>
                <w:sz w:val="20"/>
                <w:szCs w:val="20"/>
              </w:rPr>
              <w:t xml:space="preserve">Parque de </w:t>
            </w:r>
            <w:proofErr w:type="spellStart"/>
            <w:r>
              <w:rPr>
                <w:sz w:val="20"/>
                <w:szCs w:val="20"/>
              </w:rPr>
              <w:t>iluminação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FC98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618.355 pontos de luz, dos quais 535.713 contratados para substituição por tecnologia de estado sólido; cerca de 90% do parque convertido em 2021, com modernização integral prevista para 2024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3113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Opera em regime praticamente invariante, comandado por horário ou por luz natural</w:t>
            </w:r>
          </w:p>
        </w:tc>
      </w:tr>
      <w:tr w:rsidR="006B1E66" w:rsidRPr="007B78AE" w14:paraId="50A2921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5BE00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Concessão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telegestão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6F5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Contrato de Concessão nº 003/SMSO/2018, de vinte anos, ao valor de R$ 6,9 bilhões, originado da Concorrência Internacional nº 01/SES/2015. O Anexo III do contrato, Caderno de Encargos, exige telegestão bidirecional, com o centro de controle emitindo comandos isolados ou em grupo e programação agendada, e drivers que permitam dimerização por controle analógico de 0 a 10 V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4C76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telegestão serve à gestão do ativo — falha, consumo, inventário — e não consome informação sobre o que ocorre na via</w:t>
            </w:r>
          </w:p>
        </w:tc>
      </w:tr>
      <w:tr w:rsidR="006B1E66" w:rsidRPr="007B78AE" w14:paraId="77BD80E0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B1D67" w14:textId="77777777" w:rsidR="006B1E66" w:rsidRDefault="00000000">
            <w:r>
              <w:rPr>
                <w:sz w:val="20"/>
                <w:szCs w:val="20"/>
              </w:rPr>
              <w:t>Plataforma Smart Sampa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3AFD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40 mil câmeras integradas até setembro de 2025, sendo 20 mil municipais e 20 mil de redes privadas, e central de monitoramento em operação contínua. O Termo de Referência exige analíticos de contagem de pessoas, de detecção de densidade e concentração de pessoas, de contagem e fluxo de veículos e de alarme de congestionamento, além de interoperabilidade com acesso aos dados por interface de programação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E9B0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Destina-se à segurança pública. Sua informação não alcança qualquer outro sistema municipal, e o acesso à interface é tratado caso a caso, sem endpoint público</w:t>
            </w:r>
          </w:p>
        </w:tc>
      </w:tr>
      <w:tr w:rsidR="006B1E66" w:rsidRPr="007B78AE" w14:paraId="061413B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619D2" w14:textId="77777777" w:rsidR="006B1E66" w:rsidRDefault="00000000">
            <w:r>
              <w:rPr>
                <w:sz w:val="20"/>
                <w:szCs w:val="20"/>
              </w:rPr>
              <w:t xml:space="preserve">Regime </w:t>
            </w:r>
            <w:proofErr w:type="spellStart"/>
            <w:r>
              <w:rPr>
                <w:sz w:val="20"/>
                <w:szCs w:val="20"/>
              </w:rPr>
              <w:t>regulatório</w:t>
            </w:r>
            <w:proofErr w:type="spellEnd"/>
            <w:r>
              <w:rPr>
                <w:sz w:val="20"/>
                <w:szCs w:val="20"/>
              </w:rPr>
              <w:t xml:space="preserve"> federal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95E4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Agência Nacional de Energia Elétrica aprovou, em 2022, instruções para o faturamento da iluminação pública quando há sistema de telegestão instalado, substituindo o tempo presumido pela medição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2FDE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Nenhum ato vincula a operação da iluminação a dados de outras plataformas municipais</w:t>
            </w:r>
          </w:p>
        </w:tc>
      </w:tr>
      <w:tr w:rsidR="006B1E66" w:rsidRPr="007B78AE" w14:paraId="5FAD583E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40F51" w14:textId="77777777" w:rsidR="006B1E66" w:rsidRDefault="00000000">
            <w:r>
              <w:rPr>
                <w:sz w:val="20"/>
                <w:szCs w:val="20"/>
              </w:rPr>
              <w:t xml:space="preserve">Dados </w:t>
            </w:r>
            <w:proofErr w:type="spellStart"/>
            <w:r>
              <w:rPr>
                <w:sz w:val="20"/>
                <w:szCs w:val="20"/>
              </w:rPr>
              <w:t>abertos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municipais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C821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Portal de dados abertos com solicitações do SP156, registros de ocorrência do Centro de Gerenciamento de Emergências e base georreferenciada da cidade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7D39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Publicados em periodicidade agregada, adequados à caracterização de distribuições e não à operação em tempo real</w:t>
            </w:r>
          </w:p>
        </w:tc>
      </w:tr>
    </w:tbl>
    <w:p w14:paraId="181F1D30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 a partir de São Paulo (2015, 2018a, 2021, 2022, 2025, 2026) e Agência Nacional de Energia Elétrica (2022).</w:t>
      </w:r>
    </w:p>
    <w:p w14:paraId="7CAF8C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Quatro consequências decorrem desse levantamento, e são elas que definem o trabalho.</w:t>
      </w:r>
    </w:p>
    <w:p w14:paraId="759C07B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primeira é que a capacidade de atuação não precisa ser proposta. O Anexo III do contrato de concessão, que é o Caderno de Encargos da Concessionária (SÃO PAULO, 2015), exige textualmente sistema de telegestão bidirecional que leve informações do centro de controle aos ativos, na forma de comandos isolados ou em </w:t>
      </w:r>
      <w:r w:rsidRPr="000F5B8B">
        <w:rPr>
          <w:lang w:val="pt-BR"/>
        </w:rPr>
        <w:lastRenderedPageBreak/>
        <w:t>grupo, para que atuem conforme decisão da mesa de comando ou conforme programação agendada; e exige que o driver permita dimerização por controle analógico de 0 a 10 V. Não se trata apenas de capacidade contratada em tese: a interface física pela qual a intensidade se altera está especificada em contrato.</w:t>
      </w:r>
    </w:p>
    <w:p w14:paraId="7DDFE3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que a capacidade de observação também não precisa ser proposta, e este é o ponto em que a documentação contratual é mais eloquente do que qualquer inferência. O Termo de Referência da plataforma municipal de videomonitoramento exige, entre os analíticos de imagem, a detecção de densidade e concentração de pessoas e a contagem de pessoas, e, entre os requisitos das câmeras, a contagem de pessoas por área, a verificação de densidade de veículos e o alarme de congestionamento (SÃO PAULO, 2022), documento que o Termo de Contrato nº 032/SMSU/2023 incorpora como parte integrante do edital que originou a contratação (SÃO PAULO, 2023). São exatamente as grandezas que a ABNT NBR 5101 emprega para classificar uma via: volume de tráfego, composição e nível de atividade de pedestres. A plataforma não foi concebida para iluminação, mas produz, por obrigação contratual, o descritor de que a iluminação precisaria.</w:t>
      </w:r>
    </w:p>
    <w:p w14:paraId="112D22C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mesmo documento estabelece que a plataforma deve ser interoperável, de modo que seus dados possam ser acessados por interface de programação. A capacidade de publicação está, portanto, contratualmente prevista; o que não existe é o consumidor do outro lado, nem a semântica que tornaria esse consumo útil a um serviço distinto da segurança pública.</w:t>
      </w:r>
    </w:p>
    <w:p w14:paraId="0B9B430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que o regime regulatório federal já reconheceu a telegestão. Ao aprovar instruções para o faturamento da energia de iluminação pública quando há sistema de gestão instalado, a agência reguladora admitiu que a luminária telegerida informa seu consumo real em vez de operar por tempo presumido. A medição fina que este trabalho pressupõe não é hipótese técnica: é pressuposto de um ato regulatório vigente.</w:t>
      </w:r>
    </w:p>
    <w:p w14:paraId="5E66E8C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quarta é que a lacuna está exatamente no meio. A telegestão foi concebida para gerir o ativo: saber se a luminária funciona, quanto consome, quando falhou. A plataforma de monitoramento foi concebida para a segurança pública. Nenhuma das duas foi concebida para que a segunda informe a primeira. É essa camada ausente — a que recebe a descrição do ambiente e decide a intensidade da luz — que o presente trabalho especifica, constrói e demonstra.</w:t>
      </w:r>
    </w:p>
    <w:p w14:paraId="2CFD5C4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Registra-se, por honestidade de escopo, que a execução da concessão foi sucessivamente ajustada por termos de aditamento e de retomada, publicados pela agência reguladora municipal (SÃO PAULO, 2019-2022), o que situa a implantação da telegestão em estágio ainda em curso. Isso não enfraquece o argumento: reforça-o. A capacidade está contratada e em implantação, e é precisamente durante esse período que faz sentido especificar o que se poderá fazer com ela.</w:t>
      </w:r>
    </w:p>
    <w:p w14:paraId="0ECA1A44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4" w:name="_Toc240223134"/>
      <w:r w:rsidRPr="000F5B8B">
        <w:rPr>
          <w:lang w:val="pt-BR"/>
        </w:rPr>
        <w:t>6.4 Internet das Coisas e nós embarcados</w:t>
      </w:r>
      <w:bookmarkEnd w:id="14"/>
    </w:p>
    <w:p w14:paraId="7A5E49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Lin et al. (2017) descrevem a arquitetura da Internet das Coisas em camadas de percepção, rede e aplicação, organização que constitui o arcabouço arquitetural adotado. O protocolo MQTT (OASIS, 2019) é o padrão consolidado para transporte de telemetria em dispositivos de recurso restrito, por seu cabeçalho reduzido e pelo desacoplamento entre produtores e consumidores, propriedade adequada a um arranjo em que a decisão é produzida em serviço distinto daquele que a executa.</w:t>
      </w:r>
    </w:p>
    <w:p w14:paraId="0E3A0A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microcontrolador ESP32 (ESPRESSIF SYSTEMS, 2023) integra em encapsulamento único processador de dois núcleos, interfaces de barramento serial e rádio Wi-Fi nativo, com suporte a MQTT sobre TLS. Essas características sustentam a decisão de atribuir ao nó apenas as funções de recepção de comando, atuação e telemetria, mantendo a decisão fora do dispositivo.</w:t>
      </w:r>
    </w:p>
    <w:p w14:paraId="63A2AF82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5" w:name="_Toc240223135"/>
      <w:r w:rsidRPr="000F5B8B">
        <w:rPr>
          <w:lang w:val="pt-BR"/>
        </w:rPr>
        <w:t>6.5 Requisitos normativos</w:t>
      </w:r>
      <w:bookmarkEnd w:id="15"/>
    </w:p>
    <w:p w14:paraId="7333F82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ABNT NBR 5101:2024 (ASSOCIAÇÃO BRASILEIRA DE NORMAS TÉCNICAS, 2024) organiza os requisitos de iluminação viária em três famílias de classes: a classe M, definida em luminância, para vias de tráfego motorizado; a classe C, para áreas de conflito; e a classe P, para calçadas e áreas de caminhada. Para cada classe fixam-se valores mínimos mantidos de iluminância média, mínima e vertical. A classe não é escolhida: é determinada por procedimento normativo que pondera velocidade, volume e composição do tráfego, veículos estacionados, luminância do ambiente e necessidade de reconhecimento facial.</w:t>
      </w:r>
    </w:p>
    <w:p w14:paraId="2BC4AA0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disposições da revisão de 2024 são determinantes para este trabalho.</w:t>
      </w:r>
    </w:p>
    <w:p w14:paraId="32BC3DC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subseção 6.10 trata explicitamente da iluminação adaptativa e fixa os critérios que delimitam o espaço de decisões admissíveis: as classes M6, C5 e P6 não são </w:t>
      </w:r>
      <w:r w:rsidRPr="000F5B8B">
        <w:rPr>
          <w:lang w:val="pt-BR"/>
        </w:rPr>
        <w:lastRenderedPageBreak/>
        <w:t>dimerizáveis; as demais só podem ser dimerizadas até no máximo duas classes imediatamente inferiores; a taxa de decréscimo do fluxo luminoso não pode exceder um décimo por minuto em relação à iluminação plena; e não é aconselhável dimerizar sob nevoeiro, neblina ou chuva.</w:t>
      </w:r>
    </w:p>
    <w:p w14:paraId="7A9B476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subseção 6.10.3 recomenda o monitoramento contínuo do tráfego de veículos e do meio ambiente para determinar o tempo de funcionamento da iluminação adaptativa. O emprego de dados do ambiente urbano como entrada da decisão é, portanto, o meio que a própria norma indica como preferencial.</w:t>
      </w:r>
    </w:p>
    <w:p w14:paraId="320EE5C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subseção 6.3, ao tratar da poluição luminosa, prescreve entre as ações de mitigação a utilização de sistemas com controles de luz adaptáveis para reduzir os níveis de iluminância nos horários de baixa movimentação. O controle adaptativo comparece, assim, em duas subseções distintas da norma e sob duas finalidades distintas.</w:t>
      </w:r>
    </w:p>
    <w:p w14:paraId="0092C9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Dessas disposições extraem-se três restrições rígidas, que o sistema deve observar em todas as decisões: o nível decidido nunca pode situar-se abaixo do piso da classe de dimerização admitida; a transição entre níveis nunca pode exceder a taxa máxima de decréscimo; e a dimerização deve ser suspensa quando a condição meteorológica reportada indicar nevoeiro, neblina ou chuva. A formalização dessas três restrições constitui a camada de verificação descrita na metodologia.</w:t>
      </w:r>
    </w:p>
    <w:p w14:paraId="1A589A5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objeção previsível ao controle adaptativo é a de que o chaveamento frequente reduziria a vida útil da luminária, encarecendo a manutenção do parque. Askola et al. (2022) submeteram luminárias de estado sólido a 32 mil horas de envelhecimento sob dimerização acelerada e concluíram que, em cenário de tráfego realista, a redução de vida útil não ultrapassa aproximadamente dois por cento. A objeção, portanto, está medida e respondida na literatura, o que retira do caminho do trabalho um obstáculo que não é de natureza computacional.</w:t>
      </w:r>
    </w:p>
    <w:p w14:paraId="54265D11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6" w:name="_Toc240223136"/>
      <w:r w:rsidRPr="000F5B8B">
        <w:rPr>
          <w:lang w:val="pt-BR"/>
        </w:rPr>
        <w:t>6.6 Decisão sob informação imprecisa e a escolha de um modelo interpretável</w:t>
      </w:r>
      <w:bookmarkEnd w:id="16"/>
    </w:p>
    <w:p w14:paraId="5ECD29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teoria de conjuntos nebulosos, formulada por Zadeh (1965), representa classes cujas fronteiras são graduais, atribuindo a cada elemento um grau de pertinência entre zero e um. Mamdani e Assilian (1975) demonstraram que essa representação sintetiza controladores a partir de conhecimento expresso em </w:t>
      </w:r>
      <w:r w:rsidRPr="000F5B8B">
        <w:rPr>
          <w:lang w:val="pt-BR"/>
        </w:rPr>
        <w:lastRenderedPageBreak/>
        <w:t>linguagem natural, dispensando modelo matemático do processo controlado. Estas duas obras comparecem como atribuição de origem, nos termos da subseção 6.1.</w:t>
      </w:r>
    </w:p>
    <w:p w14:paraId="7FBE37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justificativa contemporânea da escolha é outra e não depende delas. Rudin (2019) sustenta que, em decisões de alto risco, o caminho adequado não é produzir explicações a posteriori para modelos opacos, mas empregar modelos intrinsecamente interpretáveis, e argumenta que estes alcançam desempenho comparável em grande parte dos problemas aplicados. A iluminação de uma via pública é serviço essencial, fiscalizado por agência reguladora e sujeito a norma técnica com requisitos mínimos de segurança. É, nesse sentido, decisão em que a inspeção do porquê importa tanto quanto o resultado.</w:t>
      </w:r>
    </w:p>
    <w:p w14:paraId="3F67941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Pickering, Cohen e De Baets (2026) qualificam essa posição no caso específico dos modelos nebulosos baseados em regras e advertem que a interpretabilidade não decorre automaticamente do formalismo: depende de restrições impostas deliberadamente ao número de regras, à forma das funções de pertinência e à partição do universo de discurso. A advertência é incorporada como requisito de projeto, e não como observação: a base de regras será mantida em dimensão inspecionável por leitor humano, com partições nomeadas em linguagem natural, e cada regra terá origem declarada — prescrição normativa ou conhecimento de domínio.</w:t>
      </w:r>
    </w:p>
    <w:p w14:paraId="03AA0A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propriedades tornam a abordagem adequada ao problema. A composição de evidências parciais: quando duas condições são simultaneamente verdadeiras em grau, o mecanismo produz saída única que reflete ambas, ao passo que uma tabela de decisão exigiria eleger uma delas. A continuidade da saída: a transição entre níveis é gradual, o que é requisito e não conveniência, já que a norma limita a taxa de variação do fluxo. E a rastreabilidade: cada decisão remonta às regras que a produziram e ao grau com que cada uma foi ativada.</w:t>
      </w:r>
    </w:p>
    <w:p w14:paraId="2D712F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escolha implica renúncia deliberada a abordagens supervisionadas. Um classificador treinado exigiria decisões rotuladas como corretas, e tais rótulos teriam de ser produzidos pelos próprios autores, o que introduziria circularidade: o sistema aprenderia a reproduzir o julgamento de quem o avalia. A inferência nebulosa, derivando suas regras da norma técnica e do conhecimento de domínio, mantém a base de decisão externa e auditável.</w:t>
      </w:r>
    </w:p>
    <w:p w14:paraId="6A2934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7" w:name="_Toc240223137"/>
      <w:r w:rsidRPr="000F5B8B">
        <w:rPr>
          <w:lang w:val="pt-BR"/>
        </w:rPr>
        <w:t>6.7 Trabalhos correlatos e o trabalho mais próximo</w:t>
      </w:r>
      <w:bookmarkEnd w:id="17"/>
    </w:p>
    <w:p w14:paraId="49C7E3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 produção nacional sobre iluminação pública inteligente concentra-se em duas frentes, e nenhuma delas é a deste trabalho.</w:t>
      </w:r>
    </w:p>
    <w:p w14:paraId="145D96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a da confiabilidade e da manutenção do ativo. França Filho e Tavares (2025) modelam sistemas de iluminação pública inteligente por redes de Petri estocásticas para avaliar disponibilidade, consumo e estratégias de manutenção antes da implantação. O objeto é a arquitetura: se ela se sustenta e a que custo. Não há política de decisão sobre o nível luminoso, nem dado urbano exógeno. É, significativamente, a mesma finalidade para a qual a telegestão de São Paulo foi concebida.</w:t>
      </w:r>
    </w:p>
    <w:p w14:paraId="6557283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a do consumo municipal de dados urbanos de terceiros. Hiroki (2021) documenta o caso de Joinville, em Santa Catarina, onde a administração municipal passou a consumir dados de mobilidade fornecidos por plataforma privada de navegação, e reporta resultado medido em redução de tempo de percurso. É o precedente brasileiro de que um município pode incorporar dado urbano externo à sua decisão. O que o distingue deste trabalho é que ali o dado alimenta planejamento e obra — decisão humana, lenta e pontual —, sem que se feche o laço sobre qualquer ativo urbano em operação.</w:t>
      </w:r>
    </w:p>
    <w:p w14:paraId="5BAFC1F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mais próximo identificado é a dissertação de Nogueira (2024), defendida na Universidade Federal Fluminense, que formula a adaptação dinâmica da iluminação urbana como problema de otimização distribuída de restrições e o resolve por algoritmos executados em rede de luminárias, com cada ponto negociando seu nível com os vizinhos a partir de variáveis ambientais. A proximidade de finalidade é grande e a diferença é de premissa. Naquele trabalho, cada poste dispõe de sensoriamento local, e a avaliação é conduzida em ambiente simulado: a camada de percepção é uma infraestrutura a implantar. Aqui, a percepção é uma infraestrutura já contratada e em operação, produzida por outro sistema municipal para outra finalidade, e o problema desloca-se do sensoriamento para a integração e a decisão.</w:t>
      </w:r>
    </w:p>
    <w:p w14:paraId="00B0183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literatura internacional sobre o mecanismo de controle é anterior e mais avançada do que a nacional, e convém enunciá-la sem atenuações. Belloni et al. (2024) implementam algoritmo de comutação e dimerização a partir de dados de tráfego previstos, aplicado a uma cidade italiana, com medições de campo, simulação luminotécnica e análise custo-benefício. Buyukkinaci et al. (2019) determinam a comutação entre classes normativas M3 a M5 em função de volume e velocidade de </w:t>
      </w:r>
      <w:r w:rsidRPr="000F5B8B">
        <w:rPr>
          <w:lang w:val="pt-BR"/>
        </w:rPr>
        <w:lastRenderedPageBreak/>
        <w:t>tráfego, com estimativa de economia em via de Istambul. A própria CIE 115 declara, desde 2010, que a aplicação de variáveis dependentes do tempo, como volume de tráfego, abre a possibilidade de sistemas de iluminação adaptativa (COMMISSION INTERNATIONALE DE L'ÉCLAIRAGE, 2010).</w:t>
      </w:r>
    </w:p>
    <w:p w14:paraId="7E9DAB6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No plano das implantações, a referência é a rua Stratumseind, em Eindhoven, onde dados de câmeras, sensores acústicos e meteorologia alimentam perfis que acionam cenários dinâmicos de iluminação há mais de uma década (GALIC; GELLERT, 2021). Este último é o precedente mais próximo de um laço fechado entre plataforma urbana e iluminação, e três diferenças o separam desta proposta: sua finalidade é comportamental, e não fotométrica; a decisão não é confrontada com classe de iluminação alguma; e a literatura revisada por pares que o documenta é de proteção de dados, e não de arquitetura de sistemas — é precisamente a ausência de garantias que ela critica.</w:t>
      </w:r>
    </w:p>
    <w:p w14:paraId="01C57BD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Ao caso internacional já citado — Sheffield, onde um parque quase integralmente convertido e telegerido opera por calendário solar (DIZON; PRANGGONO, 2022) — soma-se a mesma constatação por outro caminho: a capacidade de controle está instalada e subutilizada, e o que falta não é equipamento.</w:t>
      </w:r>
    </w:p>
    <w:p w14:paraId="102BC770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2 – Síntese comparativa das principais fontes revisadas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:rsidRPr="007B78AE" w14:paraId="240473B1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8EC43D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Fonte e </w:t>
            </w:r>
            <w:proofErr w:type="spellStart"/>
            <w:r>
              <w:rPr>
                <w:b/>
                <w:bCs/>
                <w:sz w:val="20"/>
                <w:szCs w:val="20"/>
              </w:rPr>
              <w:t>natureza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B63FA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Contribuição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sz w:val="20"/>
                <w:szCs w:val="20"/>
              </w:rPr>
              <w:t>este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trabalho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745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Posição frente às demais fontes</w:t>
            </w:r>
          </w:p>
        </w:tc>
      </w:tr>
      <w:tr w:rsidR="006B1E66" w:rsidRPr="007B78AE" w14:paraId="0168171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700A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Nogueira (2024). Dissertação de mestrado, UFF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FE43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Trabalho mais próximo: adaptação dinâmica da iluminação urbana por otimização distribuída de restrições sobre rede de luminárias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3405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quanto à finalidade. Pressupõe sensoriamento local em cada poste e avalia em simulação, ao passo que este trabalho parte de camada de observação já instalada e demonstra em nó físico</w:t>
            </w:r>
          </w:p>
        </w:tc>
      </w:tr>
      <w:tr w:rsidR="006B1E66" w:rsidRPr="007B78AE" w14:paraId="3FEA892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A536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França Filho e Tavares (2025).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F4B6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Fronteira nacional em Ciência da Computação sobre o tema; modelagem estocástica de disponibilidade e manutenção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D56E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Trata da confiabilidade do ativo, não da decisão sobre o ativo. Delimita, por contraste, o objeto deste trabalho</w:t>
            </w:r>
          </w:p>
        </w:tc>
      </w:tr>
      <w:tr w:rsidR="006B1E66" w:rsidRPr="007B78AE" w14:paraId="0E7583A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C2C0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Dizon e Pranggono (2022).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0FAD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Caso de parque quase integralmente convertido e telegerido que opera por calendário solar, sem controle responsivo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46AE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com o diagnóstico de Alves, Dias e Seixas. Documenta em outra cidade o descompasso entre capacidade instalada e utilizada</w:t>
            </w:r>
          </w:p>
        </w:tc>
      </w:tr>
      <w:tr w:rsidR="006B1E66" w:rsidRPr="007B78AE" w14:paraId="6480B6BF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9250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Hiroki (2021).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EDC6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Precedente brasileiro de município consumindo dado urbano de terceiros, com resultado medido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956B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quanto à viabilidade da premissa. O dado alimenta planejamento, e não atuação sobre ativo em operação</w:t>
            </w:r>
          </w:p>
        </w:tc>
      </w:tr>
      <w:tr w:rsidR="006B1E66" w:rsidRPr="007B78AE" w14:paraId="329382F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F986D" w14:textId="77777777" w:rsidR="006B1E66" w:rsidRDefault="00000000">
            <w:r>
              <w:rPr>
                <w:sz w:val="20"/>
                <w:szCs w:val="20"/>
              </w:rPr>
              <w:t xml:space="preserve">Belloni et al. (2024); </w:t>
            </w:r>
            <w:proofErr w:type="spellStart"/>
            <w:r>
              <w:rPr>
                <w:sz w:val="20"/>
                <w:szCs w:val="20"/>
              </w:rPr>
              <w:t>Buyukkinaci</w:t>
            </w:r>
            <w:proofErr w:type="spellEnd"/>
            <w:r>
              <w:rPr>
                <w:sz w:val="20"/>
                <w:szCs w:val="20"/>
              </w:rPr>
              <w:t xml:space="preserve"> et al. </w:t>
            </w:r>
            <w:r>
              <w:rPr>
                <w:sz w:val="20"/>
                <w:szCs w:val="20"/>
              </w:rPr>
              <w:lastRenderedPageBreak/>
              <w:t xml:space="preserve">(2019).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75BA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Antecedentes diretos do mecanismo de controle: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dimerização comandada por dados de tráfego e comutação entre classes normativas em função de volume e velocidade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4B9A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Estabelecem que o conceito de controle não é original deste trabalho. Operam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sobre previsão de tráfego e sobre análise de cenários, sem plataforma urbana exógena em tempo real e sem verificação interposta entre decisão e atuação</w:t>
            </w:r>
          </w:p>
        </w:tc>
      </w:tr>
      <w:tr w:rsidR="006B1E66" w:rsidRPr="007B78AE" w14:paraId="0D3D49F0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490F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Galič e Gellert (2021), sobre Stratumseind.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BC3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Precedente de laço fechado entre dado urbano e acionamento de iluminação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85EF6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É a implantação mais próxima. Persegue finalidade comportamental, e a crítica publicada recai justamente sobre a ausência de garantias normativas interpostas entre a decisão e a atuação</w:t>
            </w:r>
          </w:p>
        </w:tc>
      </w:tr>
      <w:tr w:rsidR="006B1E66" w:rsidRPr="007B78AE" w14:paraId="190E88D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A2CA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Catlett et al. (2017); Sanchez et al. </w:t>
            </w:r>
            <w:r w:rsidRPr="007B78AE">
              <w:rPr>
                <w:sz w:val="20"/>
                <w:szCs w:val="20"/>
                <w:lang w:val="pt-BR"/>
              </w:rPr>
              <w:t xml:space="preserve">(2014). </w:t>
            </w:r>
            <w:r w:rsidRPr="000F5B8B">
              <w:rPr>
                <w:sz w:val="20"/>
                <w:szCs w:val="20"/>
                <w:lang w:val="pt-BR"/>
              </w:rPr>
              <w:t>Artigos em anais e periódico indexados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0639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Instrumentos urbanos de sensoriamento em escala, com processamento no dispositivo e publicação de medições derivadas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9EFB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Convergem com este trabalho quanto à arquitetura de privacidade. Medem e publicam, e não acionam serviço municipal algum — a lacuna que este trabalho ocupa</w:t>
            </w:r>
          </w:p>
        </w:tc>
      </w:tr>
      <w:tr w:rsidR="006B1E66" w:rsidRPr="007B78AE" w14:paraId="4B2ACDB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37006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Alves, Dias e Seixas (2019); Reia e Cruz (2023); Anthony Jnr (2024).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D75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Fundamentam o diagnóstico de infraestrutura implantada sem integração, sua causa contratual e a interface como instrumento de solução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3F7E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Convergentes entre si. Sustentam a formulação do problema, não a solução técnica</w:t>
            </w:r>
          </w:p>
        </w:tc>
      </w:tr>
      <w:tr w:rsidR="006B1E66" w:rsidRPr="007B78AE" w14:paraId="6CBF9429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282B4" w14:textId="77777777" w:rsidR="006B1E66" w:rsidRDefault="00000000">
            <w:r>
              <w:rPr>
                <w:sz w:val="20"/>
                <w:szCs w:val="20"/>
              </w:rPr>
              <w:t xml:space="preserve">Rudin (2019); Pickering, Cohen e De </w:t>
            </w:r>
            <w:proofErr w:type="spellStart"/>
            <w:r>
              <w:rPr>
                <w:sz w:val="20"/>
                <w:szCs w:val="20"/>
              </w:rPr>
              <w:t>Baets</w:t>
            </w:r>
            <w:proofErr w:type="spellEnd"/>
            <w:r>
              <w:rPr>
                <w:sz w:val="20"/>
                <w:szCs w:val="20"/>
              </w:rPr>
              <w:t xml:space="preserve"> (2026).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D071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Justificam a adoção de modelo intrinsecamente interpretável e impõem restrições de projeto à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5ACB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Rudin sustenta a escolha da classe de modelo; Pickering et al. qualificam a condição sob a qual a interpretabilidade se verifica</w:t>
            </w:r>
          </w:p>
        </w:tc>
      </w:tr>
      <w:tr w:rsidR="006B1E66" w:rsidRPr="007B78AE" w14:paraId="1CD78A20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3E52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Askola et al. (2022).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9DCC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Mede o efeito da dimerização sobre a vida útil da luminária em cenário realista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B6DA0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Responde a objeção de ordem operacional que, se não endereçada, inviabilizaria a proposta perante a concessionária</w:t>
            </w:r>
          </w:p>
        </w:tc>
      </w:tr>
      <w:tr w:rsidR="006B1E66" w14:paraId="71BBB6D7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AB4F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Zadeh (1965); Mamdani e Assilian (1975). Obras seminais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CF1D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Atribuição de origem do formalismo adotado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6D951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Anteriores ao recorte, admitidas pela exceção declarada em 6.1. Não sustentam afirmação sobre o estado da arte, que repousa em Rudin (2019) e Pickering et al. </w:t>
            </w:r>
            <w:r>
              <w:rPr>
                <w:sz w:val="20"/>
                <w:szCs w:val="20"/>
              </w:rPr>
              <w:t>(2026)</w:t>
            </w:r>
          </w:p>
        </w:tc>
      </w:tr>
      <w:tr w:rsidR="006B1E66" w:rsidRPr="007B78AE" w14:paraId="5CD06B29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23BB5" w14:textId="77777777" w:rsidR="006B1E66" w:rsidRDefault="00000000">
            <w:r>
              <w:rPr>
                <w:sz w:val="20"/>
                <w:szCs w:val="20"/>
              </w:rPr>
              <w:t xml:space="preserve">ABNT NBR 5101 (2024). Norma </w:t>
            </w:r>
            <w:proofErr w:type="spellStart"/>
            <w:r>
              <w:rPr>
                <w:sz w:val="20"/>
                <w:szCs w:val="20"/>
              </w:rPr>
              <w:t>técnica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9744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Classes de iluminação, requisitos de iluminância, critérios de dimerização e recomendação de monitoramento contínuo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ECCB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Constitui o critério externo de conformidade e a origem das restrições rígidas do sistema</w:t>
            </w:r>
          </w:p>
        </w:tc>
      </w:tr>
      <w:tr w:rsidR="006B1E66" w14:paraId="6F66D72F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BE63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Unicamp / CePIL (2026). Relato institucional de implantação, não revisado por pares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B185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Implantação brasileira recente de telegestão com 2.615 sensores em campus universitário, com ajuste por horário e condição ambiental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22F20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Converge com Dizon e Pranggono quanto à capacidade instalada. Sensoriamento próprio em rede fechada, sem consumo de dado exógeno nem verificação normativa. </w:t>
            </w:r>
            <w:proofErr w:type="spellStart"/>
            <w:r>
              <w:rPr>
                <w:sz w:val="20"/>
                <w:szCs w:val="20"/>
              </w:rPr>
              <w:t>Empregado</w:t>
            </w:r>
            <w:proofErr w:type="spellEnd"/>
            <w:r>
              <w:rPr>
                <w:sz w:val="20"/>
                <w:szCs w:val="20"/>
              </w:rPr>
              <w:t xml:space="preserve"> sob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exceção</w:t>
            </w:r>
            <w:proofErr w:type="spellEnd"/>
            <w:r>
              <w:rPr>
                <w:sz w:val="20"/>
                <w:szCs w:val="20"/>
              </w:rPr>
              <w:t xml:space="preserve"> de 6.1,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constatação</w:t>
            </w:r>
            <w:proofErr w:type="spellEnd"/>
            <w:r>
              <w:rPr>
                <w:sz w:val="20"/>
                <w:szCs w:val="20"/>
              </w:rPr>
              <w:t xml:space="preserve"> factual</w:t>
            </w:r>
          </w:p>
        </w:tc>
      </w:tr>
      <w:tr w:rsidR="006B1E66" w14:paraId="7761B62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A09E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Caderno de Encargos da concessão (Anexo III); atos da ANEEL; censo setorial; documentos 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termos contratuais publicados pelo município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9D47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Estabelecem a existência, a escala, o regime jurídico e o estágio da infraestrutura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9410F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Empregados sob a exceção de 6.1, restritos à constatação factual.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sustentam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afirmação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</w:tr>
    </w:tbl>
    <w:p w14:paraId="7A9546CF" w14:textId="77777777" w:rsidR="006B1E66" w:rsidRDefault="00000000">
      <w:pPr>
        <w:spacing w:before="130" w:after="260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Elaborado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BCA7B32" w14:textId="77777777" w:rsidR="006B1E66" w:rsidRDefault="00000000">
      <w:pPr>
        <w:pStyle w:val="Heading2"/>
        <w:spacing w:before="360" w:after="240" w:line="360" w:lineRule="auto"/>
      </w:pPr>
      <w:bookmarkStart w:id="18" w:name="_Toc240223138"/>
      <w:r>
        <w:t xml:space="preserve">6.8 Lacuna </w:t>
      </w:r>
      <w:proofErr w:type="spellStart"/>
      <w:r>
        <w:t>identificada</w:t>
      </w:r>
      <w:bookmarkEnd w:id="18"/>
      <w:proofErr w:type="spellEnd"/>
    </w:p>
    <w:p w14:paraId="31E4FA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revisão permite quatro conclusões.</w:t>
      </w:r>
    </w:p>
    <w:p w14:paraId="3873183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que a atenuação adaptativa é técnica de eficácia demonstrada, prevista em norma desde 2010, implantada em campo e sem obstáculo operacional relevante quanto à durabilidade do ativo. Nem o conceito de comandar a iluminação por dados de tráfego, nem o emprego de inferência nebulosa para essa finalidade, são originais deste trabalho, e o texto não os reivindica. O problema não é a validade da técnica, mas a origem da informação que a comanda e a garantia de que a decisão resultante permaneça admissível.</w:t>
      </w:r>
    </w:p>
    <w:p w14:paraId="3275F3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que a coexistência de infraestrutura instalada e integração ausente é padrão documentado, e não peculiaridade de São Paulo — o que confere ao recorte valor de caso e não de exceção.</w:t>
      </w:r>
    </w:p>
    <w:p w14:paraId="720EC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que, no município de São Paulo, tanto a capacidade de observar o ambiente quanto a de comandar a intensidade de cada luminária estão contratadas e em operação, com a interface física de dimerização especificada em contrato, sem que exista vínculo entre elas.</w:t>
      </w:r>
    </w:p>
    <w:p w14:paraId="3BB6750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quarta, que decorre das anteriores, delimita o objeto: a camada de decisão que recebe a descrição do ambiente urbano, compõe suas variáveis e produz um nível de iluminação, sujeita a restrições normativas verificadas antes da atuação. É esse mecanismo, e a interface que o integraria à infraestrutura existente, que o trabalho constrói e avalia.</w:t>
      </w:r>
    </w:p>
    <w:p w14:paraId="61B3505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Convém declarar, com precisão, a natureza da contribuição pretendida. Ela é arquitetural e integrativa, e não algorítmica. Nenhum componente isolado deste trabalho é inédito: a inferência nebulosa é técnica de mais de cinquenta anos, a dimerização por tráfego está publicada e implantada, e o transporte de mensagens é padrão de mercado. O que a revisão não localizou foi o arranjo: a camada de decisão que consome a saída já existente e já custeada de uma plataforma municipal </w:t>
      </w:r>
      <w:r w:rsidRPr="000F5B8B">
        <w:rPr>
          <w:lang w:val="pt-BR"/>
        </w:rPr>
        <w:lastRenderedPageBreak/>
        <w:t>concebida para outra finalidade, seguida de um componente de software separável que verifica cada nível decidido contra a norma técnica antes de permitir a atuação. Os trabalhos que decidem o nível pressupõem sensoriamento próprio a implantar; os que consomem dado urbano de terceiros param no planejamento; os que fecham o laço perseguem finalidade comportamental e não confrontam a decisão com classe de iluminação alguma; e os que tratam da infraestrutura instalada ocupam-se de sua confiabilidade. A contribuição está na composição, e é nessa medida que deve ser avaliada.</w:t>
      </w:r>
    </w:p>
    <w:p w14:paraId="371E4DE2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19" w:name="_Toc240223139"/>
      <w:r w:rsidRPr="000F5B8B">
        <w:rPr>
          <w:lang w:val="pt-BR"/>
        </w:rPr>
        <w:t>7 METODOLOGIA</w:t>
      </w:r>
      <w:bookmarkEnd w:id="19"/>
    </w:p>
    <w:p w14:paraId="209EB1FE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0" w:name="_Toc240223140"/>
      <w:r w:rsidRPr="000F5B8B">
        <w:rPr>
          <w:lang w:val="pt-BR"/>
        </w:rPr>
        <w:t>7.1 Classificação da pesquisa</w:t>
      </w:r>
      <w:bookmarkEnd w:id="20"/>
    </w:p>
    <w:p w14:paraId="031F1D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Quanto à natureza, a pesquisa é aplicada, por destinar-se à solução de problema concreto de infraestrutura urbana. Quanto à abordagem, é quantitativa: opera sobre grandezas mensuráveis — nível decidido, iluminância entregue, latência do percurso e proporção de decisões conformes. Quanto aos objetivos, é documental e exploratória na caracterização da infraestrutura e das variáveis, e experimental na avaliação, em que o comportamento do sistema é observado sob entradas deliberadamente construídas. Quanto aos procedimentos, combina pesquisa bibliográfica, pesquisa documental sobre fontes oficiais e dados abertos municipais, desenvolvimento de protótipo e experimentação em bancada.</w:t>
      </w:r>
    </w:p>
    <w:p w14:paraId="5BB8319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1" w:name="_Toc240223141"/>
      <w:r w:rsidRPr="000F5B8B">
        <w:rPr>
          <w:lang w:val="pt-BR"/>
        </w:rPr>
        <w:t>7.2 Arquitetura do sistema</w:t>
      </w:r>
      <w:bookmarkEnd w:id="21"/>
    </w:p>
    <w:p w14:paraId="44525B26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 sistema reproduz o fluxo completo a ser demonstrado na defesa: dado urbano recebido, análise pela inteligência artificial, decisão de iluminação, comando ao dispositivo e alteração física da intensidade, com a iluminância medida retornando à tela em tempo real. </w:t>
      </w:r>
      <w:r>
        <w:t xml:space="preserve">São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encadeados</w:t>
      </w:r>
      <w:proofErr w:type="spellEnd"/>
      <w:r>
        <w:t xml:space="preserve">,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implantação</w:t>
      </w:r>
      <w:proofErr w:type="spellEnd"/>
      <w:r>
        <w:t xml:space="preserve"> é </w:t>
      </w:r>
      <w:proofErr w:type="spellStart"/>
      <w:r>
        <w:t>detalhada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7.2.1.</w:t>
      </w:r>
    </w:p>
    <w:p w14:paraId="267F989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 xml:space="preserve">Interface de dados urbanos. Serviço que emula a interface de programação de uma plataforma municipal de monitoramento, publicando eventos que descrevem o estado da via. Sua existência decorre de o Smart Sampa não disponibilizar interface pública, e sua especificação é, ela própria, um </w:t>
      </w:r>
      <w:r w:rsidRPr="000F5B8B">
        <w:rPr>
          <w:lang w:val="pt-BR"/>
        </w:rPr>
        <w:lastRenderedPageBreak/>
        <w:t>resultado do trabalho: define o que uma plataforma precisaria publicar para que um sistema de iluminação pudesse consumi-la.</w:t>
      </w:r>
    </w:p>
    <w:p w14:paraId="080EE11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Serviço de decisão. Recebe a descrição de estado, submete-a ao sistema de inferência nebulosa e produz o nível de iluminação pretendido, expresso como fração do fluxo pleno.</w:t>
      </w:r>
    </w:p>
    <w:p w14:paraId="3DDE9E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Camada de verificação normativa. Interposta entre a decisão e a atuação, confronta o nível pretendido com as três restrições rígidas extraídas da ABNT NBR 5101 e corrige a decisão antes de emiti-la, registrando a correção.</w:t>
      </w:r>
    </w:p>
    <w:p w14:paraId="206EB35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Nó de iluminação. Microcontrolador ESP32 que recebe o comando por MQTT, ajusta a intensidade da luminária por modulação por largura de pulso e devolve a iluminância medida no plano de trabalho, exibida em painel durante a demonstração.</w:t>
      </w:r>
    </w:p>
    <w:p w14:paraId="51E33B7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é mantida fora do dispositivo por duas razões. A primeira é arquitetural: o serviço precisa acessar a interface de dados urbanos, externa ao nó, e concentrar essa comunicação em um ponto torna o dispositivo simples e substituível. A segunda é de evolução: mantida a decisão em serviço, alterar a base de regras não exige regravação do firmware de nenhum nó implantado — condição prática para qualquer sistema em escala municipal. É também, registre-se, a mesma topologia da telegestão contratada pelo município, em que o centro de operações comanda e a luminária executa.</w:t>
      </w:r>
    </w:p>
    <w:p w14:paraId="156C3D4A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2" w:name="_Toc240223142"/>
      <w:r w:rsidRPr="000F5B8B">
        <w:rPr>
          <w:lang w:val="pt-BR"/>
        </w:rPr>
        <w:t>7.2.1 Implantação em nuvem</w:t>
      </w:r>
      <w:bookmarkEnd w:id="22"/>
    </w:p>
    <w:p w14:paraId="7477EE30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Os elementos não residem no mesmo lugar. Tudo o que decide, registra e apresenta é implantado como serviço em nuvem, contratado em modelo de plataforma como serviço; ao nó cabe executar. </w:t>
      </w:r>
      <w:r>
        <w:t xml:space="preserve">A </w:t>
      </w:r>
      <w:proofErr w:type="spellStart"/>
      <w:r>
        <w:t>repartição</w:t>
      </w:r>
      <w:proofErr w:type="spellEnd"/>
      <w:r>
        <w:t xml:space="preserve"> é a </w:t>
      </w:r>
      <w:proofErr w:type="spellStart"/>
      <w:r>
        <w:t>seguinte</w:t>
      </w:r>
      <w:proofErr w:type="spellEnd"/>
      <w:r>
        <w:t>.</w:t>
      </w:r>
    </w:p>
    <w:p w14:paraId="37F98B0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Interface de dados urbanos. Serviço sobre protocolo HTTP que expõe uma interface de programação no estilo REST, por onde os eventos que descrevem o estado da via são publicados e consultados. É o componente que emula a plataforma municipal e a única parte da arquitetura que não corresponde a sistema existente, condição registrada entre as limitações.</w:t>
      </w:r>
    </w:p>
    <w:p w14:paraId="7B5701B9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Serviço de decisão. Processo que consome os eventos, executa a inferência nebulosa, aplica em seguida as três restrições rígidas da camada de verificação e publica o comando resultante.</w:t>
      </w:r>
    </w:p>
    <w:p w14:paraId="53EA1E4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Intermediário de mensagens MQTT. Entrega o comando ao nó assinante e recebe, no sentido inverso, a telemetria que o dispositivo publica. O desacoplamento entre quem produz e quem consome a mensagem é a propriedade que permite acrescentar nós sem alterar o serviço de decisão.</w:t>
      </w:r>
    </w:p>
    <w:p w14:paraId="57985E3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Instância gerenciada de banco de dados. Registra a cadeia completa de cada ciclo de decisão, conforme a subseção 7.2.2.</w:t>
      </w:r>
    </w:p>
    <w:p w14:paraId="0B6418D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Painel de acompanhamento. Aplicação web servida pelo mesmo ambiente, que lê o histórico do banco e exibe, lado a lado, o dado recebido, o nível pretendido pela inferência, a correção eventualmente imposta pela camada de verificação e a iluminância medida. É a interface de apresentação do sistema e o que a plateia observa durante a defesa.</w:t>
      </w:r>
    </w:p>
    <w:p w14:paraId="1A1998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Ao nó cabe assinar o tópico de comando, ajustar a modulação por largura de pulso e publicar a iluminância lida. A comunicação com o intermediário ocorre sobre canal cifrado, com credencial própria do dispositivo, de modo que a identidade de cada nó seja verificável no lado do serviço.</w:t>
      </w:r>
    </w:p>
    <w:p w14:paraId="630D2F2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À razão arquitetural exposta acima acrescenta-se uma razão de alcance, que é o que especificamente recomenda a nuvem em lugar de uma máquina local: o nó precisa ser comandado de fora da rede em que se encontra, e um serviço acessível pela internet torna a demonstração independente de o dispositivo e o servidor compartilharem a mesma rede local. O porte contratado é o mínimo oferecido pelos provedores, suficiente para um nó, um painel e a suíte de cenários. O dimensionamento para o parque municipal não é objeto do trabalho. A implantação é atividade de meio, descrita aqui e não relacionada entre os objetivos específicos, conforme registrado em 4.2.</w:t>
      </w:r>
    </w:p>
    <w:p w14:paraId="0BD74164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3" w:name="_Toc240223143"/>
      <w:r w:rsidRPr="000F5B8B">
        <w:rPr>
          <w:lang w:val="pt-BR"/>
        </w:rPr>
        <w:t>7.2.2 Persistência e arquitetura de dados</w:t>
      </w:r>
      <w:bookmarkEnd w:id="23"/>
    </w:p>
    <w:p w14:paraId="5BF458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arquitetura inclui um banco de dados, e a razão não é de armazenamento, mas de verificação. O trabalho afirma que toda decisão do sistema é inspecionável e que a conformidade normativa pode ser comprovada decisão a decisão. As duas </w:t>
      </w:r>
      <w:r w:rsidRPr="000F5B8B">
        <w:rPr>
          <w:lang w:val="pt-BR"/>
        </w:rPr>
        <w:lastRenderedPageBreak/>
        <w:t>afirmações só se sustentam se existir registro durável do que entrou, do que a inferência pretendeu, do que a camada de verificação corrigiu e do que o nó efetivamente entregou. O banco é onde essa cadeia fica gravada.</w:t>
      </w:r>
    </w:p>
    <w:p w14:paraId="47FC57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Adota-se modelo relacional, e a escolha decorre da natureza dos dados. O critério normativo aplicável a uma decisão depende da classe de iluminação da via em que o ponto de luz se encontra; reconstruir, para qualquer decisão passada, qual piso vigorava é uma operação de junção entre entidades, e não de varredura de documentos. A integridade referencial é, neste caso, o próprio mecanismo de auditoria: uma decisão que não se ligue a um ponto de luz, a uma classe e a uma versão da base de regras é registro sem sentido, e o modelo relacional o impede por construção. O volume envolvido na avaliação em bancada é pequeno, e nenhuma característica de escala justificaria abrir mão dessa garantia.</w:t>
      </w:r>
    </w:p>
    <w:p w14:paraId="36C6B53B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decisão de modelagem merece destaque: os parâmetros normativos não residem no código, e sim em tabela. As iluminâncias mínimas, a classe mínima de dimerização admitida e a taxa máxima de decréscimo são atributos da entidade que representa a classe de iluminação, populados a partir da ABNT NBR 5101. A camada de verificação lê seu critério do banco. A consequência prática é que corrigir a classe atribuída a uma via, ou atualizar um valor após revisão da norma, torna-se operação de dado e não de software — propriedade coerente com a separação entre a camada adaptativa e a camada fixa, defendida em 7.5.</w:t>
      </w:r>
    </w:p>
    <w:p w14:paraId="00237BDE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3 – Entidades do banco de dados e sua função no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4E953A1E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3A88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Entidade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5E5D7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Atributos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principais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F4F62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sistema</w:t>
            </w:r>
            <w:proofErr w:type="spellEnd"/>
          </w:p>
        </w:tc>
      </w:tr>
      <w:tr w:rsidR="006B1E66" w:rsidRPr="007B78AE" w14:paraId="64A2098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370BB" w14:textId="77777777" w:rsidR="006B1E66" w:rsidRDefault="00000000">
            <w:proofErr w:type="spellStart"/>
            <w:r>
              <w:rPr>
                <w:sz w:val="20"/>
                <w:szCs w:val="20"/>
              </w:rPr>
              <w:t>classe_iluminacao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89BF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Código da classe; iluminância mínima; iluminância mínima admitida em dimerização; classe mínima admitida; taxa máxima de decréscimo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34FB8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Tabela de referência normativa, populada a partir da ABNT NBR 5101. Fornece o critério externo que a camada de verificação consulta a cada decisão</w:t>
            </w:r>
          </w:p>
        </w:tc>
      </w:tr>
      <w:tr w:rsidR="006B1E66" w:rsidRPr="007B78AE" w14:paraId="03EE4BC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3CB85" w14:textId="77777777" w:rsidR="006B1E66" w:rsidRDefault="00000000">
            <w:proofErr w:type="spellStart"/>
            <w:r>
              <w:rPr>
                <w:sz w:val="20"/>
                <w:szCs w:val="20"/>
              </w:rPr>
              <w:t>ponto_de_luz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37A7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Identificador; coordenadas; logradouro; classe de iluminação; estado operacional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6F111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Representa a luminária. Na avaliação existe um único registro, correspondente ao nó de bancada; o modelo, contudo, é o do parque</w:t>
            </w:r>
          </w:p>
        </w:tc>
      </w:tr>
      <w:tr w:rsidR="006B1E66" w:rsidRPr="007B78AE" w14:paraId="7640E10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D2D1D" w14:textId="77777777" w:rsidR="006B1E66" w:rsidRDefault="00000000">
            <w:proofErr w:type="spellStart"/>
            <w:r>
              <w:rPr>
                <w:sz w:val="20"/>
                <w:szCs w:val="20"/>
              </w:rPr>
              <w:t>evento_urbano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890F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tipo; valor; abrangência; origem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F49D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Registra cada mensagem recebida da interface de dados urbanos: nível de movimentação, ocorrência reportada e condição meteorológica</w:t>
            </w:r>
          </w:p>
        </w:tc>
      </w:tr>
      <w:tr w:rsidR="006B1E66" w:rsidRPr="007B78AE" w14:paraId="38B15A19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673AF" w14:textId="77777777" w:rsidR="006B1E66" w:rsidRDefault="00000000">
            <w:proofErr w:type="spellStart"/>
            <w:r>
              <w:rPr>
                <w:sz w:val="20"/>
                <w:szCs w:val="20"/>
              </w:rPr>
              <w:t>versao_base_regras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90D0D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Identificador; data de vigência; quantidade de regras; resumo das alterações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7F6B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Atribui cada decisão à versão da base que a produziu. É a condição para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reproduzir qualquer resultado após uma alteração de regras</w:t>
            </w:r>
          </w:p>
        </w:tc>
      </w:tr>
      <w:tr w:rsidR="006B1E66" w:rsidRPr="007B78AE" w14:paraId="2E2068F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A35B8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decisao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B960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ponto de luz; nível pretendido pela inferência; nível emitido; restrição que motivou a correção; versão da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68D1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Núcleo do registro de auditoria. Separar o nível pretendido do nível emitido é o que torna mensurável a atuação da camada de verificação</w:t>
            </w:r>
          </w:p>
        </w:tc>
      </w:tr>
      <w:tr w:rsidR="006B1E66" w:rsidRPr="007B78AE" w14:paraId="1F30FC78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817C3" w14:textId="77777777" w:rsidR="006B1E66" w:rsidRDefault="00000000">
            <w:proofErr w:type="spellStart"/>
            <w:r>
              <w:rPr>
                <w:sz w:val="20"/>
                <w:szCs w:val="20"/>
              </w:rPr>
              <w:t>telemetria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45E9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ponto de luz; decisão correspondente; ciclo de trabalho aplicado; iluminância medida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EB7E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Registra o que o nó entregou. Confrontada com a decisão correspondente, produz a latência do percurso e a diferença entre nível decidido e nível medido</w:t>
            </w:r>
          </w:p>
        </w:tc>
      </w:tr>
    </w:tbl>
    <w:p w14:paraId="3552573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2E9C2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separação entre as entidades de decisão e de telemetria é deliberada: a primeira registra o que o sistema determinou, a segunda o que o mundo devolveu. Mantê-las distintas e ligadas por chave estrangeira é o que permite medir a divergência entre uma coisa e outra, que figura entre os resultados esperados.</w:t>
      </w:r>
    </w:p>
    <w:p w14:paraId="4CDAB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Registre-se o que o modelo não resolve. As entidades de evento urbano e de telemetria crescem continuamente e, em escala municipal, exigiriam particionamento por tempo, política de retenção e provavelmente armazenamento orientado a série temporal. A avaliação aqui conduzida opera sobre um nó e sobre cenários de duração conhecida, condição em que o modelo relacional é adequado sem qualificação. O tratamento do crescimento em escala de parque figura entre os trabalhos futuros.</w:t>
      </w:r>
    </w:p>
    <w:p w14:paraId="7EDA3F3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4" w:name="_Toc240223144"/>
      <w:r w:rsidRPr="000F5B8B">
        <w:rPr>
          <w:lang w:val="pt-BR"/>
        </w:rPr>
        <w:t>7.3 O nó de demonstração</w:t>
      </w:r>
      <w:bookmarkEnd w:id="24"/>
    </w:p>
    <w:p w14:paraId="15B71923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protótipo físico é um nó único, deliberadamente mínimo. Sua função no trabalho é tornar visível e mensurável o resultado da decisão, e não caracterizar o comportamento de componentes. O Quadro 4 lista seus elementos.</w:t>
      </w:r>
    </w:p>
    <w:p w14:paraId="2C4C2191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4 – Elementos do nó de demonstração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1515E676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086F2" w14:textId="77777777" w:rsidR="006B1E6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5F8D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8EF0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Especificação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</w:tr>
      <w:tr w:rsidR="006B1E66" w:rsidRPr="007B78AE" w14:paraId="2717DDF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7025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Microcontrolador ESP32 (módulo ESP32-WROOM-32)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1129A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Mantém a sessão com o intermediário de mensagens, recebe o comando, gera o sinal de acionamento e publica a telemetria. </w:t>
            </w:r>
            <w:proofErr w:type="spellStart"/>
            <w:r>
              <w:rPr>
                <w:sz w:val="20"/>
                <w:szCs w:val="20"/>
              </w:rPr>
              <w:t>Alimentado</w:t>
            </w:r>
            <w:proofErr w:type="spellEnd"/>
            <w:r>
              <w:rPr>
                <w:sz w:val="20"/>
                <w:szCs w:val="20"/>
              </w:rPr>
              <w:t xml:space="preserve"> pela </w:t>
            </w:r>
            <w:proofErr w:type="spellStart"/>
            <w:r>
              <w:rPr>
                <w:sz w:val="20"/>
                <w:szCs w:val="20"/>
              </w:rPr>
              <w:t>própria</w:t>
            </w:r>
            <w:proofErr w:type="spellEnd"/>
            <w:r>
              <w:rPr>
                <w:sz w:val="20"/>
                <w:szCs w:val="20"/>
              </w:rPr>
              <w:t xml:space="preserve"> porta de </w:t>
            </w:r>
            <w:proofErr w:type="spellStart"/>
            <w:r>
              <w:rPr>
                <w:sz w:val="20"/>
                <w:szCs w:val="20"/>
              </w:rPr>
              <w:t>programação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37FB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Dois núcleos a 240 MHz, 520 KiB de memória interna, rádio Wi-Fi 2,4 GHz nativo, periférico de modulação por largura de pulso em hardware com resolução programável</w:t>
            </w:r>
          </w:p>
        </w:tc>
      </w:tr>
      <w:tr w:rsidR="006B1E66" w14:paraId="494F2A2B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BD71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Segmento de fita de LED em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7D00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Reproduz o ponto de luz da via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425E9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Tipo 5050, sessenta emissores por metro, 14,4 W/m, ângulo de abertura de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120°, com resistores de limitação integrados e seccionamento a cada três emissores. </w:t>
            </w:r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comprimento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segmento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fixado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medição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conforme</w:t>
            </w:r>
            <w:proofErr w:type="spellEnd"/>
            <w:r>
              <w:rPr>
                <w:sz w:val="20"/>
                <w:szCs w:val="20"/>
              </w:rPr>
              <w:t xml:space="preserve"> 7.3.2</w:t>
            </w:r>
          </w:p>
        </w:tc>
      </w:tr>
      <w:tr w:rsidR="006B1E66" w:rsidRPr="007B78AE" w14:paraId="7D2A93F4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19B3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Módulo de acionamento com transistor de efeito de campo e entrada de modulação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DA1B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Converte o sinal modulado do microcontrolador em variação do fluxo luminoso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2D88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Faixa de nível lógico declarada a partir de 3,3 V, modulação admitida até 20 kHz, carga de 5 V a 30 V, com resistor de porta e proteção de porta já integrados e bornes a parafuso</w:t>
            </w:r>
          </w:p>
        </w:tc>
      </w:tr>
      <w:tr w:rsidR="006B1E66" w:rsidRPr="007B78AE" w14:paraId="1A5F6BA5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AE5B5" w14:textId="77777777" w:rsidR="006B1E66" w:rsidRDefault="00000000">
            <w:r>
              <w:rPr>
                <w:sz w:val="20"/>
                <w:szCs w:val="20"/>
              </w:rPr>
              <w:t xml:space="preserve">Sensor de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  <w:r>
              <w:rPr>
                <w:sz w:val="20"/>
                <w:szCs w:val="20"/>
              </w:rPr>
              <w:t xml:space="preserve"> BH1750FVI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B4A8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Mede a iluminância entregue no plano de medição e a publica continuamente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663C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Saída digital direta em lux por barramento I²C; faixa de 1 lx a 65.535 lx; resolução de 0,11 lx no modo de alta resolução 2 com o registrador de tempo de medição no valor máximo</w:t>
            </w:r>
          </w:p>
        </w:tc>
      </w:tr>
      <w:tr w:rsidR="006B1E66" w:rsidRPr="007B78AE" w14:paraId="29C572E4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146F2" w14:textId="77777777" w:rsidR="006B1E66" w:rsidRDefault="00000000">
            <w:r>
              <w:rPr>
                <w:sz w:val="20"/>
                <w:szCs w:val="20"/>
              </w:rPr>
              <w:t>Fonte de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B9FF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Alimenta exclusivamente o ramo de iluminação, separado da alimentação do microcontrolador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559D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Fonte chaveada de 12 V e 2 A; consumo do segmento adotado inferior a 300 mA</w:t>
            </w:r>
          </w:p>
        </w:tc>
      </w:tr>
      <w:tr w:rsidR="006B1E66" w:rsidRPr="007B78AE" w14:paraId="55B416D2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56095" w14:textId="77777777" w:rsidR="006B1E66" w:rsidRDefault="00000000">
            <w:proofErr w:type="spellStart"/>
            <w:r>
              <w:rPr>
                <w:sz w:val="20"/>
                <w:szCs w:val="20"/>
              </w:rPr>
              <w:t>Anteparo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bancada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7001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Isola o plano de medição da luz ambiente do recinto e delimita a cena observada pela plateia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BECB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Estrutura opaca de face interna fosca, com a luminária em uma extremidade e o plano de medição na outra</w:t>
            </w:r>
          </w:p>
        </w:tc>
      </w:tr>
    </w:tbl>
    <w:p w14:paraId="78DC4BE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659D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montagem não exige solda: as conexões de potência são feitas em bornes a parafuso e as de sinal em barramento de prototipagem. Todos os elementos são componentes de prateleira, de custo desprezível diante de qualquer ativo urbano, e esse fato integra o argumento: demonstrar o vínculo entre observação urbana e atuação luminosa não requer investimento significativo, o que é coerente com a tese de que o que falta ao município não é equipamento.</w:t>
      </w:r>
    </w:p>
    <w:p w14:paraId="302FAA0F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5" w:name="_Toc240223145"/>
      <w:r w:rsidRPr="000F5B8B">
        <w:rPr>
          <w:lang w:val="pt-BR"/>
        </w:rPr>
        <w:t>7.3.1 Critérios de seleção e alternativas preteridas</w:t>
      </w:r>
      <w:bookmarkEnd w:id="25"/>
    </w:p>
    <w:p w14:paraId="2F9BC8A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Cada elemento foi selecionado contra alternativas efetivamente disponíveis, segundo quatro critérios declarados previamente: aderência funcional ao requisito que o elemento precisa satisfazer; disponibilidade no mercado nacional em prazo compatível com as seis semanas de execução; possibilidade de verificação independente da especificação em documentação do fabricante; e economia de montagem, entendida como o menor número de peças e de operações capaz de satisfazer o requisito. O Quadro 5 sintetiza as decisões, e os parágrafos seguintes expõem a razão determinante de cada uma.</w:t>
      </w:r>
    </w:p>
    <w:p w14:paraId="066CB7C3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5 – Alternativas consideradas e razão da escolha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33"/>
        <w:gridCol w:w="1935"/>
        <w:gridCol w:w="3853"/>
      </w:tblGrid>
      <w:tr w:rsidR="006B1E66" w14:paraId="227AAC04" w14:textId="77777777">
        <w:trPr>
          <w:tblHeader/>
        </w:trPr>
        <w:tc>
          <w:tcPr>
            <w:tcW w:w="14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25D34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17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E518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Solução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  <w:tc>
          <w:tcPr>
            <w:tcW w:w="19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BA13B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preteridas</w:t>
            </w:r>
            <w:proofErr w:type="spellEnd"/>
          </w:p>
        </w:tc>
        <w:tc>
          <w:tcPr>
            <w:tcW w:w="3921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53CC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Razão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determinante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sz w:val="20"/>
                <w:szCs w:val="20"/>
              </w:rPr>
              <w:t>escolha</w:t>
            </w:r>
            <w:proofErr w:type="spellEnd"/>
          </w:p>
        </w:tc>
      </w:tr>
      <w:tr w:rsidR="006B1E66" w:rsidRPr="007B78AE" w14:paraId="56850B0C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5CE9F" w14:textId="77777777" w:rsidR="006B1E66" w:rsidRDefault="00000000"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comunicação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49A4D" w14:textId="77777777" w:rsidR="006B1E66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0756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Arduino Uno ou Nano; ESP8266; Raspberry Pi Pico W; computador de placa única com sistema operacional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5E7A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 Arduino não possui rádio e não comporta sessão segura em 2 KiB de memória. O ESP8266 comporta o enlace, mas sua modulação por largura de pulso é assistida por software e apresenta instabilidade temporal incompatível com a execução de rampa governada. O Pico W é tecnicamente adequado, e a preferência pelo ESP32 decorre da modulação em hardware com resolução programável e da maturidade das bibliotecas de transporte. O computador de placa única é rejeitado por razão arquitetural, não por capacidade</w:t>
            </w:r>
          </w:p>
        </w:tc>
      </w:tr>
      <w:tr w:rsidR="006B1E66" w:rsidRPr="007B78AE" w14:paraId="22D97505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9E3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Acionamento do módulo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4133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Módulo com transistor de efeito de campo e entrada de modulação, declarado para nível lógico a partir de 3,3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2711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Módulo baseado no IRF520; transistor discreto montado com resistores de porta; regulador de corrente constante; dimerização por ângulo de condução em tensão de rede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2AB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 módulo adotado traz resistor de porta, polarização e proteção já integrados, com bornes a parafuso, e sua faixa de nível lógico declarada abrange os 3,3 V do microcontrolador. O módulo baseado no IRF520, de aparência e preço equivalentes, exige comando em 5 V por declaração do próprio fabricante, e operaria em condução parcial. A verificação da tensão de limiar de porta foi o critério que separou dois módulos externamente semelhantes. A dimerização em tensão de rede expõe a bancada a 127 V sem ganho</w:t>
            </w:r>
          </w:p>
        </w:tc>
      </w:tr>
      <w:tr w:rsidR="006B1E66" w:rsidRPr="007B78AE" w14:paraId="038DFE5E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0AED" w14:textId="77777777" w:rsidR="006B1E66" w:rsidRDefault="00000000">
            <w:r>
              <w:rPr>
                <w:sz w:val="20"/>
                <w:szCs w:val="20"/>
              </w:rPr>
              <w:t>Fonte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ECBD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Segmento curto de fita de LED em 12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FA5B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Emissor de potência em base metálica com resistor de lastro; refletor de estado sólido em 12 V de corrente contínua; luminária viária comercial; lâmpada incandescente com dimerizador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6364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fita traz resistores de limitação integrados, o que elimina o cálculo e a dissipação do lastro, dispensa base metálica e reduz a montagem a dois condutores. A objeção usual à fita — a de ser fonte extensa — aplica-se ao rolo, não ao segmento: dez centímetros a 1,5 m subtendem menos de quatro graus e comportam-se como fonte pontual para efeito do cálculo. O refletor de 12 V é rejeitado por duas razões independentes: um exemplar de 10 W e 800 lm entregaria cerca de 113 lux a 1,5 m, seis vezes a faixa de trabalho, e sua alimentação em faixa de 12 V a 24 V denuncia reatação interna de corrente constante, de modo que a modulação aplicada à entrada não governa o fluxo de forma previsível. A luminária viária, de dezenas de watts, agrava o primeiro problema. A lâmpada incandescente não representa a tecnologia instalada no município e tem inércia térmica que mascara a dinâmica da decisão</w:t>
            </w:r>
          </w:p>
        </w:tc>
      </w:tr>
      <w:tr w:rsidR="006B1E66" w:rsidRPr="007B78AE" w14:paraId="686EC6C3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202E" w14:textId="77777777" w:rsidR="006B1E66" w:rsidRDefault="00000000">
            <w:proofErr w:type="spellStart"/>
            <w:r>
              <w:rPr>
                <w:sz w:val="20"/>
                <w:szCs w:val="20"/>
              </w:rPr>
              <w:t>Medição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3823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Sensor digital de iluminância BH1750FVI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75B6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Fotorresistor; luxímetro portátil de baixo custo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empregado como sensor do nó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AA66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O fotorresistor entrega resistência, não iluminância; sua resposta espectral não aproxima a curva de sensibilidade do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olho, e a dispersão entre unidades é elevada. Qualquer valor em lux dele extraído seria uma curva ajustada pelos próprios autores, e o trabalho passaria a reportar a própria calibração em lugar de uma iluminância. O luxímetro portátil não dispõe de saída digital e não pode compor a telemetria; ademais, os modelos da faixa de preço compatível declaram erro de zero da ordem de dez lux, superior à própria grandeza medida</w:t>
            </w:r>
          </w:p>
        </w:tc>
      </w:tr>
      <w:tr w:rsidR="006B1E66" w:rsidRPr="007B78AE" w14:paraId="458FAED6" w14:textId="77777777"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C0C4A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Transporte da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070D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Wi-Fi com protocolo MQTT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A89F" w14:textId="77777777" w:rsidR="006B1E66" w:rsidRDefault="00000000">
            <w:proofErr w:type="spellStart"/>
            <w:r>
              <w:rPr>
                <w:sz w:val="20"/>
                <w:szCs w:val="20"/>
              </w:rPr>
              <w:t>LoRaWAN</w:t>
            </w:r>
            <w:proofErr w:type="spellEnd"/>
            <w:r>
              <w:rPr>
                <w:sz w:val="20"/>
                <w:szCs w:val="20"/>
              </w:rPr>
              <w:t>; NB-IoT; Zigbee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29E4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As alternativas são as efetivamente empregadas em implantações de telegestão, e seriam as escolhas corretas em campo. O MQTT, porém, é independente do meio: substituir o rádio não altera o intermediário, a semântica dos tópicos nem o conteúdo das mensagens. O objeto avaliado é a camada de decisão, não o enlace, e a escolha está registrada entre as limitações</w:t>
            </w:r>
          </w:p>
        </w:tc>
      </w:tr>
    </w:tbl>
    <w:p w14:paraId="343330CB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2AE3A88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dessas decisões merecem desenvolvimento, por serem as que um leitor técnico questionaria primeiro.</w:t>
      </w:r>
    </w:p>
    <w:p w14:paraId="7AC5E3A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a rejeição do computador de placa única. Ela não se dá por insuficiência: um computador desse porte executaria com folga tudo o que o nó faz. Dá-se porque a arquitetura descrita em 7.2 mantém a decisão fora do dispositivo, e dispor de um sistema operacional completo no poste tornaria tentador hospedá-la ali. O microcontrolador de recurso restrito é a escolha que torna a arquitetura verificável: o nó não decide porque não teria como decidir. Acrescem-se as razões operacionais — tempo de inicialização, suscetibilidade do sistema de arquivos à queda de energia e custo unitário —, todas relevantes em um ativo que se replicaria por centenas de milhares de unidades.</w:t>
      </w:r>
    </w:p>
    <w:p w14:paraId="14BBE4A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segunda é a seleção entre dois módulos de acionamento de aparência equivalente. Ambos são vendidos sob a mesma descrição comercial, por preço semelhante, e ambos aceitam entrada de modulação. Diferem na tensão de limiar de porta do transistor que empregam: um é declarado para nível lógico a partir de 3,3 V, o outro tem sua resistência de condução especificada para 10 V de porta e é declarado pelo próprio fabricante como exigindo comando em 5 V. Sob os 3,3 V do </w:t>
      </w:r>
      <w:r w:rsidRPr="000F5B8B">
        <w:rPr>
          <w:lang w:val="pt-BR"/>
        </w:rPr>
        <w:lastRenderedPageBreak/>
        <w:t>microcontrolador, este último operaria em condução parcial, com dissipação e resposta não lineares. O episódio ilustra o critério de verificação independente adotado nesta subseção: a especificação que decide a escolha não é a que figura no título do anúncio, e sim a que consta na documentação do componente.</w:t>
      </w:r>
    </w:p>
    <w:p w14:paraId="0740745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a relação entre o acionamento adotado na bancada e o exigido em contrato. O Caderno de Encargos da concessão paulistana, Anexo III do contrato, especifica drivers que permitam dimerização por controle analógico de 0 a 10 V, e a bancada emprega modulação por largura de pulso. As duas são entradas de dimerização padronizadas de reatores de estado sólido, e a conversão entre elas é um filtro passa-baixas seguido de seguidor de tensão. A diferença é, portanto, de interface elétrica e não de natureza do comando: a camada de decisão emite um nível adimensional, e é o nó que o materializa segundo a interface disponível. Registrar isso é o que permite afirmar que o mecanismo demonstrado é transponível ao equipamento efetivamente instalado.</w:t>
      </w:r>
    </w:p>
    <w:p w14:paraId="4EBB65D3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6" w:name="_Toc240223146"/>
      <w:r w:rsidRPr="000F5B8B">
        <w:rPr>
          <w:lang w:val="pt-BR"/>
        </w:rPr>
        <w:t>7.3.2 Dimensionamento fotométrico da bancada</w:t>
      </w:r>
      <w:bookmarkEnd w:id="26"/>
    </w:p>
    <w:p w14:paraId="063E290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Convém delimitar, antes de expor os procedimentos das três subseções seguintes, o que a medição de bancada é e o que ela não é. Ela não constitui verificação fotométrica normativa. A ABNT NBR 5101 prescreve, para aferir uma instalação, a medição sobre malha de pontos de espaçamento definido, o cálculo da iluminância média e da uniformidade a partir dessa malha, a verificação das iluminâncias mínima horizontal e vertical, e o emprego de valores mantidos ao longo da vida útil da instalação. Nada disso é reproduzido aqui, nem poderia sê-lo em arranjo de um único ponto de medição. O que os procedimentos a seguir asseguram é outra coisa: que a grandeza lida corresponda à luz produzida pelo nó, e que a relação entre o nível comandado e o nível entregue seja conhecida e estável. São procedimentos de controle de instrumentação, e não de conformidade de instalação.</w:t>
      </w:r>
    </w:p>
    <w:p w14:paraId="19B959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bancada precisa situar a faixa normativa na região central da excursão do acionamento, e o cálculo que segue serve apenas para chegar à ordem de grandeza correta antes da montagem. A iluminância no eixo vale E = </w:t>
      </w:r>
      <w:r>
        <w:t>Φ</w:t>
      </w:r>
      <w:r w:rsidRPr="000F5B8B">
        <w:rPr>
          <w:lang w:val="pt-BR"/>
        </w:rPr>
        <w:t>/(</w:t>
      </w:r>
      <w:r>
        <w:t>Ω</w:t>
      </w:r>
      <w:r w:rsidRPr="000F5B8B">
        <w:rPr>
          <w:lang w:val="pt-BR"/>
        </w:rPr>
        <w:t xml:space="preserve"> h²), em que </w:t>
      </w:r>
      <w:r>
        <w:t>Φ</w:t>
      </w:r>
      <w:r w:rsidRPr="000F5B8B">
        <w:rPr>
          <w:lang w:val="pt-BR"/>
        </w:rPr>
        <w:t xml:space="preserve"> é o fluxo do segmento, </w:t>
      </w:r>
      <w:r>
        <w:t>Ω</w:t>
      </w:r>
      <w:r w:rsidRPr="000F5B8B">
        <w:rPr>
          <w:lang w:val="pt-BR"/>
        </w:rPr>
        <w:t xml:space="preserve"> o ângulo sólido correspondente ao ângulo de abertura declarado pelo fabricante e h a distância ao plano de medição. Fixada a altura, o comprimento do segmento é a variável de projeto.</w:t>
      </w:r>
    </w:p>
    <w:p w14:paraId="76A0AB7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Aqui se impõe uma cautela. A especificação elétrica dessas fitas é consistente entre fornecedores — sessenta emissores por metro, 14,4 W/m —, mas a fotométrica não: anúncios de produtos nominalmente idênticos declaram fluxos que vão de cerca de 600 a cerca de 1.300 lm por metro, divergência superior ao dobro e incompatível com uma mesma potência. Nenhum desses valores é verificável pelos autores. O comprimento do segmento é, por isso, determinado por medição, e não por catálogo: parte-se de um trecho e ajusta-se o comprimento, em múltiplos do intervalo de seccionamento, até que a leitura a ciclo de trabalho pleno se situe entre uma vez e meia e duas vezes a iluminância média mantida da classe adotada. Para a faixa de fluxo declarada, o segmento resultante situa-se na ordem de poucas dezenas de centímetros.</w:t>
      </w:r>
    </w:p>
    <w:p w14:paraId="0CDE99D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critério de uma vez e meia a duas vezes o valor da classe é deliberado. A classe P3, adotada em 7.6, fixa iluminância média mantida de 10 lux, e a atenuação máxima admitida conduz a 5 lux. Com teto físico nessa proporção, a iluminação plena da classe situa-se em torno de metade do ciclo de trabalho e o piso de atenuação em torno de um quarto, de modo que a faixa normativa ocupa a região central da excursão. A margem entre o teto físico e o teto normativo é o que torna o resultado significativo: o limite é imposto pela camada de verificação, e não pela incapacidade do equipamento de ultrapassá-lo. Sem essa margem, a ausência de violações seria consequência da bancada, e não do sistema.</w:t>
      </w:r>
    </w:p>
    <w:p w14:paraId="52C0D4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Os valores de ciclo de trabalho correspondentes a 10 lux e a 5 lux são igualmente determinados por medição, e não por interpolação linear a partir do teto. A divergência entre fluxos declarados, somada à dispersão entre lotes e às perdas do anteparo, torna a aferição empírica não uma concessão à precariedade da bancada, mas o procedimento correto: a grandeza pertinente é a medida no plano de medição, não a declarada em catálogo.</w:t>
      </w:r>
    </w:p>
    <w:p w14:paraId="4AA514F5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modulação opera a 5 kHz com resolução de 12 bits, o que fornece 4.096 degraus de ciclo de trabalho. A frequência é suficientemente alta para que o período do sinal seja desprezível diante dos 120 ms de integração do sensor, de modo que a leitura corresponde ao valor médio do fluxo e não a uma amostra da portadora. O Quadro 6 reúne o dimensionamento e sua correspondência com a norma.</w:t>
      </w:r>
    </w:p>
    <w:p w14:paraId="3A21C868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6 – Dimensionamento da bancada e correspondência com a norma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14:paraId="1782FE40" w14:textId="77777777"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2099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Grandeza</w:t>
            </w:r>
            <w:proofErr w:type="spellEnd"/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7789D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bancada</w:t>
            </w:r>
            <w:proofErr w:type="spellEnd"/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B2229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Correspondência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normativa</w:t>
            </w:r>
            <w:proofErr w:type="spellEnd"/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A53F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Observação</w:t>
            </w:r>
            <w:proofErr w:type="spellEnd"/>
          </w:p>
        </w:tc>
      </w:tr>
      <w:tr w:rsidR="006B1E66" w:rsidRPr="007B78AE" w14:paraId="24AD48AB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08B7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Iluminância a ciclo de trabalho pleno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D3CA4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Entre uma vez e meia e duas vezes o valor da classe, fixada por medição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48C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Acima do valor da classe adotada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91711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margem assegura que o teto seja imposto por software, e não pelo limite do equipamento</w:t>
            </w:r>
          </w:p>
        </w:tc>
      </w:tr>
      <w:tr w:rsidR="006B1E66" w:rsidRPr="007B78AE" w14:paraId="11128948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98783" w14:textId="77777777" w:rsidR="006B1E66" w:rsidRDefault="00000000">
            <w:proofErr w:type="spellStart"/>
            <w:r>
              <w:rPr>
                <w:sz w:val="20"/>
                <w:szCs w:val="20"/>
              </w:rPr>
              <w:t>Iluminação</w:t>
            </w:r>
            <w:proofErr w:type="spellEnd"/>
            <w:r>
              <w:rPr>
                <w:sz w:val="20"/>
                <w:szCs w:val="20"/>
              </w:rPr>
              <w:t xml:space="preserve"> plena da </w:t>
            </w:r>
            <w:proofErr w:type="spellStart"/>
            <w:r>
              <w:rPr>
                <w:sz w:val="20"/>
                <w:szCs w:val="20"/>
              </w:rPr>
              <w:t>classe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079B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10 lux, em torno de metade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9519E" w14:textId="77777777" w:rsidR="006B1E66" w:rsidRDefault="00000000">
            <w:r>
              <w:rPr>
                <w:sz w:val="20"/>
                <w:szCs w:val="20"/>
              </w:rPr>
              <w:t xml:space="preserve">Classe P3, </w:t>
            </w:r>
            <w:proofErr w:type="spellStart"/>
            <w:r>
              <w:rPr>
                <w:sz w:val="20"/>
                <w:szCs w:val="20"/>
              </w:rPr>
              <w:t>Tabela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CFDD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Referência para o cálculo da taxa de variação</w:t>
            </w:r>
          </w:p>
        </w:tc>
      </w:tr>
      <w:tr w:rsidR="006B1E66" w:rsidRPr="007B78AE" w14:paraId="18B985F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94BC7" w14:textId="77777777" w:rsidR="006B1E66" w:rsidRDefault="00000000">
            <w:r>
              <w:rPr>
                <w:sz w:val="20"/>
                <w:szCs w:val="20"/>
              </w:rPr>
              <w:t xml:space="preserve">Piso de </w:t>
            </w:r>
            <w:proofErr w:type="spellStart"/>
            <w:r>
              <w:rPr>
                <w:sz w:val="20"/>
                <w:szCs w:val="20"/>
              </w:rPr>
              <w:t>atenuação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CC2B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5 lux, em torno de um quarto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7EEB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 P5, duas classes abaixo,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E518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Limite inferior verificado antes de cada atuação</w:t>
            </w:r>
          </w:p>
        </w:tc>
      </w:tr>
      <w:tr w:rsidR="006B1E66" w:rsidRPr="007B78AE" w14:paraId="1AAA5726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57FA5" w14:textId="77777777" w:rsidR="006B1E66" w:rsidRDefault="00000000">
            <w:r>
              <w:rPr>
                <w:sz w:val="20"/>
                <w:szCs w:val="20"/>
              </w:rPr>
              <w:t xml:space="preserve">Taxa </w:t>
            </w:r>
            <w:proofErr w:type="spellStart"/>
            <w:r>
              <w:rPr>
                <w:sz w:val="20"/>
                <w:szCs w:val="20"/>
              </w:rPr>
              <w:t>máxima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decréscimo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E9CC9" w14:textId="77777777" w:rsidR="006B1E66" w:rsidRDefault="00000000">
            <w:r>
              <w:rPr>
                <w:sz w:val="20"/>
                <w:szCs w:val="20"/>
              </w:rPr>
              <w:t xml:space="preserve">1 lux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minuto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1753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Um décimo da iluminação plena por minuto,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A2FD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transição de 10 lux a 5 lux não pode ocorrer em menos de cinco minutos</w:t>
            </w:r>
          </w:p>
        </w:tc>
      </w:tr>
      <w:tr w:rsidR="006B1E66" w:rsidRPr="007B78AE" w14:paraId="0A20FC5D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E12F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Degrau de atualização da rampa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895BA0" w14:textId="77777777" w:rsidR="006B1E66" w:rsidRDefault="00000000">
            <w:proofErr w:type="spellStart"/>
            <w:r>
              <w:rPr>
                <w:sz w:val="20"/>
                <w:szCs w:val="20"/>
              </w:rPr>
              <w:t>Aproximadamente</w:t>
            </w:r>
            <w:proofErr w:type="spellEnd"/>
            <w:r>
              <w:rPr>
                <w:sz w:val="20"/>
                <w:szCs w:val="20"/>
              </w:rPr>
              <w:t xml:space="preserve"> 0,017 lux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segundo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CEC2E" w14:textId="77777777" w:rsidR="006B1E66" w:rsidRDefault="00000000"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prescrito</w:t>
            </w:r>
            <w:proofErr w:type="spellEnd"/>
            <w:r>
              <w:rPr>
                <w:sz w:val="20"/>
                <w:szCs w:val="20"/>
              </w:rPr>
              <w:t xml:space="preserve"> pela norma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D7F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Inferior à resolução do sensor, o que torna a rampa contínua para efeito de medição</w:t>
            </w:r>
          </w:p>
        </w:tc>
      </w:tr>
    </w:tbl>
    <w:p w14:paraId="2E7E2B5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95275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taxa máxima de decréscimo tem consequência direta sobre a demonstração, e é preferível declará-la a ser surpreendido por ela. Uma redução de 10 lux para 5 lux consome, no mínimo, cinco minutos. A norma, contudo, limita apenas o decréscimo: a elevação do fluxo não está sujeita a essa restrição, e o trabalho a mantém livre, por elevar o nível na direção do valor pleno da classe e jamais reduzir a segurança. A demonstração explora essa assimetria — diante de um evento reportado, a elevação é imediata e visível; a atenuação subsequente ocorre sob rampa governada, exibida no painel junto à trajetória prevista. O que a plateia observa não é apenas a luz mudando, mas a camada de verificação impondo o ritmo dessa mudança.</w:t>
      </w:r>
    </w:p>
    <w:p w14:paraId="2B7B9D2B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7" w:name="_Toc240223147"/>
      <w:r w:rsidRPr="000F5B8B">
        <w:rPr>
          <w:lang w:val="pt-BR"/>
        </w:rPr>
        <w:t>7.3.3 Controle das condições de medição</w:t>
      </w:r>
      <w:bookmarkEnd w:id="27"/>
    </w:p>
    <w:p w14:paraId="40493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Medir 10 lux em recinto cuja iluminação de serviço situa-se entre 300 lux e 500 lux não produz resultado interpretável. O plano de medição é, por isso, alojado em anteparo opaco de face interna fosca, com a luminária em uma extremidade e o sensor na outra, aberto apenas na face voltada à plateia. A providência não é expediente de conveniência: é condição para que a grandeza medida seja a iluminância produzida pelo nó.</w:t>
      </w:r>
    </w:p>
    <w:p w14:paraId="53911A3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Antes de cada sessão de medição registra-se a iluminância residual com o módulo de luz desligado. Esse valor é subtraído das leituras e reportado junto aos </w:t>
      </w:r>
      <w:r w:rsidRPr="000F5B8B">
        <w:rPr>
          <w:lang w:val="pt-BR"/>
        </w:rPr>
        <w:lastRenderedPageBreak/>
        <w:t>resultados. Sessões em que a residual ultrapasse cinco por cento do valor da classe são descartadas e repetidas.</w:t>
      </w:r>
    </w:p>
    <w:p w14:paraId="00A752E7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8" w:name="_Toc240223148"/>
      <w:r w:rsidRPr="000F5B8B">
        <w:rPr>
          <w:lang w:val="pt-BR"/>
        </w:rPr>
        <w:t>7.3.4 Verificação da medição e incerteza declarada</w:t>
      </w:r>
      <w:bookmarkEnd w:id="28"/>
    </w:p>
    <w:p w14:paraId="2E240DC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sensor adotado declara exatidão da ordem de vinte por cento em valor absoluto, e a bancada não dispõe de instrumento de referência calibrado contra padrão metrológico. Essa é a limitação de medição do arranjo, e convém delimitar com precisão o que ela afeta e o que não afeta.</w:t>
      </w:r>
    </w:p>
    <w:p w14:paraId="38309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Ela não afeta a verificação do invariante de segurança. Essa verificação incide sobre o nível decidido pelo sistema, em lux, antes da emissão do comando, e confronta-o com os limites da norma. É uma verificação em software, de critério integralmente externo, reproduzível por qualquer pessoa que disponha do texto normativo e dos registros de decisão. Nenhuma parcela dela depende do instrumento instalado na bancada.</w:t>
      </w:r>
    </w:p>
    <w:p w14:paraId="3BB3639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Ela também não compromete as duas grandezas que a bancada efetivamente estabelece. A primeira é a latência entre a publicação do dado e a estabilização da iluminância, que é medida em tempo e não em lux. A segunda é a trajetória normalizada do fluxo, isto é, a razão entre a iluminância corrente e a iluminância plena — e é precisamente nessa forma relativa que a norma expressa a restrição de taxa. Um erro sistemático de escala cancela-se na razão.</w:t>
      </w:r>
    </w:p>
    <w:p w14:paraId="6BFFE3D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Tampouco afeta a consistência interna da bancada, e esta é a observação central. A iluminação plena da classe não é um valor imposto à bancada desde fora: é definida como o ciclo de trabalho em que o sensor registra o valor da classe. O piso de atenuação e a taxa máxima de decréscimo são, por sua vez, estabelecidos em relação a essa mesma referência — duas classes abaixo, um décimo por minuto. Um erro sistemático de escala desloca conjuntamente os três valores e não altera nenhuma das relações entre eles. O que a bancada demonstra é que a decisão comandada é executada e que a trajetória obedece aos limites, e isso permanece verdadeiro sob qualquer fator de escala constante.</w:t>
      </w:r>
    </w:p>
    <w:p w14:paraId="52D5202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Restam, portanto, três propriedades a estabelecer, todas insensíveis ao erro sistemático e todas verificáveis com uma única cadeia de medição. A primeira é a repetibilidade: cada nível comandado é repetido em séries independentes, e a </w:t>
      </w:r>
      <w:r w:rsidRPr="000F5B8B">
        <w:rPr>
          <w:lang w:val="pt-BR"/>
        </w:rPr>
        <w:lastRenderedPageBreak/>
        <w:t>dispersão das leituras é reportada. A segunda é a monotonicidade e a linearidade da resposta: o ciclo de trabalho é varrido em degraus ao longo de toda a excursão, e a curva de iluminância resultante é levantada e reportada, por ser a propriedade de que dependem as afirmações relativas. A terceira é o controle da parcela ambiente, tratado em 7.3.3. Nenhuma delas se confunde com a verificação prevista na norma para instalações, nos termos delimitados na abertura de 7.3.2.</w:t>
      </w:r>
    </w:p>
    <w:p w14:paraId="553F38A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não afirma exatidão metrológica em iluminância, e o texto registra essa restrição entre as limitações. Afirma repetibilidade, monotonicidade e consistência interna da escala, que são as propriedades de que seus resultados dependem. A verificação cruzada contra instrumento de referência calibrado, ou contra segunda cadeia de medição de arquitetura distinta, figura entre os trabalhos futuros. A distinção entre o que o arranjo estabelece e o que ele não estabelece é, ela própria, parte do que se pretende demonstrar.</w:t>
      </w:r>
    </w:p>
    <w:p w14:paraId="756E541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escolha por um único nó é deliberada e declarada. O objeto do trabalho é a camada de decisão, não o dispositivo; multiplicar nós acrescentaria custo e tempo sem acrescentar resultado. O controle coordenado de múltiplas luminárias é registrado entre as limitações e entre os trabalhos futuros.</w:t>
      </w:r>
    </w:p>
    <w:p w14:paraId="249D9B6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9" w:name="_Toc240223149"/>
      <w:r w:rsidRPr="000F5B8B">
        <w:rPr>
          <w:lang w:val="pt-BR"/>
        </w:rPr>
        <w:t>7.4 Dados urbanos e construção dos cenários</w:t>
      </w:r>
      <w:bookmarkEnd w:id="29"/>
    </w:p>
    <w:p w14:paraId="4D5F81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conteúdo publicado pela interface emulada não é arbitrário: é construído a partir da análise de conjuntos de dados públicos do município, de modo que os cenários submetidos ao sistema correspondam a situações efetivamente observadas na cidade.</w:t>
      </w:r>
    </w:p>
    <w:p w14:paraId="63EB957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conjuntos sustentam essa construção. As solicitações registradas pelos canais do SP156, disponibilizadas no portal municipal de dados abertos (SÃO PAULO, 2026), fornecem a distribuição de demandas por serviço urbano, entre elas as relativas à iluminação pública, permitindo caracterizar regiões e horários de maior incidência. Os registros de ocorrência publicados pelo Centro de Gerenciamento de Emergências fornecem a incidência de eventos meteorológicos severos e sua distribuição temporal. A base georreferenciada municipal fornece a caracterização das vias que permite determinar a classe de iluminação aplicável.</w:t>
      </w:r>
    </w:p>
    <w:p w14:paraId="5FD26C5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Declara-se a consequência metodológica: esses conjuntos são agregados e publicados em periodicidade que não é a de tempo real, de modo que servem à construção de cenários realistas e não à operação do sistema sobre informação corrente. A interface emulada reproduz o formato e a semântica que uma plataforma municipal produziria, e não os seus dados, aos quais não há acesso público.</w:t>
      </w:r>
    </w:p>
    <w:p w14:paraId="2694467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não afirma, portanto, integração com o Smart Sampa. Afirma a construção de um sistema preparado para recebê-la e a especificação da interface que a tornaria possível — e demonstra esse preparo por meio de interface equivalente. A distinção é declarada em todos os pontos do documento em que a plataforma é mencionada.</w:t>
      </w:r>
    </w:p>
    <w:p w14:paraId="215F0CE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Da análise desses conjuntos deriva-se a suíte de cenários de avaliação, composta por situações que cobrem o espaço de entrada do sistema, incluídas as combinações conflitantes — movimentação baixa com ocorrência reportada, precipitação com via ociosa, horário avançado com fluxo intenso — que constituem o caso interessante da decisão.</w:t>
      </w:r>
    </w:p>
    <w:p w14:paraId="567FE2E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0" w:name="_Toc240223150"/>
      <w:r w:rsidRPr="000F5B8B">
        <w:rPr>
          <w:lang w:val="pt-BR"/>
        </w:rPr>
        <w:t>7.5 Mecanismo de decisão</w:t>
      </w:r>
      <w:bookmarkEnd w:id="30"/>
    </w:p>
    <w:p w14:paraId="0331571F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é produzida por sistema de inferência nebulosa do tipo Mamdani, cuja construção compreende a definição das variáveis de entrada e de seus conjuntos linguísticos, a formulação da base de regras e o método de agregação e de defuzificação. O Quadro 7 discrimina as variáveis de entrada.</w:t>
      </w:r>
    </w:p>
    <w:p w14:paraId="16E7FC82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7 – Variáveis de entrada do sistema de decisão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7AD6C19B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EBC34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Variável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6F17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Origem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AC650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Justificativa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sz w:val="20"/>
                <w:szCs w:val="20"/>
              </w:rPr>
              <w:t>inclusão</w:t>
            </w:r>
            <w:proofErr w:type="spellEnd"/>
          </w:p>
        </w:tc>
      </w:tr>
      <w:tr w:rsidR="006B1E66" w:rsidRPr="007B78AE" w14:paraId="4A69943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E404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Nível de movimentação na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4F66D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E9F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É a variável que a norma indica como determinante do tempo de funcionamento da iluminação adaptativa, na subseção 6.10.3</w:t>
            </w:r>
          </w:p>
        </w:tc>
      </w:tr>
      <w:tr w:rsidR="006B1E66" w:rsidRPr="007B78AE" w14:paraId="2178222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6F976" w14:textId="77777777" w:rsidR="006B1E66" w:rsidRDefault="00000000">
            <w:proofErr w:type="spellStart"/>
            <w:r>
              <w:rPr>
                <w:sz w:val="20"/>
                <w:szCs w:val="20"/>
              </w:rPr>
              <w:t>Ocorrência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proximidades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CFFA8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8971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Evento de segurança ou de trânsito justifica elevação do nível independentemente da movimentação observada. Corresponde ao alerta automático que a plataforma municipal já produz</w:t>
            </w:r>
          </w:p>
        </w:tc>
      </w:tr>
      <w:tr w:rsidR="006B1E66" w:rsidRPr="007B78AE" w14:paraId="2D4F62F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2BD69" w14:textId="77777777" w:rsidR="006B1E66" w:rsidRDefault="00000000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meteorológica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92211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CC8D2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A subseção 6.10 da norma desaconselha a dimerização sob nevoeiro, neblina e chuva, o que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converte esta variável em restrição e não apenas em entrada</w:t>
            </w:r>
          </w:p>
        </w:tc>
      </w:tr>
      <w:tr w:rsidR="006B1E66" w:rsidRPr="007B78AE" w14:paraId="46ED617C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37F42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Faixa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horária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5DA4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Relógio do serviço de decisão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46ED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Distingue regimes de utilização da via e opera como evidência de apoio quando as demais variáveis são inconclusivas</w:t>
            </w:r>
          </w:p>
        </w:tc>
      </w:tr>
      <w:tr w:rsidR="006B1E66" w:rsidRPr="007B78AE" w14:paraId="7E177F4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1A60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 de iluminação da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BBF39" w14:textId="77777777" w:rsidR="006B1E66" w:rsidRDefault="00000000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georreferenciada</w:t>
            </w:r>
            <w:proofErr w:type="spellEnd"/>
            <w:r>
              <w:rPr>
                <w:sz w:val="20"/>
                <w:szCs w:val="20"/>
              </w:rPr>
              <w:t xml:space="preserve"> municipal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3D5A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Determina o piso normativo aplicável e, portanto, o limite inferior da decisão para aquele ponto de luz</w:t>
            </w:r>
          </w:p>
        </w:tc>
      </w:tr>
    </w:tbl>
    <w:p w14:paraId="667B391C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204AD1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saída é o nível de fluxo luminoso pretendido, expresso como fração contínua do fluxo pleno. A saída contínua, e não a seleção entre estados discretos, decorre de exigência normativa: a taxa de decréscimo do fluxo é limitada, de modo que transições abruptas entre patamares seriam inadmissíveis.</w:t>
      </w:r>
    </w:p>
    <w:p w14:paraId="7153C54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base de regras é construída em forma linguística e tem duas origens declaradas: as prescrições da ABNT NBR 5101 quanto aos casos em que a atenuação é vedada ou limitada, e o conhecimento de domínio documentado na literatura revisada. Nenhuma regra deriva de decisões rotuladas pelos próprios autores, o que preserva a base externa e auditável.</w:t>
      </w:r>
    </w:p>
    <w:p w14:paraId="35C54F2D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inferência é seguida, obrigatoriamente, pela camada de verificação normativa, que implementa as três restrições rígidas da subseção 6.5 e opera sobre a decisão antes de sua emissão.</w:t>
      </w:r>
    </w:p>
    <w:p w14:paraId="6D7B455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Piso de iluminância: o nível emitido nunca é inferior ao correspondente ao piso da classe de dimerização admitida para a classe da via.</w:t>
      </w:r>
    </w:p>
    <w:p w14:paraId="2D200C33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Taxa de variação: a transição entre o nível corrente e o nível decidido é rampeada de modo a não exceder a taxa máxima de decréscimo estabelecida pela norma. O restabelecimento do fluxo não está sujeito a essa limitação, o que é coerente com a função de segurança da iluminação.</w:t>
      </w:r>
    </w:p>
    <w:p w14:paraId="4180C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Suspensão sob condição meteorológica adversa: quando a condição reportada indica nevoeiro, neblina ou chuva, a dimerização é suspensa e o sistema opera em fluxo pleno, independentemente da saída da inferência.</w:t>
      </w:r>
    </w:p>
    <w:p w14:paraId="03A2C3B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Acrescenta-se uma quarta regra, que não decorre da norma e cuja autoria é declarada: em caso de falha de comunicação ou ausência prolongada de dado, o nó reverte autonomamente ao fluxo pleno. A norma fixa a taxa máxima de variação, mas </w:t>
      </w:r>
      <w:r w:rsidRPr="000F5B8B">
        <w:rPr>
          <w:lang w:val="pt-BR"/>
        </w:rPr>
        <w:lastRenderedPageBreak/>
        <w:t>não estabelece requisito de comportamento diante de falha do controle. A reversão segura é decisão de projeto dos autores: entre os dois modos de erro possíveis, o consumo desnecessário é recuperável e a supressão da iluminação em via ocupada não é.</w:t>
      </w:r>
    </w:p>
    <w:p w14:paraId="163B621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separação entre a camada de inferência e a camada de verificação é a principal decisão de projeto do trabalho. A primeira é adaptativa e pode ser alterada, ampliada ou substituída; a segunda é fixa, deriva de norma e opera como invariante de segurança. Essa separação permite afirmar a conformidade do sistema independentemente do comportamento da inferência — propriedade que a avaliação verifica empiricamente. É também o que tornaria a proposta admissível para uma concessionária regulada: o comportamento inteligente pode evoluir, o limite não.</w:t>
      </w:r>
    </w:p>
    <w:p w14:paraId="7F2F6DB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1" w:name="_Toc240223151"/>
      <w:r w:rsidRPr="000F5B8B">
        <w:rPr>
          <w:lang w:val="pt-BR"/>
        </w:rPr>
        <w:t>7.6 Classe de iluminação adotada</w:t>
      </w:r>
      <w:bookmarkEnd w:id="31"/>
    </w:p>
    <w:p w14:paraId="5991D3E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verificação de conformidade exige a fixação prévia de uma classe, determinada pelo procedimento da ABNT NBR 5101 e não arbitrada. Adota-se como cenário de referência a calçada de via urbana local, para a qual os parâmetros normativos assumem os seguintes valores: velocidade baixa, inferior a 30 km/h; volume de tráfego moderado; composição com pedestres e veículos motorizados; presença de veículos estacionados; e luminância de ambiente moderada. A soma dos fatores de ponderação conduz, pela equação normativa de seleção, à classe P3.</w:t>
      </w:r>
    </w:p>
    <w:p w14:paraId="4A7A786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Fixada a classe P3, a subseção 6.10 da norma delimita a faixa admissível: a dimerização é permitida até no máximo duas classes imediatamente inferiores, o que estabelece a classe P5 como piso. O sistema opera, portanto, entre a iluminância média mantida de 10 lux, correspondente ao fluxo pleno, e a de 5 lux, correspondente à atenuação máxima admitida. O Quadro 8 reproduz os requisitos das classes envolvidas.</w:t>
      </w:r>
    </w:p>
    <w:p w14:paraId="576A6940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8 – Requisitos das classes de iluminação P pertinentes ao cenário adotado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:rsidRPr="007B78AE" w14:paraId="35AE524C" w14:textId="77777777"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4A7EC" w14:textId="77777777" w:rsidR="006B1E66" w:rsidRDefault="00000000"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AE33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média horizontal mínima mantida (lux)</w:t>
            </w:r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CD1E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mínima horizontal mantida (lux)</w:t>
            </w:r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DB25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vertical mínima mantida (lux)</w:t>
            </w:r>
          </w:p>
        </w:tc>
      </w:tr>
      <w:tr w:rsidR="006B1E66" w14:paraId="0064C8F3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80007" w14:textId="77777777" w:rsidR="006B1E66" w:rsidRDefault="00000000">
            <w:r>
              <w:rPr>
                <w:sz w:val="20"/>
                <w:szCs w:val="20"/>
              </w:rPr>
              <w:t>P3 (</w:t>
            </w:r>
            <w:proofErr w:type="spellStart"/>
            <w:r>
              <w:rPr>
                <w:sz w:val="20"/>
                <w:szCs w:val="20"/>
              </w:rPr>
              <w:t>fluxo</w:t>
            </w:r>
            <w:proofErr w:type="spellEnd"/>
            <w:r>
              <w:rPr>
                <w:sz w:val="20"/>
                <w:szCs w:val="20"/>
              </w:rPr>
              <w:t xml:space="preserve"> pleno)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60541" w14:textId="77777777" w:rsidR="006B1E6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45A11" w14:textId="77777777" w:rsidR="006B1E66" w:rsidRDefault="00000000">
            <w:r>
              <w:rPr>
                <w:sz w:val="20"/>
                <w:szCs w:val="20"/>
              </w:rPr>
              <w:t>2,0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014A5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</w:tr>
      <w:tr w:rsidR="006B1E66" w14:paraId="70D644B1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DBEF0" w14:textId="77777777" w:rsidR="006B1E66" w:rsidRDefault="00000000">
            <w:r>
              <w:rPr>
                <w:sz w:val="20"/>
                <w:szCs w:val="20"/>
              </w:rPr>
              <w:t>P4 (</w:t>
            </w:r>
            <w:proofErr w:type="spellStart"/>
            <w:r>
              <w:rPr>
                <w:sz w:val="20"/>
                <w:szCs w:val="20"/>
              </w:rPr>
              <w:t>nível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intermediário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2BA8E" w14:textId="77777777" w:rsidR="006B1E66" w:rsidRDefault="00000000">
            <w:r>
              <w:rPr>
                <w:sz w:val="20"/>
                <w:szCs w:val="20"/>
              </w:rPr>
              <w:t>7,5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BB8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B4517" w14:textId="77777777" w:rsidR="006B1E66" w:rsidRDefault="00000000">
            <w:r>
              <w:rPr>
                <w:sz w:val="20"/>
                <w:szCs w:val="20"/>
              </w:rPr>
              <w:t>2,5</w:t>
            </w:r>
          </w:p>
        </w:tc>
      </w:tr>
      <w:tr w:rsidR="006B1E66" w14:paraId="52E9CE2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62320" w14:textId="77777777" w:rsidR="006B1E66" w:rsidRDefault="00000000">
            <w:r>
              <w:rPr>
                <w:sz w:val="20"/>
                <w:szCs w:val="20"/>
              </w:rPr>
              <w:lastRenderedPageBreak/>
              <w:t>P5 (</w:t>
            </w:r>
            <w:proofErr w:type="spellStart"/>
            <w:r>
              <w:rPr>
                <w:sz w:val="20"/>
                <w:szCs w:val="20"/>
              </w:rPr>
              <w:t>piso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admissível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E60F5" w14:textId="77777777" w:rsidR="006B1E66" w:rsidRDefault="00000000">
            <w:r>
              <w:rPr>
                <w:sz w:val="20"/>
                <w:szCs w:val="20"/>
              </w:rPr>
              <w:t>5,0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A8B24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8D2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</w:tr>
      <w:tr w:rsidR="006B1E66" w14:paraId="6F28DBEE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706DC" w14:textId="77777777" w:rsidR="006B1E66" w:rsidRDefault="00000000">
            <w:r>
              <w:rPr>
                <w:sz w:val="20"/>
                <w:szCs w:val="20"/>
              </w:rPr>
              <w:t>P6 (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dimerizável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F0B73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7196A" w14:textId="77777777" w:rsidR="006B1E66" w:rsidRDefault="00000000">
            <w:r>
              <w:rPr>
                <w:sz w:val="20"/>
                <w:szCs w:val="20"/>
              </w:rPr>
              <w:t>0,6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6BACC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</w:tr>
    </w:tbl>
    <w:p w14:paraId="0D8A1FAB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Adaptado da ABNT NBR 5101 (2024).</w:t>
      </w:r>
    </w:p>
    <w:p w14:paraId="06ED8D4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2" w:name="_Toc240223152"/>
      <w:r w:rsidRPr="000F5B8B">
        <w:rPr>
          <w:lang w:val="pt-BR"/>
        </w:rPr>
        <w:t>7.7 Procedimentos e avaliação</w:t>
      </w:r>
      <w:bookmarkEnd w:id="32"/>
    </w:p>
    <w:p w14:paraId="6252CD4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execução organiza-se em cinco etapas, das quais as três últimas produzem os resultados que respondem aos objetivos específicos.</w:t>
      </w:r>
    </w:p>
    <w:p w14:paraId="1D9A7590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1 — Caracterização da infraestrutura e das fontes. Levantamento documental sobre o parque de iluminação, a concessão, a telegestão contratada e a plataforma de monitoramento do município, junto a fontes oficiais e ao órgão de controle externo. Análise dos conjuntos de dados abertos e especificação das variáveis de entrada.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a) e </w:t>
      </w:r>
      <w:proofErr w:type="spellStart"/>
      <w:r>
        <w:t>alimenta</w:t>
      </w:r>
      <w:proofErr w:type="spellEnd"/>
      <w:r>
        <w:t xml:space="preserve"> o b).</w:t>
      </w:r>
    </w:p>
    <w:p w14:paraId="499CDB72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2 — Construção do sistema. Implementam-se a interface de dados urbanos, o serviço de decisão com a base de regras, a camada de verificação normativa, o transporte por mensagens, o firmware do nó e o painel de demonstração. </w:t>
      </w:r>
      <w:r>
        <w:t xml:space="preserve">Esta </w:t>
      </w:r>
      <w:proofErr w:type="spellStart"/>
      <w:r>
        <w:t>etapa</w:t>
      </w:r>
      <w:proofErr w:type="spellEnd"/>
      <w:r>
        <w:t xml:space="preserve"> é </w:t>
      </w:r>
      <w:proofErr w:type="spellStart"/>
      <w:r>
        <w:t>meio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>.</w:t>
      </w:r>
    </w:p>
    <w:p w14:paraId="219B7EDB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3 — Verificação do invariante de segurança. Submete-se o sistema à suíte de cenários e verifica-se, para cada decisão emitida, se algum dos três limites normativos foi transgredido. A avaliação é exaustiva e o critério é categórico: nenhuma violação é admitida. Incluem-se cenários adversariais, construídos para induzir a inferência a produzir decisão inadmissível, de modo que a verificação seja submetida a esforço e não apenas exercitada.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d).</w:t>
      </w:r>
    </w:p>
    <w:p w14:paraId="655E5440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4 — Medição do percurso físico. Para um conjunto de transições de nível, mede-se a latência entre a publicação do dado na interface e a estabilização da iluminância no valor correspondente, reportada como distribuição sobre repetições independentes, com o número de repetições explicitado.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e).</w:t>
      </w:r>
    </w:p>
    <w:p w14:paraId="6ED2FA08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lastRenderedPageBreak/>
        <w:t xml:space="preserve">Etapa 5 — Avaliação da concordância e especificação da interface. Compara-se a decisão produzida em cada cenário com o envelope esperado, analisando-se as discordâncias. Consolida-se, a partir da interface emulada e do que a análise documental indicou estar disponível na plataforma municipal, a especificação de integração.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f).</w:t>
      </w:r>
    </w:p>
    <w:p w14:paraId="2ECEFC7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Cabe explicitar a natureza do envelope de decisão esperado e a limitação que dele decorre. O envelope é o intervalo de níveis considerados aceitáveis para cada cenário, definido pelos autores antes da avaliação e derivado, sempre que possível, das prescrições normativas e da literatura. Onde essa derivação não é possível, o envelope reflete julgamento dos autores, e a avaliação mede, nesses casos, a coerência entre a base de regras e esse julgamento — não a correção da decisão em sentido absoluto. A declaração é necessária porque a alternativa, calar sobre a origem do envelope, apresentaria como validação externa aquilo que é, em parte, consistência interna.</w:t>
      </w:r>
    </w:p>
    <w:p w14:paraId="55B943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verificação do invariante de segurança não padece dessa limitação: seu critério deriva integralmente da norma e é verificável por terceiros que disponham do texto normativo. É por isso que ela constitui o resultado mais robusto do trabalho.</w:t>
      </w:r>
    </w:p>
    <w:p w14:paraId="3F67AA6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3" w:name="_Toc240223153"/>
      <w:r w:rsidRPr="000F5B8B">
        <w:rPr>
          <w:lang w:val="pt-BR"/>
        </w:rPr>
        <w:t>7.8 Tratamento de dados pessoais</w:t>
      </w:r>
      <w:bookmarkEnd w:id="33"/>
    </w:p>
    <w:p w14:paraId="07022DD5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 sistema não captura, não processa e não armazena imagem, som ou qualquer dado que permita identificar pessoa.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do </w:t>
      </w:r>
      <w:proofErr w:type="spellStart"/>
      <w:r>
        <w:t>arranjo</w:t>
      </w:r>
      <w:proofErr w:type="spellEnd"/>
      <w:r>
        <w:t xml:space="preserve"> </w:t>
      </w:r>
      <w:proofErr w:type="spellStart"/>
      <w:r>
        <w:t>asseguram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>.</w:t>
      </w:r>
    </w:p>
    <w:p w14:paraId="79A4FF1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interface de dados urbanos publica apenas descritores agregados do estado da via — nível de movimentação, ocorrência reportada, condição meteorológica —, sem referência a indivíduo.</w:t>
      </w:r>
    </w:p>
    <w:p w14:paraId="49DC31B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conjuntos de dados públicos empregados na construção dos cenários são divulgados pelo poder público de forma agregada e são utilizados exclusivamente para caracterizar distribuições e frequências.</w:t>
      </w:r>
    </w:p>
    <w:p w14:paraId="1F6AF64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nó de demonstração possui um único sensor, de iluminância, que mede luz e não pessoas.</w:t>
      </w:r>
    </w:p>
    <w:p w14:paraId="65776E6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O Quadro 3 explicita o conteúdo de cada entidade do banco de dados: não há atributo de imagem, de áudio ou de identificação individual, e a ausência é verificável no próprio modelo de dados.</w:t>
      </w:r>
    </w:p>
    <w:p w14:paraId="31D3CA2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Registra-se que a plataforma tomada como referência de infraestrutura opera tecnologias de reconhecimento facial e de leitura de placas, que constituem tratamento de dado pessoal sujeito à Lei Geral de Proteção de Dados Pessoais (BRASIL, 2018). O presente trabalho não acessa, não reproduz e não depende dessas funcionalidades: a informação que o sistema consome é a descrição agregada do estado da via. Essa distinção é relevante também para a proposta de integração: o que se propõe consumir é o alerta de evento e a contagem agregada, e não o conteúdo de imagem ou a identificação de pessoas. Uma integração efetiva exigiria tratamento jurídico próprio, registrado entre as limitações.</w:t>
      </w:r>
    </w:p>
    <w:p w14:paraId="24FFE8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risco de desvio de finalidade não é hipotético, e há caso documentado que convém registrar. Em San Diego, nos Estados Unidos, cerca de três mil e trezentos postes receberam sensores e câmeras com finalidade declarada de planejamento urbano e de mobilidade, expressamente não policial. A partir de 2018 o departamento de polícia passou a acessar as imagens, chegando a cerca de quatrocentos acessos até 2020, inicialmente sob alegação de crimes graves e depois também de vandalismo e descarte irregular de resíduos; a reação pública levou à desativação do programa em 2020 e à edição de norma municipal de vigilância (PERRY, 2020). O episódio é a razão pela qual a fronteira entre dado agregado e dado de identificação, neste trabalho, é requisito de interface e não recomendação de uso.</w:t>
      </w:r>
    </w:p>
    <w:p w14:paraId="0895D2F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ressalva merece registro explícito, e não nota de rodapé. A literatura acadêmica que examina a plataforma municipal de videomonitoramento concentra-se justamente sobre o reconhecimento facial e seus efeitos discriminatórios, apontando identificação desproporcional de pessoas negras como suspeitas (OLIVEIRA; FAGUNDES; SPOLLE, 2025). Propor que outro serviço municipal consuma dados dessa plataforma sem enfrentar essa crítica seria metodologicamente frágil. A resposta deste trabalho é de projeto, e não de discurso: a especificação de integração produzida como resultado define, como requisito, que a interface publique exclusivamente descritores agregados do estado da via, e que identificadores biométricos, imagens e placas não componham o contrato de dados. A camada de </w:t>
      </w:r>
      <w:r w:rsidRPr="000F5B8B">
        <w:rPr>
          <w:lang w:val="pt-BR"/>
        </w:rPr>
        <w:lastRenderedPageBreak/>
        <w:t>decisão aqui construída não teria como consumi-los ainda que fossem oferecidos, porque suas variáveis de entrada são grandezas de via e não atributos de pessoa.</w:t>
      </w:r>
    </w:p>
    <w:p w14:paraId="76CBDFD1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4" w:name="_Toc240223154"/>
      <w:r w:rsidRPr="000F5B8B">
        <w:rPr>
          <w:lang w:val="pt-BR"/>
        </w:rPr>
        <w:t>7.9 Cronograma de execução</w:t>
      </w:r>
      <w:bookmarkEnd w:id="34"/>
    </w:p>
    <w:p w14:paraId="06563FB4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execução dispõe de seis semanas. O Quadro 9 apresenta a distribuição das atividades, com identificação do caminho crítico e do resultado mínimo assegurado em caso de atraso.</w:t>
      </w:r>
    </w:p>
    <w:p w14:paraId="35D689B9" w14:textId="77777777" w:rsidR="006B1E66" w:rsidRDefault="00000000">
      <w:pPr>
        <w:spacing w:before="260" w:after="130"/>
      </w:pPr>
      <w:r>
        <w:rPr>
          <w:sz w:val="20"/>
          <w:szCs w:val="20"/>
        </w:rPr>
        <w:t xml:space="preserve">Quadro 9 – </w:t>
      </w:r>
      <w:proofErr w:type="spellStart"/>
      <w:r>
        <w:rPr>
          <w:sz w:val="20"/>
          <w:szCs w:val="20"/>
        </w:rPr>
        <w:t>Cronograma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execução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039D2FB0" w14:textId="77777777"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E53EE" w14:textId="77777777" w:rsidR="006B1E66" w:rsidRDefault="00000000">
            <w:r>
              <w:rPr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67D25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Frente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execução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BCA4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Frente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redação</w:t>
            </w:r>
            <w:proofErr w:type="spellEnd"/>
          </w:p>
        </w:tc>
      </w:tr>
      <w:tr w:rsidR="006B1E66" w:rsidRPr="007B78AE" w14:paraId="5EAD39E6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B377F" w14:textId="77777777" w:rsidR="006B1E6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CE4B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Aquisição dos componentes, iniciada imediatamente por ser o único item de prazo externo. Levantamento documental da infraestrutura municipal e análise dos conjuntos de dados abertos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E472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Tema, problema, objetivos e justificativa</w:t>
            </w:r>
          </w:p>
        </w:tc>
      </w:tr>
      <w:tr w:rsidR="006B1E66" w14:paraId="689B0C91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3215E" w14:textId="77777777" w:rsidR="006B1E6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3F3CE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Interface de dados urbanos e transporte por mensagens em funcionamento. </w:t>
            </w:r>
            <w:proofErr w:type="spellStart"/>
            <w:r>
              <w:rPr>
                <w:sz w:val="20"/>
                <w:szCs w:val="20"/>
              </w:rPr>
              <w:t>Montagem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calibração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D0BD1" w14:textId="77777777" w:rsidR="006B1E66" w:rsidRDefault="00000000">
            <w:proofErr w:type="spellStart"/>
            <w:r>
              <w:rPr>
                <w:sz w:val="20"/>
                <w:szCs w:val="20"/>
              </w:rPr>
              <w:t>Revisão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bibliográfica</w:t>
            </w:r>
            <w:proofErr w:type="spellEnd"/>
          </w:p>
        </w:tc>
      </w:tr>
      <w:tr w:rsidR="006B1E66" w14:paraId="20840B03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E06FF" w14:textId="77777777" w:rsidR="006B1E6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F22D4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Base de regras, funções de pertinência e serviço de decisão. </w:t>
            </w:r>
            <w:proofErr w:type="spellStart"/>
            <w:r>
              <w:rPr>
                <w:sz w:val="20"/>
                <w:szCs w:val="20"/>
              </w:rPr>
              <w:t>Camada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verificação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normativa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7EFB6" w14:textId="77777777" w:rsidR="006B1E66" w:rsidRDefault="00000000">
            <w:proofErr w:type="spellStart"/>
            <w:r>
              <w:rPr>
                <w:sz w:val="20"/>
                <w:szCs w:val="20"/>
              </w:rPr>
              <w:t>Metodologia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</w:p>
        </w:tc>
      </w:tr>
      <w:tr w:rsidR="006B1E66" w:rsidRPr="007B78AE" w14:paraId="639C492A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7292B" w14:textId="77777777" w:rsidR="006B1E6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2F72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Firmware do nó, integração fim a fim, painel de demonstração e construção da suíte de cenários, incluídos os adversariais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2FF37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Infraestrutura municipal e mecanismo de decisão</w:t>
            </w:r>
          </w:p>
        </w:tc>
      </w:tr>
      <w:tr w:rsidR="006B1E66" w14:paraId="64B42D59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AFB2C9" w14:textId="77777777" w:rsidR="006B1E6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AC3C0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Verificação do invariante, medição de latência e avaliação de concordância. </w:t>
            </w:r>
            <w:proofErr w:type="spellStart"/>
            <w:r>
              <w:rPr>
                <w:sz w:val="20"/>
                <w:szCs w:val="20"/>
              </w:rPr>
              <w:t>Consolidação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especificação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integração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48AF9" w14:textId="77777777" w:rsidR="006B1E66" w:rsidRDefault="00000000">
            <w:proofErr w:type="spellStart"/>
            <w:r>
              <w:rPr>
                <w:sz w:val="20"/>
                <w:szCs w:val="20"/>
              </w:rPr>
              <w:t>Resultados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análise</w:t>
            </w:r>
            <w:proofErr w:type="spellEnd"/>
          </w:p>
        </w:tc>
      </w:tr>
      <w:tr w:rsidR="006B1E66" w14:paraId="003DB95B" w14:textId="77777777"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CA6B1" w14:textId="77777777" w:rsidR="006B1E6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3BBB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Fechamento e ensaio da apresentação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4B557" w14:textId="77777777" w:rsidR="006B1E66" w:rsidRDefault="00000000">
            <w:proofErr w:type="spellStart"/>
            <w:r>
              <w:rPr>
                <w:sz w:val="20"/>
                <w:szCs w:val="20"/>
              </w:rPr>
              <w:t>Conclusões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formatação</w:t>
            </w:r>
            <w:proofErr w:type="spellEnd"/>
          </w:p>
        </w:tc>
      </w:tr>
    </w:tbl>
    <w:p w14:paraId="5AFC7701" w14:textId="77777777" w:rsidR="006B1E66" w:rsidRDefault="00000000">
      <w:pPr>
        <w:spacing w:before="130" w:after="260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Elaborado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26E3B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caminho crítico é a integração fim a fim, na quarta semana. O levantamento documental, a análise dos dados abertos, a base de regras e o serviço de decisão não dependem do hardware e são conduzidos em paralelo, o que reduz a exposição ao atraso de entrega dos componentes.</w:t>
      </w:r>
    </w:p>
    <w:p w14:paraId="79FBF8C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Declara-se o resultado mínimo assegurado: caso a integração física não se complete no prazo, o trabalho ainda entrega a caracterização da infraestrutura municipal, o mecanismo de decisão, a camada de verificação, o resultado da </w:t>
      </w:r>
      <w:r w:rsidRPr="000F5B8B">
        <w:rPr>
          <w:lang w:val="pt-BR"/>
        </w:rPr>
        <w:lastRenderedPageBreak/>
        <w:t>verificação do invariante sobre a suíte de cenários e a especificação da interface de integração — executados sobre simulação do nó. A demonstração física e a medição de latência seriam, nessa hipótese, reportadas como não realizadas, e a diferença declarada.</w:t>
      </w:r>
    </w:p>
    <w:p w14:paraId="52840CE3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5" w:name="_Toc240223155"/>
      <w:r w:rsidRPr="000F5B8B">
        <w:rPr>
          <w:lang w:val="pt-BR"/>
        </w:rPr>
        <w:t>8 RESULTADOS ESPERADOS</w:t>
      </w:r>
      <w:bookmarkEnd w:id="35"/>
    </w:p>
    <w:p w14:paraId="2EEF409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resultado principal é um artefato: o protótipo funcional que executa o fluxo completo, do dado urbano à luz. Os demais resultados caracterizam seu comportamento e sustentam a proposta de integração.</w:t>
      </w:r>
    </w:p>
    <w:p w14:paraId="2B8E092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protótipo integrado, capaz de executar em tempo real o percurso completo — dado urbano recebido, análise pela inteligência artificial, decisão de iluminação, comando ao nó e alteração da intensidade —, com a iluminância medida exibida simultaneamente em painel. É o resultado principal e o objeto da demonstração de defesa.</w:t>
      </w:r>
    </w:p>
    <w:p w14:paraId="0301A8F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caracterização documentada da infraestrutura de iluminação, telegestão e monitoramento urbano do município de São Paulo, com identificação precisa do que existe, do que está contratado e do que falta para conectá-los. É o que sustenta a afirmação de que a proposta não demanda novo investimento em infraestrutura.</w:t>
      </w:r>
    </w:p>
    <w:p w14:paraId="71BAA02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demonstração de que a camada de verificação normativa impede a violação dos três limites da ABNT NBR 5101 em todas as decisões da suíte, incluídos os cenários adversariais. É o resultado de critério externo e, por isso, o mais robusto do trabalho.</w:t>
      </w:r>
    </w:p>
    <w:p w14:paraId="1F9EF5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especificação da interface de integração entre plataforma de monitoramento urbano e sistema de telegestão: que informação precisaria ser publicada, em que semântica e com que periodicidade, para que a iluminação pública pudesse consumi-la. É a contribuição de projeto do trabalho e o que o torna aproveitável por terceiros.</w:t>
      </w:r>
    </w:p>
    <w:p w14:paraId="3038425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base de regras e as funções de pertinência do sistema de inferência, documentadas de modo a permitir reprodução, com a origem normativa de cada regra rígida explicitada.</w:t>
      </w:r>
    </w:p>
    <w:p w14:paraId="79569F2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A latência do percurso completo, da recepção do dado à estabilização da iluminância, reportada como distribuição e discutida quanto à adequação ao regime de operação de um sistema de iluminação.</w:t>
      </w:r>
    </w:p>
    <w:p w14:paraId="0B23C1C8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suíte de cenários de avaliação, derivada de conjuntos de dados públicos municipais e documentada com o envelope esperado de cada caso, constituindo artefato reutilizável.</w:t>
      </w:r>
    </w:p>
    <w:p w14:paraId="75CDD4D1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6" w:name="_Toc240223156"/>
      <w:r w:rsidRPr="000F5B8B">
        <w:rPr>
          <w:lang w:val="pt-BR"/>
        </w:rPr>
        <w:t>9 LIMITAÇÕES DO TRABALHO</w:t>
      </w:r>
      <w:bookmarkEnd w:id="36"/>
    </w:p>
    <w:p w14:paraId="746A5AD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Os resultados deverão ser interpretados à luz das seguintes limitações, decorrentes de restrições de escopo assumidas deliberadamente.</w:t>
      </w:r>
    </w:p>
    <w:p w14:paraId="2F2C19A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Não há integração efetiva com o Smart Sampa nem com o sistema de telegestão da concessionária. Nenhum dos dois disponibiliza interface pública de programação, e o trabalho emprega interface que emula o comportamento esperado. O que se demonstra é a aptidão do sistema para consumir informação daquela natureza e a especificação do que a integração exigiria — não a interoperabilidade com aqueles sistemas específicos.</w:t>
      </w:r>
    </w:p>
    <w:p w14:paraId="49E158B6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dados públicos empregados são agregados e publicados em periodicidade que não é a de tempo real. Servem à construção de cenários realistas e à caracterização de distribuições, não à operação sobre informação corrente.</w:t>
      </w:r>
    </w:p>
    <w:p w14:paraId="651522A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envelope de decisão esperado é definido pelos autores. Onde não deriva de prescrição normativa, a avaliação de concordância mede a coerência entre a base de regras e o julgamento dos autores, e não a correção da decisão em sentido absoluto. A verificação do invariante de segurança não padece dessa limitação, por ter critério integralmente externo.</w:t>
      </w:r>
    </w:p>
    <w:p w14:paraId="76DFF12E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protótipo é um nó único, em escala reduzida e em baixa tensão de corrente contínua, não reproduzindo a potência, a altura de montagem nem a geometria fotométrica de uma luminária viária real. O que se transpõe é a arquitetura e o procedimento, não os valores medidos.</w:t>
      </w:r>
    </w:p>
    <w:p w14:paraId="0834639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A bancada não realiza verificação fotométrica normativa, e a distância entre uma coisa e outra é registrada com precisão. Para aferir uma instalação, a ABNT NBR 5101 exigiria medição sobre malha de pontos de espaçamento prescrito; cálculo da iluminância média e da uniformidade a partir dessa malha; verificação da iluminância mínima horizontal e da iluminância vertical a 1,5 m do piso, com a face do sensor orientada no sentido contrário ao trânsito; comprovação do índice de reprodução de cor da fonte; emprego de valores mantidos ao longo da vida útil, e não instantâneos; e fotômetro calibrado. Nenhuma dessas condições é satisfeita por um único sensor de estado sólido em bancada, e nenhuma é objeto deste trabalho. A medição realizada indica a correspondência entre o nível decidido e o nível entregue; não certifica conformidade fotométrica de instalação. A campanha de verificação normativa sobre ponto de luz efetivamente instalado figura entre os trabalhos futuros.</w:t>
      </w:r>
    </w:p>
    <w:p w14:paraId="5CDDE861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Considera-se uma única classe de via, derivada de um conjunto declarado de valores para os parâmetros de seleção da norma. </w:t>
      </w:r>
      <w:r>
        <w:t xml:space="preserve">Conjuntos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conduzem</w:t>
      </w:r>
      <w:proofErr w:type="spellEnd"/>
      <w:r>
        <w:t xml:space="preserve"> a classes e </w:t>
      </w:r>
      <w:proofErr w:type="spellStart"/>
      <w:r>
        <w:t>faixas</w:t>
      </w:r>
      <w:proofErr w:type="spellEnd"/>
      <w:r>
        <w:t xml:space="preserve"> </w:t>
      </w:r>
      <w:proofErr w:type="spellStart"/>
      <w:r>
        <w:t>admissíveis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>.</w:t>
      </w:r>
    </w:p>
    <w:p w14:paraId="4828BE7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instrumentos de medição da bancada são sensores de estado sólido sem calibração rastreável a padrão metrológico, com exatidão declarada pelo fabricante da ordem de vinte por cento em valor absoluto. A bancada dispõe de uma única cadeia de medição, sem verificação cruzada contra instrumento de referência. O trabalho afirma repetibilidade, monotonicidade da resposta e consistência interna da escala, e não exatidão absoluta em iluminância.</w:t>
      </w:r>
    </w:p>
    <w:p w14:paraId="5E206E7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enlace de rádio do nó é Wi-Fi, ao passo que implantações de telegestão empregam tecnologias de longo alcance e baixo consumo. A escolha não afeta a camada avaliada, por ser o protocolo de mensagens independente do meio, mas a caracterização do enlace em condições de campo permanece fora do escopo.</w:t>
      </w:r>
    </w:p>
    <w:p w14:paraId="1D39C543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 xml:space="preserve">O acionamento é feito por modulação de largura de pulso sobre fita de LED com resistores de limitação integrados, e não por regulador de corrente constante, por indisponibilidade de módulo pronto no mercado nacional em </w:t>
      </w:r>
      <w:r w:rsidRPr="000F5B8B">
        <w:rPr>
          <w:lang w:val="pt-BR"/>
        </w:rPr>
        <w:lastRenderedPageBreak/>
        <w:t>prazo compatível. A corrente do segmento varia com a tensão da fonte, e a estabilidade do fluxo fica condicionada à da fonte adotada.</w:t>
      </w:r>
    </w:p>
    <w:p w14:paraId="4C51578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base de regras é fixa. Construída a partir de prescrição normativa e de conhecimento de domínio documentado, ela não é ajustada pela operação: o sistema decide, mas não aprende. A delimitação é a mesma enunciada em 1.3 — a decisão é adaptativa às condições observadas, e não preditiva. O ajuste automático das funções de pertinência ou da própria base de regras a partir de histórico operacional, por sistemas neuro-nebulosos ou por aprendizado por reforço sujeito a restrições, exigiria uma série de operação que não existe e que este trabalho não produz, e figura entre os trabalhos futuros.</w:t>
      </w:r>
    </w:p>
    <w:p w14:paraId="6796EA98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trabalho não quantifica economia de energia, e a avaliação energética do controle proposto permanece como trabalho futuro.</w:t>
      </w:r>
    </w:p>
    <w:p w14:paraId="23B2B74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Não se contempla o controle coordenado de múltiplas luminárias em rede nem a operação em tensão de rede. Uma integração efetiva com plataforma que opere reconhecimento facial exigiria, ademais, tratamento jurídico próprio quanto à proteção de dados pessoais, não abordado aqui.</w:t>
      </w:r>
    </w:p>
    <w:p w14:paraId="1A2E653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7" w:name="_Toc240223157"/>
      <w:r w:rsidRPr="000F5B8B">
        <w:rPr>
          <w:lang w:val="pt-BR"/>
        </w:rPr>
        <w:t>10 REFERÊNCIAS BIBLIOGRÁFICAS</w:t>
      </w:r>
      <w:bookmarkEnd w:id="37"/>
    </w:p>
    <w:p w14:paraId="00ED5522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AGÊNCIA NACIONAL DE ENERGIA ELÉTRICA. </w:t>
      </w:r>
      <w:r w:rsidRPr="000F5B8B">
        <w:rPr>
          <w:b/>
          <w:bCs/>
          <w:lang w:val="pt-BR"/>
        </w:rPr>
        <w:t>Despacho nº 3.423, de 29 de novembro de 2022</w:t>
      </w:r>
      <w:r w:rsidRPr="000F5B8B">
        <w:rPr>
          <w:lang w:val="pt-BR"/>
        </w:rPr>
        <w:t>: aprova o manual de instruções do art. 474 da Resolução Normativa nº 1.000/2021, para operacionalizar o faturamento destinado à iluminação pública caso sejam instalados sistemas de gestão. Brasília: ANEEL, 2022. Disponível em: https://www.gov.br/aneel/pt-br/assuntos/iluminacao-publica. Acesso em: 12 set. 2026.</w:t>
      </w:r>
    </w:p>
    <w:p w14:paraId="2BE7B9A4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ALVES, Maria Abadia; DIAS, Ricardo Cunha; SEIXAS, Paulo Castro. Smart Cities no Brasil e em Portugal: o estado da arte. </w:t>
      </w:r>
      <w:r w:rsidRPr="000F5B8B">
        <w:rPr>
          <w:b/>
          <w:bCs/>
          <w:lang w:val="pt-BR"/>
        </w:rPr>
        <w:t>urbe. Revista Brasileira de Gestão Urbana</w:t>
      </w:r>
      <w:r w:rsidRPr="000F5B8B">
        <w:rPr>
          <w:lang w:val="pt-BR"/>
        </w:rPr>
        <w:t>, v. 11, e20190061, 2019. DOI: 10.1590/2175-3369.011.e20190061.</w:t>
      </w:r>
    </w:p>
    <w:p w14:paraId="73C99C92" w14:textId="77777777" w:rsidR="006B1E66" w:rsidRDefault="00000000">
      <w:pPr>
        <w:spacing w:after="240"/>
      </w:pPr>
      <w:r w:rsidRPr="000F5B8B">
        <w:rPr>
          <w:lang w:val="pt-BR"/>
        </w:rPr>
        <w:t xml:space="preserve">ANTHONY JNR, Bokolo. </w:t>
      </w:r>
      <w:r>
        <w:t xml:space="preserve">Enabling seamless interoperability of digital systems in smart cities using API: a systematic literature review. </w:t>
      </w:r>
      <w:r>
        <w:rPr>
          <w:b/>
          <w:bCs/>
        </w:rPr>
        <w:t>Journal of Urban Technology</w:t>
      </w:r>
      <w:r>
        <w:t>, v. 31, n. 4-5, p. 123-156, 2024. DOI: 10.1080/10630732.2024.2427543.</w:t>
      </w:r>
    </w:p>
    <w:p w14:paraId="18888A22" w14:textId="77777777" w:rsidR="006B1E66" w:rsidRPr="000F5B8B" w:rsidRDefault="00000000">
      <w:pPr>
        <w:spacing w:after="240"/>
        <w:rPr>
          <w:lang w:val="pt-BR"/>
        </w:rPr>
      </w:pPr>
      <w:r>
        <w:t xml:space="preserve">ASKOLA, Janne; KÄRHÄ, Petri; BAUMGARTNER, Hannu; PORRASMAA, Saku; IKONEN, Erkki. Effect of adaptive control on the LED street luminaire lifetime and on the lifecycle costs of a lighting installation. </w:t>
      </w:r>
      <w:r w:rsidRPr="000F5B8B">
        <w:rPr>
          <w:b/>
          <w:bCs/>
          <w:lang w:val="pt-BR"/>
        </w:rPr>
        <w:t>Lighting Research &amp; Technology</w:t>
      </w:r>
      <w:r w:rsidRPr="000F5B8B">
        <w:rPr>
          <w:lang w:val="pt-BR"/>
        </w:rPr>
        <w:t>, v. 54, n. 1, p. 75-89, 2022. DOI: 10.1177/14771535211008179.</w:t>
      </w:r>
    </w:p>
    <w:p w14:paraId="49280A99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lastRenderedPageBreak/>
        <w:t xml:space="preserve">ASSOCIAÇÃO BRASILEIRA DAS CONCESSIONÁRIAS DE ILUMINAÇÃO PÚBLICA. </w:t>
      </w:r>
      <w:r w:rsidRPr="000F5B8B">
        <w:rPr>
          <w:b/>
          <w:bCs/>
          <w:lang w:val="pt-BR"/>
        </w:rPr>
        <w:t>Censo da iluminação pública no Brasil</w:t>
      </w:r>
      <w:r w:rsidRPr="000F5B8B">
        <w:rPr>
          <w:lang w:val="pt-BR"/>
        </w:rPr>
        <w:t>: base 2023. Brasília: ABCIP, set. 2024. Elaborado a partir da Base de Dados Geográfica da Distribuidora da ANEEL. Disponível em: https://abcip.com.br/publicacoes/. Acesso em: 13 set. 2026.</w:t>
      </w:r>
    </w:p>
    <w:p w14:paraId="202B7E07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ASSOCIAÇÃO BRASILEIRA DE NORMAS TÉCNICAS. </w:t>
      </w:r>
      <w:r w:rsidRPr="000F5B8B">
        <w:rPr>
          <w:b/>
          <w:bCs/>
          <w:lang w:val="pt-BR"/>
        </w:rPr>
        <w:t>NBR 5101</w:t>
      </w:r>
      <w:r w:rsidRPr="000F5B8B">
        <w:rPr>
          <w:lang w:val="pt-BR"/>
        </w:rPr>
        <w:t>: iluminação viária – procedimentos. 4. ed. Rio de Janeiro: ABNT, 2024. Versão corrigida 2, 20 set. 2024.</w:t>
      </w:r>
    </w:p>
    <w:p w14:paraId="3F8EA258" w14:textId="77777777" w:rsidR="006B1E66" w:rsidRDefault="00000000">
      <w:pPr>
        <w:spacing w:after="240"/>
      </w:pPr>
      <w:r w:rsidRPr="000F5B8B">
        <w:rPr>
          <w:lang w:val="pt-BR"/>
        </w:rPr>
        <w:t xml:space="preserve">BELLONI, Elisa; BURATTI, Cinzia; LUNGHI, Lorenzo; MARTIRANO, Luigi. </w:t>
      </w:r>
      <w:r>
        <w:t xml:space="preserve">A new street lighting control algorithm based on forecasted traffic data for electricity consumption reduction. </w:t>
      </w:r>
      <w:r>
        <w:rPr>
          <w:b/>
          <w:bCs/>
        </w:rPr>
        <w:t>Lighting Research &amp; Technology</w:t>
      </w:r>
      <w:r>
        <w:t>, v. 56, n. 5, p. 481-501, 2024. DOI: 10.1177/14771535231194536.</w:t>
      </w:r>
    </w:p>
    <w:p w14:paraId="5DF6CE9A" w14:textId="77777777" w:rsidR="006B1E66" w:rsidRPr="000F5B8B" w:rsidRDefault="00000000">
      <w:pPr>
        <w:spacing w:after="240"/>
        <w:rPr>
          <w:lang w:val="pt-BR"/>
        </w:rPr>
      </w:pPr>
      <w:r>
        <w:t xml:space="preserve">BUYUKKINACI, Bedrettin; ONAYGIL, </w:t>
      </w:r>
      <w:proofErr w:type="spellStart"/>
      <w:r>
        <w:t>Sermin</w:t>
      </w:r>
      <w:proofErr w:type="spellEnd"/>
      <w:r>
        <w:t xml:space="preserve">; GULER, Onder; YURTSEVEN, Mehmet Berker. Road lighting automation scenarios </w:t>
      </w:r>
      <w:proofErr w:type="gramStart"/>
      <w:r>
        <w:t>depending</w:t>
      </w:r>
      <w:proofErr w:type="gramEnd"/>
      <w:r>
        <w:t xml:space="preserve"> on traffic speed and volume. </w:t>
      </w:r>
      <w:r w:rsidRPr="000F5B8B">
        <w:rPr>
          <w:b/>
          <w:bCs/>
          <w:lang w:val="pt-BR"/>
        </w:rPr>
        <w:t>Lighting Research &amp; Technology</w:t>
      </w:r>
      <w:r w:rsidRPr="000F5B8B">
        <w:rPr>
          <w:lang w:val="pt-BR"/>
        </w:rPr>
        <w:t>, v. 51, n. 6, p. 910-921, 2019. DOI: 10.1177/1477153518812536.</w:t>
      </w:r>
    </w:p>
    <w:p w14:paraId="6060D278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BRASIL. </w:t>
      </w:r>
      <w:r w:rsidRPr="000F5B8B">
        <w:rPr>
          <w:b/>
          <w:bCs/>
          <w:lang w:val="pt-BR"/>
        </w:rPr>
        <w:t>Lei nº 13.709, de 14 de agosto de 2018</w:t>
      </w:r>
      <w:r w:rsidRPr="000F5B8B">
        <w:rPr>
          <w:lang w:val="pt-BR"/>
        </w:rPr>
        <w:t>. Lei Geral de Proteção de Dados Pessoais (LGPD). Brasília: Presidência da República, 2018. Disponível em: https://www.planalto.gov.br/ccivil_03/_ato2015-2018/2018/lei/l13709.htm. Acesso em: 13 set. 2026.</w:t>
      </w:r>
    </w:p>
    <w:p w14:paraId="7D772E57" w14:textId="77777777" w:rsidR="006B1E66" w:rsidRDefault="00000000">
      <w:pPr>
        <w:spacing w:after="240"/>
      </w:pPr>
      <w:r>
        <w:t xml:space="preserve">CATLETT, Charlie E.; BECKMAN, Peter H.; SANKARAN, Rajesh; GALVIN, Kate Keahey. Array of Things: a scientific research instrument in the public way – platform design and early lessons learned. In: INTERNATIONAL WORKSHOP ON SCIENCE OF SMART CITY OPERATIONS AND PLATFORMS ENGINEERING, 2., 2017, Pittsburgh. </w:t>
      </w:r>
      <w:r>
        <w:rPr>
          <w:b/>
          <w:bCs/>
        </w:rPr>
        <w:t>Proceedings [...]</w:t>
      </w:r>
      <w:r>
        <w:t>. New York: ACM, 2017. p. 26-33. DOI: 10.1145/3063386.3063771.</w:t>
      </w:r>
    </w:p>
    <w:p w14:paraId="6039BD42" w14:textId="77777777" w:rsidR="006B1E66" w:rsidRDefault="00000000">
      <w:pPr>
        <w:spacing w:after="240"/>
      </w:pPr>
      <w:r>
        <w:t xml:space="preserve">COMMISSION INTERNATIONALE DE L'ÉCLAIRAGE. </w:t>
      </w:r>
      <w:r>
        <w:rPr>
          <w:b/>
          <w:bCs/>
        </w:rPr>
        <w:t>CIE 115:2010</w:t>
      </w:r>
      <w:r>
        <w:t>: lighting of roads for motor and pedestrian traffic. 2. ed. Viena: CIE, 2010.</w:t>
      </w:r>
    </w:p>
    <w:p w14:paraId="221E7E58" w14:textId="77777777" w:rsidR="006B1E66" w:rsidRPr="000F5B8B" w:rsidRDefault="00000000">
      <w:pPr>
        <w:spacing w:after="240"/>
        <w:rPr>
          <w:lang w:val="pt-BR"/>
        </w:rPr>
      </w:pPr>
      <w:r>
        <w:t xml:space="preserve">DIZON, Excel; PRANGGONO, Bernardi. Smart streetlights in Smart City: a case study of Sheffield. </w:t>
      </w:r>
      <w:r>
        <w:rPr>
          <w:b/>
          <w:bCs/>
        </w:rPr>
        <w:t>Journal of Ambient Intelligence and Humanized Computing</w:t>
      </w:r>
      <w:r>
        <w:t xml:space="preserve">, v. 13, n. 4, p. 2045-2060, 2022. </w:t>
      </w:r>
      <w:r w:rsidRPr="000F5B8B">
        <w:rPr>
          <w:lang w:val="pt-BR"/>
        </w:rPr>
        <w:t>DOI: 10.1007/s12652-021-02970-y.</w:t>
      </w:r>
    </w:p>
    <w:p w14:paraId="06E1C8FE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ESPRESSIF SYSTEMS. </w:t>
      </w:r>
      <w:r w:rsidRPr="000F5B8B">
        <w:rPr>
          <w:b/>
          <w:bCs/>
          <w:lang w:val="pt-BR"/>
        </w:rPr>
        <w:t>ESP32 series datasheet</w:t>
      </w:r>
      <w:r w:rsidRPr="000F5B8B">
        <w:rPr>
          <w:lang w:val="pt-BR"/>
        </w:rPr>
        <w:t>. Versão 4.3. Xangai: Espressif Systems, 2023.</w:t>
      </w:r>
    </w:p>
    <w:p w14:paraId="1EE875A4" w14:textId="77777777" w:rsidR="006B1E66" w:rsidRDefault="00000000">
      <w:pPr>
        <w:spacing w:after="240"/>
      </w:pPr>
      <w:r w:rsidRPr="000F5B8B">
        <w:rPr>
          <w:lang w:val="pt-BR"/>
        </w:rPr>
        <w:t xml:space="preserve">FRANÇA FILHO, Cleunio; TAVARES, Eduardo. </w:t>
      </w:r>
      <w:r>
        <w:t xml:space="preserve">Stochastic modeling of smart street lighting systems: maintenance models assessment. </w:t>
      </w:r>
      <w:r>
        <w:rPr>
          <w:b/>
          <w:bCs/>
        </w:rPr>
        <w:t>Computing</w:t>
      </w:r>
      <w:r>
        <w:t>, v. 107, n. 1, art. 19, 2025. DOI: 10.1007/s00607-024-01359-x.</w:t>
      </w:r>
    </w:p>
    <w:p w14:paraId="56F5E55A" w14:textId="77777777" w:rsidR="006B1E66" w:rsidRPr="000F5B8B" w:rsidRDefault="00000000">
      <w:pPr>
        <w:spacing w:after="240"/>
        <w:rPr>
          <w:lang w:val="pt-BR"/>
        </w:rPr>
      </w:pPr>
      <w:r>
        <w:t xml:space="preserve">GALIČ, Maša; GELLERT, Raphaël. Data protection law beyond identifiability? Atmospheric profiles, nudging and the </w:t>
      </w:r>
      <w:proofErr w:type="spellStart"/>
      <w:r>
        <w:t>Stratumseind</w:t>
      </w:r>
      <w:proofErr w:type="spellEnd"/>
      <w:r>
        <w:t xml:space="preserve"> Living Lab. </w:t>
      </w:r>
      <w:r>
        <w:rPr>
          <w:b/>
          <w:bCs/>
        </w:rPr>
        <w:t>Computer Law &amp; Security Review</w:t>
      </w:r>
      <w:r>
        <w:t xml:space="preserve">, v. 40, art. 105486, 2021. </w:t>
      </w:r>
      <w:r w:rsidRPr="000F5B8B">
        <w:rPr>
          <w:lang w:val="pt-BR"/>
        </w:rPr>
        <w:t>DOI: 10.1016/j.clsr.2020.105486.</w:t>
      </w:r>
    </w:p>
    <w:p w14:paraId="326C8031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HIROKI, Stella Marina Yurí. Mobilidade, participação e dados: o caso da aplicação do Waze for Cities Data na cidade de Joinville (SC). </w:t>
      </w:r>
      <w:r w:rsidRPr="000F5B8B">
        <w:rPr>
          <w:b/>
          <w:bCs/>
          <w:lang w:val="pt-BR"/>
        </w:rPr>
        <w:t>urbe. Revista Brasileira de Gestão Urbana</w:t>
      </w:r>
      <w:r w:rsidRPr="000F5B8B">
        <w:rPr>
          <w:lang w:val="pt-BR"/>
        </w:rPr>
        <w:t>, v. 13, e20200030, 2021. DOI: 10.1590/2175-3369.013.e20200030.</w:t>
      </w:r>
    </w:p>
    <w:p w14:paraId="077EB11E" w14:textId="77777777" w:rsidR="006B1E66" w:rsidRDefault="00000000">
      <w:pPr>
        <w:spacing w:after="240"/>
      </w:pPr>
      <w:r w:rsidRPr="000F5B8B">
        <w:rPr>
          <w:lang w:val="pt-BR"/>
        </w:rPr>
        <w:lastRenderedPageBreak/>
        <w:t xml:space="preserve">LIN, Jie; YU, Wei; ZHANG, Nan; YANG, Xinyu; ZHANG, Hanlin; ZHAO, Wei. </w:t>
      </w:r>
      <w:r>
        <w:t xml:space="preserve">A survey on Internet of Things: architecture, enabling technologies, security and privacy, and applications. </w:t>
      </w:r>
      <w:r>
        <w:rPr>
          <w:b/>
          <w:bCs/>
        </w:rPr>
        <w:t>IEEE Internet of Things Journal</w:t>
      </w:r>
      <w:r>
        <w:t>, v. 4, n. 5, p. 1125-1142, 2017. DOI: 10.1109/JIOT.2017.2683200.</w:t>
      </w:r>
    </w:p>
    <w:p w14:paraId="225D9328" w14:textId="77777777" w:rsidR="006B1E66" w:rsidRPr="000F5B8B" w:rsidRDefault="00000000">
      <w:pPr>
        <w:spacing w:after="240"/>
        <w:rPr>
          <w:lang w:val="pt-BR"/>
        </w:rPr>
      </w:pPr>
      <w:r>
        <w:t xml:space="preserve">MAMDANI, Ebrahim H.; ASSILIAN, Sedrak. An experiment in linguistic synthesis with a fuzzy logic controller. </w:t>
      </w:r>
      <w:r w:rsidRPr="000F5B8B">
        <w:rPr>
          <w:b/>
          <w:bCs/>
          <w:lang w:val="pt-BR"/>
        </w:rPr>
        <w:t>International Journal of Man-Machine Studies</w:t>
      </w:r>
      <w:r w:rsidRPr="000F5B8B">
        <w:rPr>
          <w:lang w:val="pt-BR"/>
        </w:rPr>
        <w:t>, v. 7, n. 1, p. 1-13, 1975.</w:t>
      </w:r>
    </w:p>
    <w:p w14:paraId="7AE33567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NIPE – NÚCLEO INTERDISCIPLINAR DE PLANEJAMENTO ENERGÉTICO. </w:t>
      </w:r>
      <w:r w:rsidRPr="000F5B8B">
        <w:rPr>
          <w:b/>
          <w:bCs/>
          <w:lang w:val="pt-BR"/>
        </w:rPr>
        <w:t>CePIL participa de cerimônia de entrega de dispositivos de telegestão para projeto de iluminação na Unicamp</w:t>
      </w:r>
      <w:r w:rsidRPr="000F5B8B">
        <w:rPr>
          <w:lang w:val="pt-BR"/>
        </w:rPr>
        <w:t>. Campinas: NIPE/Unicamp, 27 jan. 2026. Disponível em: https://www.nipe.unicamp.br/2026/01/27/cepil-participa-de-cerimonia-de-entrega-dos-dispositivos-de-telegestao/. Acesso em: 12 set. 2026.</w:t>
      </w:r>
    </w:p>
    <w:p w14:paraId="7984A261" w14:textId="77777777" w:rsidR="006B1E66" w:rsidRDefault="00000000">
      <w:pPr>
        <w:spacing w:after="240"/>
      </w:pPr>
      <w:r w:rsidRPr="000F5B8B">
        <w:rPr>
          <w:lang w:val="pt-BR"/>
        </w:rPr>
        <w:t xml:space="preserve">NOGUEIRA, Bruno César. </w:t>
      </w:r>
      <w:r w:rsidRPr="000F5B8B">
        <w:rPr>
          <w:b/>
          <w:bCs/>
          <w:lang w:val="pt-BR"/>
        </w:rPr>
        <w:t>Uma proposta de adaptação dinâmica da iluminação urbana baseada em IoT e DCOP</w:t>
      </w:r>
      <w:r w:rsidRPr="000F5B8B">
        <w:rPr>
          <w:lang w:val="pt-BR"/>
        </w:rPr>
        <w:t xml:space="preserve">. 2024. Dissertação (Mestrado) – Universidade Federal Fluminense, Niterói, 2024. Disponível na Biblioteca Digital Brasileira de Teses e Dissertações em: https://bdtd.ibict.br/vufind/Record/MB_26af3fc1de96227a6a1aa0392ba78ed0.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70566E14" w14:textId="77777777" w:rsidR="006B1E66" w:rsidRPr="000F5B8B" w:rsidRDefault="00000000">
      <w:pPr>
        <w:spacing w:after="240"/>
        <w:rPr>
          <w:lang w:val="pt-BR"/>
        </w:rPr>
      </w:pPr>
      <w:r>
        <w:t xml:space="preserve">OASIS. </w:t>
      </w:r>
      <w:r>
        <w:rPr>
          <w:b/>
          <w:bCs/>
        </w:rPr>
        <w:t>MQTT Version 5.0</w:t>
      </w:r>
      <w:r>
        <w:t xml:space="preserve">: OASIS Standard. Burlington: OASIS Open, 2019. </w:t>
      </w:r>
      <w:r w:rsidRPr="000F5B8B">
        <w:rPr>
          <w:lang w:val="pt-BR"/>
        </w:rPr>
        <w:t>Disponível em: https://docs.oasis-open.org/mqtt/mqtt/v5.0/mqtt-v5.0.html. Acesso em: 12 set. 2026.</w:t>
      </w:r>
    </w:p>
    <w:p w14:paraId="3EC9E56F" w14:textId="77777777" w:rsidR="006B1E66" w:rsidRDefault="00000000">
      <w:pPr>
        <w:spacing w:after="240"/>
      </w:pPr>
      <w:r w:rsidRPr="000F5B8B">
        <w:rPr>
          <w:lang w:val="pt-BR"/>
        </w:rPr>
        <w:t xml:space="preserve">OLIVEIRA, Cyntia Barbosa; FAGUNDES, Mari Cristina de Freitas; SPOLLE, Marcus Vinicius. Racismo digital e gestão populacional: uma análise sobre câmeras com reconhecimento facial. </w:t>
      </w:r>
      <w:r>
        <w:rPr>
          <w:b/>
          <w:bCs/>
        </w:rPr>
        <w:t>Mosaico</w:t>
      </w:r>
      <w:r>
        <w:t>, v. 17, n. 27, e1727202546, 2025. DOI: 10.12660/</w:t>
      </w:r>
      <w:proofErr w:type="gramStart"/>
      <w:r>
        <w:t>rm.v</w:t>
      </w:r>
      <w:proofErr w:type="gramEnd"/>
      <w:r>
        <w:t>17n27.2025.92355.</w:t>
      </w:r>
    </w:p>
    <w:p w14:paraId="6273AA04" w14:textId="77777777" w:rsidR="006B1E66" w:rsidRDefault="00000000">
      <w:pPr>
        <w:spacing w:after="240"/>
      </w:pPr>
      <w:r>
        <w:t xml:space="preserve">PERRY, Tekla S. Cops tap smart streetlights, sparking controversy and legislation. </w:t>
      </w:r>
      <w:r w:rsidRPr="000F5B8B">
        <w:rPr>
          <w:b/>
          <w:bCs/>
          <w:lang w:val="pt-BR"/>
        </w:rPr>
        <w:t>IEEE Spectrum</w:t>
      </w:r>
      <w:r w:rsidRPr="000F5B8B">
        <w:rPr>
          <w:lang w:val="pt-BR"/>
        </w:rPr>
        <w:t xml:space="preserve">, 8 ago. 2020. Disponível em: https://spectrum.ieee.org/cops-smart-street-lights.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0A4E3B5D" w14:textId="77777777" w:rsidR="006B1E66" w:rsidRDefault="00000000">
      <w:pPr>
        <w:spacing w:after="240"/>
      </w:pPr>
      <w:r>
        <w:t xml:space="preserve">PICKERING, Lynn; COHEN, Kelly; DE BAETS, Bernard. A narrative review on the interpretability of fuzzy rule-based models from a modern interpretable machine learning perspective. </w:t>
      </w:r>
      <w:r>
        <w:rPr>
          <w:b/>
          <w:bCs/>
        </w:rPr>
        <w:t>International Journal of Fuzzy Systems</w:t>
      </w:r>
      <w:r>
        <w:t>, v. 28, n. 4, p. 1313-1332, 2026. DOI: 10.1007/s40815-025-02022-z.</w:t>
      </w:r>
    </w:p>
    <w:p w14:paraId="76482571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REIA, Jess; CRUZ, Luã. Cidades inteligentes no Brasil: conexões entre poder corporativo, direitos e engajamento cívico. </w:t>
      </w:r>
      <w:r w:rsidRPr="000F5B8B">
        <w:rPr>
          <w:b/>
          <w:bCs/>
          <w:lang w:val="pt-BR"/>
        </w:rPr>
        <w:t>Cadernos Metrópole</w:t>
      </w:r>
      <w:r w:rsidRPr="000F5B8B">
        <w:rPr>
          <w:lang w:val="pt-BR"/>
        </w:rPr>
        <w:t>, v. 25, n. 57, p. 467-490, 2023. DOI: 10.1590/2236-9996.2023-5705.</w:t>
      </w:r>
    </w:p>
    <w:p w14:paraId="48D144E7" w14:textId="77777777" w:rsidR="006B1E66" w:rsidRDefault="00000000">
      <w:pPr>
        <w:spacing w:after="240"/>
      </w:pPr>
      <w:r w:rsidRPr="000F5B8B">
        <w:rPr>
          <w:lang w:val="pt-BR"/>
        </w:rPr>
        <w:t xml:space="preserve">RIBEIRO, Maria Carolina Hernandez. </w:t>
      </w:r>
      <w:r w:rsidRPr="000F5B8B">
        <w:rPr>
          <w:b/>
          <w:bCs/>
          <w:lang w:val="pt-BR"/>
        </w:rPr>
        <w:t>Projeto de iluminação pública da Unicamp prevê redução de custos e de consumo energético</w:t>
      </w:r>
      <w:r w:rsidRPr="000F5B8B">
        <w:rPr>
          <w:lang w:val="pt-BR"/>
        </w:rPr>
        <w:t xml:space="preserve">. Campinas: Portal Unicamp, 28 jan. 2026. Disponível em: https://www.unicamp.br/noticias/2026/01/28/projeto-de-iluminacao-publica-da-unicamp-preve-reducao-de-custos-e-de-consumo-energetico/.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12 set. 2026.</w:t>
      </w:r>
    </w:p>
    <w:p w14:paraId="1F4D3EA4" w14:textId="77777777" w:rsidR="006B1E66" w:rsidRDefault="00000000">
      <w:pPr>
        <w:spacing w:after="240"/>
      </w:pPr>
      <w:r>
        <w:lastRenderedPageBreak/>
        <w:t xml:space="preserve">RUDIN, Cynthia. Stop explaining black box machine learning models for </w:t>
      </w:r>
      <w:proofErr w:type="gramStart"/>
      <w:r>
        <w:t>high stakes</w:t>
      </w:r>
      <w:proofErr w:type="gramEnd"/>
      <w:r>
        <w:t xml:space="preserve"> decisions and use interpretable models instead. </w:t>
      </w:r>
      <w:r>
        <w:rPr>
          <w:b/>
          <w:bCs/>
        </w:rPr>
        <w:t>Nature Machine Intelligence</w:t>
      </w:r>
      <w:r>
        <w:t>, v. 1, n. 5, p. 206-215, 2019. DOI: 10.1038/s42256-019-0048-x.</w:t>
      </w:r>
    </w:p>
    <w:p w14:paraId="7168E28E" w14:textId="77777777" w:rsidR="006B1E66" w:rsidRPr="000F5B8B" w:rsidRDefault="00000000">
      <w:pPr>
        <w:spacing w:after="240"/>
        <w:rPr>
          <w:lang w:val="pt-BR"/>
        </w:rPr>
      </w:pPr>
      <w:r>
        <w:t xml:space="preserve">SANCHEZ, Luis; MUÑOZ, Luis; GALACHE, José Antonio; SOTRES, Pablo; SANTANA, Juan R.; GUTIERREZ, Veronica; RAMDHANY, Rasheed; GLUHAK, Alex; KRCO, Srdjan; THEODORIDIS, Evangelos; PFISTERER, Dennis. </w:t>
      </w:r>
      <w:proofErr w:type="spellStart"/>
      <w:r>
        <w:t>SmartSantander</w:t>
      </w:r>
      <w:proofErr w:type="spellEnd"/>
      <w:r>
        <w:t xml:space="preserve">: IoT experimentation over a smart city testbed. </w:t>
      </w:r>
      <w:r>
        <w:rPr>
          <w:b/>
          <w:bCs/>
        </w:rPr>
        <w:t>Computer Networks</w:t>
      </w:r>
      <w:r>
        <w:t xml:space="preserve">, v. 61, p. 217-238, 2014. </w:t>
      </w:r>
      <w:r w:rsidRPr="000F5B8B">
        <w:rPr>
          <w:lang w:val="pt-BR"/>
        </w:rPr>
        <w:t>DOI: 10.1016/j.bjp.2013.12.020.</w:t>
      </w:r>
    </w:p>
    <w:p w14:paraId="5FC85EA4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Contrato de Concessão nº 003/SMSO/2018</w:t>
      </w:r>
      <w:r w:rsidRPr="000F5B8B">
        <w:rPr>
          <w:lang w:val="pt-BR"/>
        </w:rPr>
        <w:t>: parceria público-privada na modalidade de concessão administrativa para modernização, otimização, expansão, operação, manutenção e controle remoto e em tempo real da infraestrutura da rede de iluminação pública do Município de São Paulo. São Paulo: Prefeitura do Município de São Paulo, 2018a. Originado da Concorrência Internacional nº 01/SES/2015. Contrato e termos aditivos disponíveis em: https://prefeitura.sp.gov.br/web/spregula/iluminacao_publica/contratos/. Acesso em: 13 set. 2026.</w:t>
      </w:r>
    </w:p>
    <w:p w14:paraId="24E3999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Anexo III do Contrato – Caderno de Encargos da Concessionária</w:t>
      </w:r>
      <w:r w:rsidRPr="000F5B8B">
        <w:rPr>
          <w:lang w:val="pt-BR"/>
        </w:rPr>
        <w:t>. Concorrência Internacional nº 01/SES/2015. São Paulo: Secretaria Municipal de Serviços, 2015. Edital republicado e seus anexos disponíveis em: https://prefeitura.sp.gov.br/web/spregula/w/iluminacao_publica/noticias/206645. Acesso em: 13 set. 2026.</w:t>
      </w:r>
    </w:p>
    <w:p w14:paraId="4A86F6F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Prefeitura assina contrato com consórcio responsável pela modernização da iluminação pública</w:t>
      </w:r>
      <w:r w:rsidRPr="000F5B8B">
        <w:rPr>
          <w:lang w:val="pt-BR"/>
        </w:rPr>
        <w:t>. São Paulo: Prefeitura do Município de São Paulo, 2018b. Disponível em: https://prefeitura.sp.gov.br/w/noticia/prefeitura-assina-contrato-com-consorcio-responsavel-pela-modernizacao-da-iluminacao-publica. Acesso em: 12 set. 2026.</w:t>
      </w:r>
    </w:p>
    <w:p w14:paraId="36BC35EC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Prefeitura avança na modernização com LED da rede de iluminação pública de São Paulo</w:t>
      </w:r>
      <w:r w:rsidRPr="000F5B8B">
        <w:rPr>
          <w:lang w:val="pt-BR"/>
        </w:rPr>
        <w:t>. São Paulo: Prefeitura do Município de São Paulo, 8 out. 2021. Disponível em: https://prefeitura.sp.gov.br/w/noticia/prefeitura-avanca-na-modernizacao-com-led-da-rede-de-iluminacao-publica-de-sao-paulo. Acesso em: 13 set. 2026.</w:t>
      </w:r>
    </w:p>
    <w:p w14:paraId="6D6D655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Programa Smart Sampa atinge meta para 2025 e já soma 40 mil câmeras integradas</w:t>
      </w:r>
      <w:r w:rsidRPr="000F5B8B">
        <w:rPr>
          <w:lang w:val="pt-BR"/>
        </w:rPr>
        <w:t>. São Paulo: Secretaria Municipal de Segurança Urbana, 19 set. 2025. Disponível em: https://prefeitura.sp.gov.br/web/seguranca_urbana/w/programa-smart-sampa-atinge-meta-para-2025-e-já-soma-40-mil-câmeras-integradas-ao-maior-sistema-de-monitoramento-da-américa-latina. Acesso em: 13 set. 2026.</w:t>
      </w:r>
    </w:p>
    <w:p w14:paraId="18D4B25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Termo de Referência – Plataforma Smart Sampa (Anexo A)</w:t>
      </w:r>
      <w:r w:rsidRPr="000F5B8B">
        <w:rPr>
          <w:lang w:val="pt-BR"/>
        </w:rPr>
        <w:t>. São Paulo: Secretaria Municipal de Segurança Urbana, 2022. Versão submetida a consulta pública virtual entre 12 e 31 de agosto de 2022, na plataforma Participe+. Anexos II, IV, V e VIII. Disponível em: https://participemais.prefeitura.sp.gov.br/legislation/processes/209/topics. Acesso em: 13 set. 2026.</w:t>
      </w:r>
    </w:p>
    <w:p w14:paraId="32C97178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lastRenderedPageBreak/>
        <w:t xml:space="preserve">SÃO PAULO (Município). </w:t>
      </w:r>
      <w:r w:rsidRPr="000F5B8B">
        <w:rPr>
          <w:b/>
          <w:bCs/>
          <w:lang w:val="pt-BR"/>
        </w:rPr>
        <w:t>Termo de Contrato nº 032/SMSU/2023</w:t>
      </w:r>
      <w:r w:rsidRPr="000F5B8B">
        <w:rPr>
          <w:lang w:val="pt-BR"/>
        </w:rPr>
        <w:t>: Programa Smart Sampa. Contratada: Consórcio Smart City SP. São Paulo: Secretaria Municipal de Segurança Urbana, 7 ago. 2023. Originado do Pregão Eletrônico nº 079/SMSU/2022, processo 6029.2021/0015253-1. Disponível em: https://prefeitura.sp.gov.br/web/seguranca_urbana/w/menu/366662. Acesso em: 13 set. 2026.</w:t>
      </w:r>
    </w:p>
    <w:p w14:paraId="7512CA3A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Portal de dados abertos da cidade de São Paulo</w:t>
      </w:r>
      <w:r w:rsidRPr="000F5B8B">
        <w:rPr>
          <w:lang w:val="pt-BR"/>
        </w:rPr>
        <w:t>. São Paulo: Prefeitura do Município de São Paulo, 2026. Disponível em: https://dados.prefeitura.sp.gov.br/. Acesso em: 12 set. 2026.</w:t>
      </w:r>
    </w:p>
    <w:p w14:paraId="6CE517C4" w14:textId="77777777" w:rsidR="006B1E66" w:rsidRDefault="00000000">
      <w:pPr>
        <w:spacing w:after="240"/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Termos de aditamento ao Contrato de Concessão nº 003/SMSO/2018</w:t>
      </w:r>
      <w:r w:rsidRPr="000F5B8B">
        <w:rPr>
          <w:lang w:val="pt-BR"/>
        </w:rPr>
        <w:t xml:space="preserve">. São Paulo: SP Regula – Agência Reguladora de Serviços Públicos do Município de São Paulo, 2019-2022. Disponível em: https://prefeitura.sp.gov.br/web/spregula/iluminacao_publica/contratos/.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2BCDAE6B" w14:textId="77777777" w:rsidR="006B1E66" w:rsidRDefault="00000000">
      <w:pPr>
        <w:spacing w:after="240"/>
      </w:pPr>
      <w:r>
        <w:t xml:space="preserve">ZADEH, Lotfi A. Fuzzy sets. </w:t>
      </w:r>
      <w:r>
        <w:rPr>
          <w:b/>
          <w:bCs/>
        </w:rPr>
        <w:t>Information and Control</w:t>
      </w:r>
      <w:r>
        <w:t>, v. 8, n. 3, p. 338-353, 1965.</w:t>
      </w:r>
    </w:p>
    <w:p w14:paraId="0CA90E39" w14:textId="77777777" w:rsidR="006B1E66" w:rsidRDefault="00000000">
      <w:r>
        <w:br w:type="page"/>
      </w:r>
    </w:p>
    <w:p w14:paraId="4C9361E5" w14:textId="77777777" w:rsidR="006B1E66" w:rsidRPr="000F5B8B" w:rsidRDefault="00000000">
      <w:pPr>
        <w:spacing w:after="480" w:line="360" w:lineRule="auto"/>
        <w:jc w:val="center"/>
        <w:rPr>
          <w:lang w:val="pt-BR"/>
        </w:rPr>
      </w:pPr>
      <w:r w:rsidRPr="000F5B8B">
        <w:rPr>
          <w:b/>
          <w:bCs/>
          <w:i/>
          <w:iCs/>
          <w:lang w:val="pt-BR"/>
        </w:rPr>
        <w:lastRenderedPageBreak/>
        <w:t>COMPONENTES DO GRUPO</w:t>
      </w:r>
    </w:p>
    <w:p w14:paraId="4D1F691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b/>
          <w:bCs/>
          <w:i/>
          <w:iCs/>
          <w:lang w:val="pt-BR"/>
        </w:rPr>
        <w:t>RA</w:t>
      </w:r>
      <w:r w:rsidRPr="000F5B8B">
        <w:rPr>
          <w:b/>
          <w:bCs/>
          <w:i/>
          <w:iCs/>
          <w:lang w:val="pt-BR"/>
        </w:rPr>
        <w:tab/>
        <w:t>NOME</w:t>
      </w:r>
    </w:p>
    <w:p w14:paraId="490F0AC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N309EC4</w:t>
      </w:r>
      <w:r w:rsidRPr="000F5B8B">
        <w:rPr>
          <w:lang w:val="pt-BR"/>
        </w:rPr>
        <w:tab/>
        <w:t>Bruno Bonavigo Dacal</w:t>
      </w:r>
    </w:p>
    <w:p w14:paraId="611CED9F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N090758</w:t>
      </w:r>
      <w:r w:rsidRPr="000F5B8B">
        <w:rPr>
          <w:lang w:val="pt-BR"/>
        </w:rPr>
        <w:tab/>
        <w:t>Lucas de Araujo Vergara</w:t>
      </w:r>
    </w:p>
    <w:p w14:paraId="2DD4E699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N083DG1</w:t>
      </w:r>
      <w:r w:rsidRPr="000F5B8B">
        <w:rPr>
          <w:lang w:val="pt-BR"/>
        </w:rPr>
        <w:tab/>
        <w:t>Vitor Oliveira dos Santos</w:t>
      </w:r>
    </w:p>
    <w:p w14:paraId="5B9F3C65" w14:textId="77777777" w:rsidR="006B1E66" w:rsidRDefault="00000000">
      <w:pPr>
        <w:tabs>
          <w:tab w:val="left" w:pos="3600"/>
        </w:tabs>
        <w:spacing w:after="360" w:line="360" w:lineRule="auto"/>
      </w:pPr>
      <w:r>
        <w:t>_______________</w:t>
      </w:r>
      <w:r>
        <w:tab/>
        <w:t>_________________________________</w:t>
      </w:r>
    </w:p>
    <w:sectPr w:rsidR="006B1E66">
      <w:head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E79F" w14:textId="77777777" w:rsidR="00BE3F90" w:rsidRDefault="00BE3F90">
      <w:r>
        <w:separator/>
      </w:r>
    </w:p>
  </w:endnote>
  <w:endnote w:type="continuationSeparator" w:id="0">
    <w:p w14:paraId="5AFF5379" w14:textId="77777777" w:rsidR="00BE3F90" w:rsidRDefault="00BE3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0BB5" w14:textId="77777777" w:rsidR="00BE3F90" w:rsidRDefault="00BE3F90">
      <w:r>
        <w:separator/>
      </w:r>
    </w:p>
  </w:footnote>
  <w:footnote w:type="continuationSeparator" w:id="0">
    <w:p w14:paraId="05133BD0" w14:textId="77777777" w:rsidR="00BE3F90" w:rsidRDefault="00BE3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8C03" w14:textId="01E5D7CC" w:rsidR="006B1E66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F5B8B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2450"/>
    <w:multiLevelType w:val="hybridMultilevel"/>
    <w:tmpl w:val="B77E0128"/>
    <w:lvl w:ilvl="0" w:tplc="C8DEA6BA">
      <w:start w:val="1"/>
      <w:numFmt w:val="bullet"/>
      <w:lvlText w:val="•"/>
      <w:lvlJc w:val="left"/>
      <w:pPr>
        <w:ind w:left="1134" w:hanging="425"/>
      </w:pPr>
    </w:lvl>
    <w:lvl w:ilvl="1" w:tplc="AF02608C">
      <w:numFmt w:val="decimal"/>
      <w:lvlText w:val=""/>
      <w:lvlJc w:val="left"/>
    </w:lvl>
    <w:lvl w:ilvl="2" w:tplc="56B4BA2E">
      <w:numFmt w:val="decimal"/>
      <w:lvlText w:val=""/>
      <w:lvlJc w:val="left"/>
    </w:lvl>
    <w:lvl w:ilvl="3" w:tplc="1A523744">
      <w:numFmt w:val="decimal"/>
      <w:lvlText w:val=""/>
      <w:lvlJc w:val="left"/>
    </w:lvl>
    <w:lvl w:ilvl="4" w:tplc="B080980A">
      <w:numFmt w:val="decimal"/>
      <w:lvlText w:val=""/>
      <w:lvlJc w:val="left"/>
    </w:lvl>
    <w:lvl w:ilvl="5" w:tplc="45924C38">
      <w:numFmt w:val="decimal"/>
      <w:lvlText w:val=""/>
      <w:lvlJc w:val="left"/>
    </w:lvl>
    <w:lvl w:ilvl="6" w:tplc="916A28F6">
      <w:numFmt w:val="decimal"/>
      <w:lvlText w:val=""/>
      <w:lvlJc w:val="left"/>
    </w:lvl>
    <w:lvl w:ilvl="7" w:tplc="B942C8B0">
      <w:numFmt w:val="decimal"/>
      <w:lvlText w:val=""/>
      <w:lvlJc w:val="left"/>
    </w:lvl>
    <w:lvl w:ilvl="8" w:tplc="839ECD50">
      <w:numFmt w:val="decimal"/>
      <w:lvlText w:val=""/>
      <w:lvlJc w:val="left"/>
    </w:lvl>
  </w:abstractNum>
  <w:abstractNum w:abstractNumId="1" w15:restartNumberingAfterBreak="0">
    <w:nsid w:val="1CF8138C"/>
    <w:multiLevelType w:val="hybridMultilevel"/>
    <w:tmpl w:val="4F664A48"/>
    <w:lvl w:ilvl="0" w:tplc="4176DFC2">
      <w:start w:val="1"/>
      <w:numFmt w:val="bullet"/>
      <w:lvlText w:val="●"/>
      <w:lvlJc w:val="left"/>
      <w:pPr>
        <w:ind w:left="720" w:hanging="360"/>
      </w:pPr>
    </w:lvl>
    <w:lvl w:ilvl="1" w:tplc="AD506968">
      <w:start w:val="1"/>
      <w:numFmt w:val="bullet"/>
      <w:lvlText w:val="○"/>
      <w:lvlJc w:val="left"/>
      <w:pPr>
        <w:ind w:left="1440" w:hanging="360"/>
      </w:pPr>
    </w:lvl>
    <w:lvl w:ilvl="2" w:tplc="2F589BDE">
      <w:start w:val="1"/>
      <w:numFmt w:val="bullet"/>
      <w:lvlText w:val="■"/>
      <w:lvlJc w:val="left"/>
      <w:pPr>
        <w:ind w:left="2160" w:hanging="360"/>
      </w:pPr>
    </w:lvl>
    <w:lvl w:ilvl="3" w:tplc="1FDCB1A8">
      <w:start w:val="1"/>
      <w:numFmt w:val="bullet"/>
      <w:lvlText w:val="●"/>
      <w:lvlJc w:val="left"/>
      <w:pPr>
        <w:ind w:left="2880" w:hanging="360"/>
      </w:pPr>
    </w:lvl>
    <w:lvl w:ilvl="4" w:tplc="2BE8F312">
      <w:start w:val="1"/>
      <w:numFmt w:val="bullet"/>
      <w:lvlText w:val="○"/>
      <w:lvlJc w:val="left"/>
      <w:pPr>
        <w:ind w:left="3600" w:hanging="360"/>
      </w:pPr>
    </w:lvl>
    <w:lvl w:ilvl="5" w:tplc="B7EA2B4A">
      <w:start w:val="1"/>
      <w:numFmt w:val="bullet"/>
      <w:lvlText w:val="■"/>
      <w:lvlJc w:val="left"/>
      <w:pPr>
        <w:ind w:left="4320" w:hanging="360"/>
      </w:pPr>
    </w:lvl>
    <w:lvl w:ilvl="6" w:tplc="18E68E20">
      <w:start w:val="1"/>
      <w:numFmt w:val="bullet"/>
      <w:lvlText w:val="●"/>
      <w:lvlJc w:val="left"/>
      <w:pPr>
        <w:ind w:left="5040" w:hanging="360"/>
      </w:pPr>
    </w:lvl>
    <w:lvl w:ilvl="7" w:tplc="C43E377A">
      <w:start w:val="1"/>
      <w:numFmt w:val="bullet"/>
      <w:lvlText w:val="●"/>
      <w:lvlJc w:val="left"/>
      <w:pPr>
        <w:ind w:left="5760" w:hanging="360"/>
      </w:pPr>
    </w:lvl>
    <w:lvl w:ilvl="8" w:tplc="923200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65A16"/>
    <w:multiLevelType w:val="hybridMultilevel"/>
    <w:tmpl w:val="B1408194"/>
    <w:lvl w:ilvl="0" w:tplc="685E62BC">
      <w:start w:val="1"/>
      <w:numFmt w:val="lowerLetter"/>
      <w:lvlText w:val="%1)"/>
      <w:lvlJc w:val="left"/>
      <w:pPr>
        <w:ind w:left="1134" w:hanging="425"/>
      </w:pPr>
    </w:lvl>
    <w:lvl w:ilvl="1" w:tplc="599ADBD2">
      <w:numFmt w:val="decimal"/>
      <w:lvlText w:val=""/>
      <w:lvlJc w:val="left"/>
    </w:lvl>
    <w:lvl w:ilvl="2" w:tplc="80409778">
      <w:numFmt w:val="decimal"/>
      <w:lvlText w:val=""/>
      <w:lvlJc w:val="left"/>
    </w:lvl>
    <w:lvl w:ilvl="3" w:tplc="76669430">
      <w:numFmt w:val="decimal"/>
      <w:lvlText w:val=""/>
      <w:lvlJc w:val="left"/>
    </w:lvl>
    <w:lvl w:ilvl="4" w:tplc="8DFA44DA">
      <w:numFmt w:val="decimal"/>
      <w:lvlText w:val=""/>
      <w:lvlJc w:val="left"/>
    </w:lvl>
    <w:lvl w:ilvl="5" w:tplc="AD2E4106">
      <w:numFmt w:val="decimal"/>
      <w:lvlText w:val=""/>
      <w:lvlJc w:val="left"/>
    </w:lvl>
    <w:lvl w:ilvl="6" w:tplc="E9DA0D32">
      <w:numFmt w:val="decimal"/>
      <w:lvlText w:val=""/>
      <w:lvlJc w:val="left"/>
    </w:lvl>
    <w:lvl w:ilvl="7" w:tplc="B5669E76">
      <w:numFmt w:val="decimal"/>
      <w:lvlText w:val=""/>
      <w:lvlJc w:val="left"/>
    </w:lvl>
    <w:lvl w:ilvl="8" w:tplc="8E3868DE">
      <w:numFmt w:val="decimal"/>
      <w:lvlText w:val=""/>
      <w:lvlJc w:val="left"/>
    </w:lvl>
  </w:abstractNum>
  <w:num w:numId="1" w16cid:durableId="1135174018">
    <w:abstractNumId w:val="1"/>
    <w:lvlOverride w:ilvl="0">
      <w:startOverride w:val="1"/>
    </w:lvlOverride>
  </w:num>
  <w:num w:numId="2" w16cid:durableId="1531604903">
    <w:abstractNumId w:val="0"/>
    <w:lvlOverride w:ilvl="0">
      <w:startOverride w:val="1"/>
    </w:lvlOverride>
  </w:num>
  <w:num w:numId="3" w16cid:durableId="20191138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E66"/>
    <w:rsid w:val="000F5B8B"/>
    <w:rsid w:val="006B1E66"/>
    <w:rsid w:val="006C013E"/>
    <w:rsid w:val="007B78AE"/>
    <w:rsid w:val="009E28C2"/>
    <w:rsid w:val="00BE3F90"/>
    <w:rsid w:val="00C0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AF59"/>
  <w15:docId w15:val="{4E7188AB-76FC-4733-8D33-717B9482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F5B8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F5B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5B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5B8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413C5-9B04-4900-8CCF-13CDB2A7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16285</Words>
  <Characters>92830</Characters>
  <Application>Microsoft Office Word</Application>
  <DocSecurity>0</DocSecurity>
  <Lines>773</Lines>
  <Paragraphs>217</Paragraphs>
  <ScaleCrop>false</ScaleCrop>
  <Company/>
  <LinksUpToDate>false</LinksUpToDate>
  <CharactersWithSpaces>108898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Oliveira</cp:lastModifiedBy>
  <cp:revision>3</cp:revision>
  <dcterms:created xsi:type="dcterms:W3CDTF">2026-09-13T22:13:00Z</dcterms:created>
  <dcterms:modified xsi:type="dcterms:W3CDTF">2026-09-13T23:18:00Z</dcterms:modified>
</cp:coreProperties>
</file>