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 xml:space="preserve">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 xml:space="preserve">O terceiro é técnico. </w:t>
      </w:r>
      <w:r>
        <w:rPr>
          <w:lang w:val="pt-BR"/>
        </w:rPr>
        <w:t xml:space="preserve">Decidir sob informação imprecisa é problema legítimo de inteligência artificial: as variáveis urbanas chegam parcialmente verdadeiras e em conflito, e precisam ser compostas numa saída única. O trabalho implementa essa composição por inferência nebulosa e a confronta com uma tabela de decisão com as mesmas regras (5.6).</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 xml:space="preserve">Uma terceira exceção, mais restrita, </w:t>
      </w:r>
      <w:r>
        <w:rPr>
          <w:lang w:val="pt-BR"/>
        </w:rPr>
        <w:t xml:space="preserve">alcança uma fonte nominalmente identificada: a publicação normativa</w:t>
      </w:r>
      <w:r>
        <w:rPr>
          <w:lang w:val="pt-BR"/>
        </w:rPr>
        <w:t xml:space="preserve"> da Commission Internationale de l'Éclairage sobre iluminação viária, de 2010: documento técnico normativo não se avalia pela data de publicação, e sim pela vigência, e a edição citada é a que permanece em vigor.</w:t>
      </w:r>
      <w:r>
        <w:rPr>
          <w:lang w:val="pt-BR"/>
        </w:rPr>
        <w:t xml:space="preserve"> Dela não se extrai</w:t>
      </w:r>
      <w:r>
        <w:rPr>
          <w:lang w:val="pt-BR"/>
        </w:rPr>
        <w:t xml:space="preserve">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r>
        <w:rPr>
          <w:lang w:val="pt-BR"/>
        </w:rPr>
        <w:t xml:space="preserve">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w:t>
      </w:r>
      <w:r>
        <w:rPr>
          <w:lang w:val="pt-BR"/>
        </w:rPr>
        <w:t xml:space="preserve">como obstáculo à integração, e a especificação da interface como o instrumento pelo qual esse isolamento se resolve.</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 xml:space="preserve">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w:t>
      </w:r>
      <w:r>
        <w:rPr>
          <w:lang w:val="pt-BR"/>
        </w:rPr>
        <w:t xml:space="preserve">cerca de 90% do parque convertido (SÃO PAULO, 2021), é exceção — e é por ser exceção que constitui o caso em que a pergunta deste trabalho pode ser formulada sobre parque já convertido.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 xml:space="preserve">618.355 pontos de luz na licitação, dos quais 535.713 contratados para substituição por tecnologia de estado sólido; 662.945 pontos no cadastro georreferenciado municipal, cada um com placa e coordenadas, na carga de julho de 2026; </w:t>
            </w:r>
            <w:r>
              <w:rPr>
                <w:sz w:val="20"/>
                <w:szCs w:val="20"/>
                <w:lang w:val="pt-BR"/>
              </w:rPr>
              <w:t xml:space="preserve">cerca de 90% do parque convertido em 2021</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mas não há registro público de que ela opere</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 xml:space="preserve">Portal de dados abertos e cadastro georreferenciado (GeoSampa), com os pontos de iluminação e os segmentos de logradouro</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 xml:space="preserve">Não publicam contagem de pedestres por via (3.6)</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iluminação adaptativa. O emprego de dados do ambiente urbano como entrada da decisão </w:t>
      </w:r>
      <w:r>
        <w:rPr>
          <w:lang w:val="pt-BR"/>
        </w:rPr>
        <w:t xml:space="preserve">segue, portanto, essa recomendação.</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 xml:space="preserve">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w:t>
      </w:r>
      <w:r>
        <w:rPr>
          <w:lang w:val="pt-BR"/>
        </w:rPr>
        <w:t xml:space="preserve">derivadas da distribuição observada nos dados por critério declarado,</w:t>
      </w:r>
      <w:r>
        <w:rPr>
          <w:lang w:val="pt-BR"/>
        </w:rPr>
        <w:t xml:space="preserve"> conforme se especifica em 3.7, e cada regra terá origem declarada — </w:t>
      </w:r>
      <w:r>
        <w:rPr>
          <w:lang w:val="pt-BR"/>
        </w:rPr>
        <w:t xml:space="preserve">prescrição normativa ou critério de projeto dos autores.</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w:t>
      </w:r>
      <w:r>
        <w:rPr>
          <w:lang w:val="pt-BR"/>
        </w:rPr>
        <w:t xml:space="preserve">dados de câmeras e de sensores acústicos alimentam perfis que acionam cenários dinâmicos de iluminação</w:t>
      </w:r>
      <w:r>
        <w:rPr>
          <w:lang w:val="pt-BR"/>
        </w:rPr>
        <w:t xml:space="preserve">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w:t>
      </w:r>
      <w:r>
        <w:rPr>
          <w:lang w:val="pt-BR"/>
        </w:rPr>
        <w:t xml:space="preserve">confronta o nível pretendido com o piso extraído da ABNT NBR 5101 e corrige a decisão antes de emiti-la, registrando a correção; a taxa máxima de decréscimo segue com o comando e é aplicada pelo nó (3.7).</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 xml:space="preserve">Nó de iluminação. Microcontrolador ESP32 que recebe o comando por MQTT, ajusta a intensidade da luminária por modulação por largura de pulso e devolve a iluminância medida </w:t>
      </w:r>
      <w:r>
        <w:rPr>
          <w:lang w:val="pt-BR"/>
        </w:rPr>
        <w:t xml:space="preserve">no plano de medição</w:t>
      </w:r>
      <w:r>
        <w:rPr>
          <w:lang w:val="pt-BR"/>
        </w:rPr>
        <w:t xml:space="preserve">,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w:t>
      </w:r>
      <w:r>
        <w:rPr>
          <w:lang w:val="pt-BR"/>
        </w:rPr>
        <w:t xml:space="preserve">sete estão contratados ou normalizados</w:t>
      </w:r>
      <w:r>
        <w:rPr>
          <w:lang w:val="pt-BR"/>
        </w:rPr>
        <w:t xml:space="preserve">,</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w:t>
      </w:r>
      <w:r>
        <w:rPr>
          <w:lang w:val="pt-BR"/>
        </w:rPr>
        <w:t xml:space="preserve">fixado por cinco regras</w:t>
      </w:r>
      <w:r>
        <w:rPr>
          <w:lang w:val="pt-BR"/>
        </w:rPr>
        <w:t xml:space="preserve">.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w:t>
            </w:r>
            <w:r>
              <w:rPr>
                <w:sz w:val="20"/>
                <w:szCs w:val="20"/>
                <w:lang w:val="pt-BR"/>
              </w:rPr>
              <w:t xml:space="preserve">não iluminância; qualquer</w:t>
            </w:r>
            <w:r>
              <w:rPr>
                <w:sz w:val="20"/>
                <w:szCs w:val="20"/>
                <w:lang w:val="pt-BR"/>
              </w:rPr>
              <w:t xml:space="preserve">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w:t>
      </w:r>
      <w:r>
        <w:rPr>
          <w:lang w:val="pt-BR"/>
        </w:rPr>
        <w:t xml:space="preserve">a iluminação plena da classe e o piso de atenuação ficam abaixo do ciclo de trabalho pleno — na sessão adotada, em 65,6 % e 34,0 % do ciclo (3.4.4) —, de modo</w:t>
      </w:r>
      <w:r>
        <w:rPr>
          <w:lang w:val="pt-BR"/>
        </w:rPr>
        <w:t xml:space="preserve"> que a faixa normativa ocupa a região central da excursão. A margem entre o teto físico e o teto normativo é o que torna o resultado </w:t>
      </w:r>
      <w:r>
        <w:rPr>
          <w:lang w:val="pt-BR"/>
        </w:rPr>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 xml:space="preserve">10 lux, 65,6 % do ciclo na sessão adotada</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 xml:space="preserve">5 lux, 34,0 % do ciclo na sessão adotada</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w:t>
            </w:r>
            <w:r>
              <w:rPr>
                <w:sz w:val="20"/>
                <w:szCs w:val="20"/>
              </w:rPr>
              <w:t xml:space="preserve">com queda de 0,08 lux, ou 0,008 do fluxo pleno, por passo, a taxa arredondada para baixo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w:t>
      </w:r>
      <w:r>
        <w:rPr>
          <w:lang w:val="pt-BR"/>
        </w:rPr>
        <w:t xml:space="preserve">reforça</w:t>
      </w:r>
      <w:r>
        <w:rPr>
          <w:lang w:val="pt-BR"/>
        </w:rPr>
        <w:t xml:space="preserve">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w:t>
      </w:r>
      <w:r>
        <w:rPr>
          <w:lang w:val="pt-BR"/>
        </w:rPr>
        <w:t xml:space="preserve">cerca de 1,3 % dos passos da rampa</w:t>
      </w:r>
      <w:r>
        <w:rPr>
          <w:lang w:val="pt-BR"/>
        </w:rPr>
        <w:t xml:space="preserve">,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 xml:space="preserve">Média de pessoas na área do trecho nos últimos 5 min, a partir da contagem já exigida da plataforma municipal (2.3), normalizada pelo movimento habitual do trecho (3.6). </w:t>
            </w:r>
            <w:r>
              <w:rPr>
                <w:sz w:val="20"/>
                <w:szCs w:val="20"/>
                <w:lang w:val="pt-BR"/>
              </w:rPr>
              <w:t xml:space="preserve">A subseção 6.10.3 da norma recomenda o monitoramento do tráfego para determinar o tempo de funcionamento da iluminação adaptativa,</w:t>
            </w:r>
            <w:r>
              <w:rPr>
                <w:sz w:val="20"/>
                <w:szCs w:val="20"/>
                <w:lang w:val="pt-BR"/>
              </w:rPr>
              <w:t xml:space="preserve">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 xml:space="preserve">Atributo do ponto de luz no banco, atribuído pelos autores (3.8)</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w:t>
      </w:r>
      <w:r>
        <w:rPr>
          <w:lang w:val="pt-BR"/>
        </w:rPr>
        <w:t xml:space="preserve">nos horários de baixa movimentação (subseção 6.3 da norma), mas</w:t>
      </w:r>
      <w:r>
        <w:rPr>
          <w:lang w:val="pt-BR"/>
        </w:rPr>
        <w:t xml:space="preserve">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w:t>
      </w:r>
      <w:r>
        <w:rPr>
          <w:lang w:val="pt-BR"/>
        </w:rPr>
        <w:t xml:space="preserve"> Depois, a troca da série de treino (3.6) mudou os tercis e a largura das rampas, sem mudar as sete regras.</w:t>
      </w:r>
      <w:r>
        <w:rPr>
          <w:lang w:val="pt-BR"/>
        </w:rPr>
        <w:t xml:space="preserve">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w:t>
      </w:r>
      <w:r>
        <w:rPr>
          <w:lang w:val="pt-BR"/>
        </w:rPr>
        <w:t xml:space="preserve">fundamenta-a na legibilidade da base, com os números reportados no Capítulo 5.</w:t>
      </w:r>
      <w:r>
        <w:rPr>
          <w:lang w:val="pt-BR"/>
        </w:rPr>
        <w:t xml:space="preserve">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 xml:space="preserve">A inferência é seguida, obrigatoriamente, pela camada de verificação normativa, </w:t>
      </w:r>
      <w:r>
        <w:rPr>
          <w:lang w:val="pt-BR"/>
        </w:rPr>
        <w:t xml:space="preserve">que implementa as duas restrições rígidas da subseção 2.5: o piso, sobre a decisão antes de sua emissão, e a taxa, no nó, a cada passo da rampa.</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w:t>
      </w:r>
      <w:r>
        <w:rPr>
          <w:lang w:val="pt-BR"/>
        </w:rPr>
        <w:t xml:space="preserve">com queda de 0,008 do fluxo pleno por passo, a taxa arredondada para baixo,</w:t>
      </w:r>
      <w:r>
        <w:rPr>
          <w:lang w:val="pt-BR"/>
        </w:rPr>
        <w:t xml:space="preserve">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w:t>
      </w:r>
      <w:r>
        <w:rPr>
          <w:lang w:val="pt-BR"/>
        </w:rPr>
        <w:t xml:space="preserve"> O valor taxa permanece no domínio da restrição para os registros anteriores à arquitetura de 3.5.2, em que o serviço conduzia a rampa.</w:t>
      </w:r>
      <w:r>
        <w:rPr>
          <w:lang w:val="pt-BR"/>
        </w:rPr>
        <w:t xml:space="preserve">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pStyle w:val="ListParagraph"/>
        <w:numPr>
          <w:ilvl w:val="0"/>
          <w:numId w:val="2"/>
        </w:numPr>
        <w:spacing w:after="120" w:line="360" w:lineRule="auto"/>
        <w:jc w:val="both"/>
        <w:rPr>
          <w:lang w:val="pt-BR"/>
        </w:rPr>
        <w:pPrChange w:id="990001" w:author="Vitor Oliveira" w:date="2026-10-11T03:00:00Z">
          <w:pPr>
            <w:spacing w:after="120" w:line="360" w:lineRule="auto"/>
            <w:ind w:firstLine="709"/>
            <w:jc w:val="both"/>
          </w:pPr>
        </w:pPrChange>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w:t>
      </w:r>
      <w:r>
        <w:rPr>
          <w:lang w:val="pt-BR"/>
        </w:rPr>
        <w:t xml:space="preserve">do ano de teste, de quatro pontos em sorteio próprio, distinto do da avaliação anterior,</w:t>
      </w:r>
      <w:r>
        <w:rPr>
          <w:lang w:val="pt-BR"/>
        </w:rPr>
        <w:t xml:space="preserve">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características do arranjo</w:t>
      </w:r>
      <w:r>
        <w:t xml:space="preserve">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w:t>
      </w:r>
      <w:r>
        <w:rPr>
          <w:lang w:val="pt-BR"/>
        </w:rPr>
        <w:t xml:space="preserve">adota a menor potência da faixa do Caderno,</w:t>
      </w:r>
      <w:r>
        <w:rPr>
          <w:lang w:val="pt-BR"/>
        </w:rPr>
        <w:t xml:space="preserve">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w:t>
      </w:r>
      <w:r>
        <w:rPr>
          <w:lang w:val="pt-BR"/>
        </w:rPr>
        <w:t xml:space="preserve">imposta pela taxa máxima de decréscimo —</w:t>
      </w:r>
      <w:r>
        <w:rPr>
          <w:lang w:val="pt-BR"/>
        </w:rPr>
        <w:t xml:space="preserve">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w:t>
      </w:r>
      <w:r>
        <w:rPr>
          <w:lang w:val="pt-BR"/>
        </w:rPr>
        <w:t xml:space="preserve">no extremo superior dessa faixa, 440 W,</w:t>
      </w:r>
      <w:r>
        <w:rPr>
          <w:lang w:val="pt-BR"/>
        </w:rPr>
        <w:t xml:space="preserve">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 xml:space="preserve">Produzir, a cada decisão, estimativa</w:t>
            </w:r>
            <w:r>
              <w:rPr>
                <w:sz w:val="20"/>
                <w:szCs w:val="20"/>
                <w:lang w:val="pt-BR"/>
              </w:rPr>
              <w:t xml:space="preserve">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 xml:space="preserve">Aplicar no nó o ciclo de trabalho comandado e medir a iluminância </w:t>
            </w:r>
            <w:r>
              <w:rPr>
                <w:sz w:val="20"/>
                <w:szCs w:val="20"/>
                <w:lang w:val="pt-BR"/>
              </w:rPr>
              <w:t xml:space="preserve">no plano de medição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 xml:space="preserve">Contagem de violações de taxa no nível do nó virtual, passo a passo, sobre a suíte de cenários; no nó físico, trajetória da rampa registrada pela porta serial</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 xml:space="preserve">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w:t>
      </w:r>
      <w:r>
        <w:rPr>
          <w:lang w:val="pt-BR"/>
        </w:rPr>
        <w:t xml:space="preserve">a camada de verificação confronta o nível pretendido com o piso da ABNT NBR 5101 e o corrige quando necessário, o intermediário de mensagens entrega o comando já verificado e o nó de iluminação o executa sob a taxa máxima de decréscimo,</w:t>
      </w:r>
      <w:r>
        <w:rPr>
          <w:lang w:val="pt-BR"/>
        </w:rPr>
        <w:t xml:space="preserve">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 xml:space="preserve">Confrontar o nível pretendido com o piso, corrigi-lo quando necessário, registrar a correção e enviar ao nó o piso e a taxa da classe</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w:t>
      </w:r>
      <w:r>
        <w:rPr>
          <w:lang w:val="pt-BR"/>
        </w:rPr>
        <w:t xml:space="preserve"> Foi registrado também antes da troca da série de treino (3.6), com os tercis da série anterior; com a base vigente, os graus de ativação e o degrau seriam outros.</w:t>
      </w:r>
      <w:r>
        <w:rPr>
          <w:lang w:val="pt-BR"/>
        </w:rPr>
        <w:t xml:space="preserve">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t xml:space="preserve">Duas cardinalidades merecem nota. </w:t>
      </w:r>
      <w:r>
        <w:rPr>
          <w:lang w:val="pt-BR"/>
        </w:rPr>
        <w:t xml:space="preserve">A relação entre decisão e telemetria é de um para no máximo um: cada comando emitido produz uma leitura de confirmação, e a decisão que mantém o alvo e não gera comando não tem telemetria;</w:t>
      </w:r>
      <w:r>
        <w:rPr>
          <w:lang w:val="pt-BR"/>
        </w:rPr>
        <w:t xml:space="preserve">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 xml:space="preserve">Identificador; instantes de ocorrência e de recebimento; tipo em {volume, ocorrência}; média de pessoas, não negativa, e duração do período, de 1 s a 1 h, presentes só no volume; ocorrência em {segurança, trânsito, encerrada}, presente só na ocorrência; </w:t>
            </w:r>
            <w:r>
              <w:rPr>
                <w:sz w:val="20"/>
                <w:szCs w:val="20"/>
                <w:lang w:val="pt-BR"/>
              </w:rPr>
              <w:t xml:space="preserve">abrangência em {via, quadra, bairro, município}, com padrão via e sem uso pelo serviço;</w:t>
            </w:r>
            <w:r>
              <w:rPr>
                <w:sz w:val="20"/>
                <w:szCs w:val="20"/>
                <w:lang w:val="pt-BR"/>
              </w:rPr>
              <w:t xml:space="preserve">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 xml:space="preserve">Confirmação de cada decisão publicada,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 xml:space="preserve">Cerca de 170 mensagens por segundo para 50 mil câmeras, sem picos</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w:t>
      </w:r>
      <w:r>
        <w:rPr>
          <w:lang w:val="pt-BR"/>
        </w:rPr>
        <w:t xml:space="preserve">por 5 min na madrugada ociosa e por 15 min na ocorrência na madrugada,</w:t>
      </w:r>
      <w:r>
        <w:rPr>
          <w:lang w:val="pt-BR"/>
        </w:rPr>
        <w:t xml:space="preserve">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 xml:space="preserve">Oito noites reais de Zurique, em 15 min, de sorteio próprio</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 xml:space="preserve">[PENDENTE — declarar, com base no Capítulo 5, se cada hipótese de 2.10 é aceita ou rejeitada: H1 pela concordância de 5.4; H2 pelo resultado de 5.2; H3 pela comparação entre o acionamento antecipado e o puramente reativo</w:t>
      </w:r>
      <w:r>
        <w:rPr>
          <w:highlight w:val="yellow"/>
          <w:lang w:val="pt-BR"/>
        </w:rPr>
        <w:t xml:space="preserve"> (3.9 e 5.6)</w:t>
      </w:r>
      <w:r>
        <w:rPr>
          <w:highlight w:val="yellow"/>
          <w:lang w:val="pt-BR"/>
        </w:rPr>
        <w:t xml:space="preserve">.]</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 xml:space="preserve">A plataforma de monitoramento não cobre todas as vias iluminadas. Em trecho sem câmera não há volume publicado, e o ponto de luz </w:t>
      </w:r>
      <w:r>
        <w:rPr>
          <w:lang w:val="pt-BR"/>
        </w:rPr>
        <w:t xml:space="preserve">permanece no fluxo pleno (3.7):</w:t>
      </w:r>
      <w:r>
        <w:rPr>
          <w:lang w:val="pt-BR"/>
        </w:rPr>
        <w:t xml:space="preserve">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 xml:space="preserve">Tratar o crescimento das entidades de evento urbano e de telemetria em escala de parque, com particionamento por tempo, </w:t>
      </w:r>
      <w:r>
        <w:rPr>
          <w:lang w:val="pt-BR"/>
        </w:rPr>
        <w:t xml:space="preserve">política de retenção e armazenamento</w:t>
      </w:r>
      <w:r>
        <w:rPr>
          <w:lang w:val="pt-BR"/>
        </w:rPr>
        <w:t xml:space="preserve">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t xml:space="preserve">Figuras 1, 2 e 3</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de sequência e de entidade-relacionamento</w:t>
            </w:r>
            <w:r>
              <w:rPr>
                <w:sz w:val="20"/>
                <w:szCs w:val="20"/>
                <w:lang w:val="pt-BR"/>
              </w:rPr>
              <w:t xml:space="preserve"> por script </w:t>
            </w:r>
            <w:r>
              <w:rPr>
                <w:sz w:val="20"/>
                <w:szCs w:val="20"/>
                <w:lang w:val="pt-BR"/>
              </w:rPr>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 xml:space="preserve">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w:t>
      </w:r>
      <w:r>
        <w:rPr>
          <w:lang w:val="pt-BR"/>
        </w:rPr>
        <w:t xml:space="preserve">item 71 para a arquitetura de implantação, item 72</w:t>
      </w:r>
      <w:r>
        <w:rPr>
          <w:lang w:val="pt-BR"/>
        </w:rPr>
        <w:t xml:space="preserve">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