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w:t>
      </w:r>
      <w:r>
        <w:rPr>
          <w:lang w:val="pt-BR"/>
        </w:rPr>
        <w:t xml:space="preserve">O dimensionamento para o parque municipal não é objeto do trabalho; a arquitetura que a operação exigiria é descrita em 3.12.6.4.</w:t>
      </w:r>
      <w:r>
        <w:rPr>
          <w:lang w:val="pt-BR"/>
        </w:rPr>
        <w:t xml:space="preserve">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pPr>
        <w:pStyle w:val="Heading4"/>
        <w:spacing w:before="320" w:after="200" w:line="360" w:lineRule="auto"/>
      </w:pPr>
      <w:r>
        <w:rPr>
          <w:lang w:val="pt-BR"/>
        </w:rPr>
        <w:t xml:space="preserve">3.12.6.4 Arquitetura de referência para operação em escala</w:t>
      </w:r>
    </w:p>
    <w:p>
      <w:pPr>
        <w:spacing w:after="120" w:line="360" w:lineRule="auto"/>
        <w:ind w:firstLine="709"/>
        <w:jc w:val="both"/>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decisão como serviço municipal autônomo, a verificação normativa no caminho do comando e o registro auditável de cada decisão —, e mudam a distribuição, a redundância e o transporte.</w:t>
      </w:r>
    </w:p>
    <w:p>
      <w:pPr>
        <w:spacing w:after="120" w:line="360" w:lineRule="auto"/>
        <w:ind w:firstLine="709"/>
        <w:jc w:val="both"/>
      </w:pPr>
      <w:r>
        <w:rPr>
          <w:lang w:val="pt-BR"/>
        </w:rPr>
        <w:t xml:space="preserve">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pPr>
      <w:r>
        <w:rPr>
          <w:lang w:val="pt-BR"/>
        </w:rPr>
        <w:t xml:space="preserve">Atendidas essas exigências, a arquitetura de referência compõe-se dos seguintes elementos.</w:t>
      </w:r>
    </w:p>
    <w:p>
      <w:pPr>
        <w:pStyle w:val="ListParagraph"/>
        <w:numPr>
          <w:ilvl w:val="0"/>
          <w:numId w:val="2"/>
        </w:numPr>
        <w:spacing w:after="120" w:line="360" w:lineRule="auto"/>
        <w:jc w:val="both"/>
      </w:pPr>
      <w:r>
        <w:rPr>
          <w:lang w:val="pt-BR"/>
        </w:rPr>
        <w:t xml:space="preserve">Entrada de eventos. Um portal de interface de programação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pPr>
        <w:pStyle w:val="ListParagraph"/>
        <w:numPr>
          <w:ilvl w:val="0"/>
          <w:numId w:val="2"/>
        </w:numPr>
        <w:spacing w:after="120" w:line="360" w:lineRule="auto"/>
        <w:jc w:val="both"/>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cada trecho — fica em armazenamento compartilhado de baixa latência,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pPr>
        <w:pStyle w:val="ListParagraph"/>
        <w:numPr>
          <w:ilvl w:val="0"/>
          <w:numId w:val="2"/>
        </w:numPr>
        <w:spacing w:after="120" w:line="360" w:lineRule="auto"/>
        <w:jc w:val="both"/>
      </w:pPr>
      <w:r>
        <w:rPr>
          <w:lang w:val="pt-BR"/>
        </w:rPr>
        <w:t xml:space="preserve">Previsão fora do caminho do comando. O treino do modelo é processo periódico, separado da decisão, que lê o histórico de volumes, avalia o modelo novo contra as referências de 3.6 e o registra com versão. As réplicas carregam apenas versões aprovadas, e cada decisão grava a versão usada, como já faz o protótipo (RNF04). A base de regras segue o mesmo percurso de versão e aprovação.</w:t>
      </w:r>
    </w:p>
    <w:p>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pPr>
        <w:pStyle w:val="ListParagraph"/>
        <w:numPr>
          <w:ilvl w:val="0"/>
          <w:numId w:val="2"/>
        </w:numPr>
        <w:spacing w:after="120" w:line="360" w:lineRule="auto"/>
        <w:jc w:val="both"/>
      </w:pPr>
      <w:r>
        <w:rPr>
          <w:lang w:val="pt-BR"/>
        </w:rPr>
        <w:t xml:space="preserve">Dados em dois níveis. Cadastro, classes de iluminação, versões e decisões ficam em banco relacional gerenciado, com réplica em outra zona de disponibilidade, cópia de segurança automática e restauração a qualquer instante. Eventos e telemetria, que crescem com o número de pontos e com o tempo, ficam em armazenamento orientado a série temporal, particionado por tempo e com política de retenção, como recomenda 6.1. As consultas do painel são atendidas por réplica de leitura, sem concorrer com a decisão.</w:t>
      </w:r>
    </w:p>
    <w:p>
      <w:pPr>
        <w:pStyle w:val="ListParagraph"/>
        <w:numPr>
          <w:ilvl w:val="0"/>
          <w:numId w:val="2"/>
        </w:numPr>
        <w:spacing w:after="120" w:line="360" w:lineRule="auto"/>
        <w:jc w:val="both"/>
      </w:pPr>
      <w:r>
        <w:rPr>
          <w:lang w:val="pt-BR"/>
        </w:rPr>
        <w:t xml:space="preserve">Painel com acesso controlado. O painel deixa de publicar com chave embutida: o operador municipal autentica-se pelo provedor de identidade do município, com perfis distintos para consulta, para alteração de parâmetros normativos e para publicação manual, e toda alteração fica registrada.</w:t>
      </w:r>
    </w:p>
    <w:p>
      <w:pPr>
        <w:pStyle w:val="ListParagraph"/>
        <w:numPr>
          <w:ilvl w:val="0"/>
          <w:numId w:val="2"/>
        </w:numPr>
        <w:spacing w:after="120" w:line="360" w:lineRule="auto"/>
        <w:jc w:val="both"/>
      </w:pPr>
      <w:r>
        <w:rPr>
          <w:lang w:val="pt-BR"/>
        </w:rPr>
        <w:t xml:space="preserve">Operação. Os serviços são executados em plataforma de orquestração de contêineres distribuída em mais de uma zona de disponibilidade, que substitui contêineres com falha e redistribui a carga. Credenciais ficam em cofre de segredos, e não em arquivo da máquina. Métricas, registros e alertas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pPr>
        <w:spacing w:after="120" w:line="360" w:lineRule="auto"/>
        <w:ind w:firstLine="709"/>
        <w:jc w:val="both"/>
      </w:pPr>
      <w:r>
        <w:rPr>
          <w:lang w:val="pt-BR"/>
        </w:rPr>
        <w:t xml:space="preserve">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A arquitetura não foi implantada, dimensionada nem ensaiada, e seu custo não foi estimado; a lacuna figura entre as limitações (5.3) e entre as recomendações (6.1).</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pPr>
        <w:pStyle w:val="ListParagraph"/>
        <w:numPr>
          <w:ilvl w:val="0"/>
          <w:numId w:val="2"/>
        </w:numPr>
        <w:spacing w:after="120" w:line="360" w:lineRule="auto"/>
        <w:jc w:val="both"/>
      </w:pPr>
      <w:r>
        <w:rPr>
          <w:lang w:val="pt-BR"/>
        </w:rPr>
        <w:t xml:space="preserve">Implantar a arquitetura de referência para operação em escala, com teste de carga, de falha de componente e de recuperação, e estimar o seu custo (3.12.6.4 e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