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sete já existem: </w:t>
      </w:r>
      <w:r>
        <w:rPr>
          <w:lang w:val="pt-BR"/>
        </w:rPr>
        <w:t xml:space="preserve">estão contratados ou normalizados,</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não iluminância;</w:t>
            </w:r>
            <w:r>
              <w:rPr>
                <w:sz w:val="20"/>
                <w:szCs w:val="20"/>
                <w:lang w:val="pt-BR"/>
              </w:rPr>
              <w:t xml:space="preserve">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com queda máxima</w:t>
            </w:r>
            <w:r>
              <w:rPr>
                <w:sz w:val="20"/>
                <w:szCs w:val="20"/>
              </w:rPr>
              <w:t xml:space="preserve">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cerca de 1 %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(6.3).</w:t>
      </w:r>
      <w:r>
        <w:rPr>
          <w:lang w:val="pt-BR"/>
        </w:rPr>
        <w:t xml:space="preserve"> A necessidade do critério decorre de uma lacuna da norma: a ABNT NBR 5101 condiciona a classe ao nível de atividade </w:t>
      </w:r>
      <w:r>
        <w:rPr>
          <w:lang w:val="pt-BR"/>
        </w:rPr>
        <w:t xml:space="preserve">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Mais recentemente, a troca da série de treino (3.6) mudou os tercis e a largura das rampas, sem mudar as sete regras.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máxima de 0,0083 do fluxo pleno por passo,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10 min em cada um,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item 71 para a arquitetura de implantação e </w:t>
      </w:r>
      <w:r>
        <w:rPr>
          <w:lang w:val="pt-BR"/>
        </w:rPr>
        <w:t xml:space="preserve">item 72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