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w:t>
      </w:r>
      <w:r>
        <w:rPr>
          <w:lang w:val="pt-BR"/>
        </w:rPr>
        <w:t xml:space="preserve">consulta a estimativa de consumo, recebe os alertas do diagnóstico e altera, por operação sobre dado, a classe e os parâmetros normativos;</w:t>
      </w:r>
      <w:r>
        <w:rPr>
          <w:lang w:val="pt-BR"/>
        </w:rPr>
        <w:t xml:space="preserve">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lang w:val="pt-BR"/>
        </w:rPr>
        <w:t xml:space="preserve">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pPr>
        <w:spacing w:after="120" w:line="360" w:lineRule="auto"/>
        <w:ind w:firstLine="709"/>
        <w:jc w:val="both"/>
      </w:pPr>
      <w:r>
        <w:rPr>
          <w:lang w:val="pt-BR"/>
        </w:rPr>
        <w:t xml:space="preserve">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pPr>
        <w:spacing w:after="120" w:line="360" w:lineRule="auto"/>
        <w:ind w:firstLine="709"/>
        <w:jc w:val="both"/>
      </w:pPr>
      <w:r>
        <w:rPr>
          <w:lang w:val="pt-BR"/>
        </w:rPr>
        <w:t xml:space="preserve">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com a natureza da garantia, que não depende da qualidade da inferência nem da previsão.</w:t>
      </w:r>
    </w:p>
    <w:p>
      <w:pPr>
        <w:spacing w:after="120" w:line="360" w:lineRule="auto"/>
        <w:ind w:firstLine="709"/>
        <w:jc w:val="both"/>
      </w:pPr>
      <w:r>
        <w:rPr>
          <w:lang w:val="pt-BR"/>
        </w:rPr>
        <w:t xml:space="preserve">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pPr>
        <w:spacing w:after="120" w:line="360" w:lineRule="auto"/>
        <w:ind w:firstLine="709"/>
        <w:jc w:val="both"/>
      </w:pPr>
      <w:r>
        <w:rPr>
          <w:lang w:val="pt-BR"/>
        </w:rPr>
        <w:t xml:space="preserve">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pPr>
        <w:spacing w:after="120" w:line="360" w:lineRule="auto"/>
        <w:ind w:firstLine="709"/>
        <w:jc w:val="both"/>
      </w:pPr>
      <w:r>
        <w:rPr>
          <w:lang w:val="pt-BR"/>
        </w:rPr>
        <w:t xml:space="preserve">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pPr>
        <w:spacing w:after="120" w:line="360" w:lineRule="auto"/>
        <w:ind w:firstLine="709"/>
        <w:jc w:val="both"/>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pPr>
        <w:pStyle w:val="ListParagraph"/>
        <w:numPr>
          <w:ilvl w:val="0"/>
          <w:numId w:val="2"/>
        </w:numPr>
        <w:spacing w:after="120" w:line="360" w:lineRule="auto"/>
        <w:jc w:val="both"/>
      </w:pPr>
      <w:r>
        <w:rPr>
          <w:lang w:val="pt-BR"/>
        </w:rPr>
        <w:t xml:space="preserve">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lang w:val="pt-BR"/>
        </w:rPr>
        <w:t xml:space="preserve">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pPr>
        <w:spacing w:after="120" w:line="360" w:lineRule="auto"/>
        <w:ind w:firstLine="709"/>
        <w:jc w:val="both"/>
      </w:pPr>
      <w:r>
        <w:rPr>
          <w:lang w:val="pt-BR"/>
        </w:rPr>
        <w:t xml:space="preserve">Os resultados também delimitam o que a proposta pode prometer. A economia de energia sobre a programação horária não é garantida e depende do padrão de uso da via; o ganho consistente é a luz adequada à situação, sem violação da norma.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pPr>
        <w:spacing w:after="120" w:line="360" w:lineRule="auto"/>
        <w:ind w:firstLine="709"/>
        <w:jc w:val="both"/>
      </w:pPr>
      <w:r>
        <w:rPr>
          <w:lang w:val="pt-BR"/>
        </w:rPr>
        <w:t xml:space="preserve">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lang w:val="pt-BR"/>
        </w:rPr>
        <w:t xml:space="preserve">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o ganho da proposta está na luz adequada à situação, com garantia normativa por construção, mais do que na economia de energia, e que, entre os componentes de inteligência artificial, a previsão se distingue das alternativas simples apenas com dado de resolução fina, enquanto a pertinência parcial é substituível por tabela.</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