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25C110" w14:textId="60DA21EB"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5E6C65A4" w14:textId="5663B4B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F8434D1" w14:textId="5580C55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0DEB39E1" w14:textId="1EBCC13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4181B46" w14:textId="105D3D8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7BDAF82F" w14:textId="1EE51D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1A702647" w14:textId="7D17448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5B79275E" w14:textId="0D5919DF"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51E8161E" w14:textId="3BBE4B1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4FA555FD" w14:textId="3B69812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14E0A3A1" w14:textId="212C174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08F20D5E" w14:textId="07EFA78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48F77343" w14:textId="22E2044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580DC04F" w14:textId="3CA4A1B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29770EA" w14:textId="47C2D6C1"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26D38F29" w14:textId="04945056"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1D27DCAE" w14:textId="07DBAB4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1D49CF50" w14:textId="570BC88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33A2EA35" w14:textId="41A6101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0BFFCB4C" w14:textId="0CC635F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46CB4" w14:textId="6F26E67E" w:rsidR="00724418" w:rsidRPr="00430DB3" w:rsidRDefault="008D0833">
      <w:pPr>
        <w:tabs>
          <w:tab w:val="right" w:leader="dot" w:pos="9071"/>
        </w:tabs>
        <w:spacing w:after="100"/>
        <w:rPr>
          <w:lang w:val="pt-BR"/>
        </w:rPr>
      </w:pPr>
      <w:r>
        <w:rPr>
          <w:lang w:val="pt-BR"/>
        </w:rPr>
        <w:fldChar w:fldCharType="end"/>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67934525" w14:textId="6F909E12"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17D0935B" w14:textId="7F8FCFF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37B1C7A7" w14:textId="3DE0A47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3A4510FC" w14:textId="5F30B11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06A959AF" w14:textId="03B527C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29E242A7" w14:textId="616813A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6823BD5C" w14:textId="003D459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3E245135" w14:textId="302ADC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24C2F7B" w14:textId="1035A97E"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0FC63144" w14:textId="1380475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415CBE4B" w14:textId="445ACB2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7A471A7" w14:textId="1DFD0CC1" w:rsidR="00044D5A" w:rsidRPr="008C0B6A" w:rsidRDefault="008D0833">
      <w:pPr>
        <w:tabs>
          <w:tab w:val="right" w:leader="dot" w:pos="9071"/>
        </w:tabs>
        <w:spacing w:after="100"/>
        <w:rPr>
          <w:lang w:val="pt-BR"/>
        </w:rPr>
      </w:pPr>
      <w:r>
        <w:rPr>
          <w:lang w:val="pt-BR"/>
        </w:rPr>
        <w:fldChar w:fldCharType="end"/>
      </w:r>
    </w:p>
    <w:p w14:paraId="3AA8DEC0" w14:textId="77777777" w:rsidR="00E01C3A" w:rsidRDefault="00CC3326">
      <w:pPr>
        <w:rPr>
          <w:lang w:val="pt-BR"/>
        </w:rPr>
      </w:pPr>
      <w:r>
        <w:rPr>
          <w:lang w:val="pt-BR"/>
        </w:rPr>
        <w:br w:type="page"/>
      </w:r>
    </w:p>
    <w:p w14:paraId="7B763660" w14:textId="77777777" w:rsidR="00D97550" w:rsidRPr="00C708F0" w:rsidRDefault="00285AB3">
      <w:pPr>
        <w:spacing w:after="480"/>
        <w:jc w:val="center"/>
        <w:rPr>
          <w:lang w:val="pt-BR"/>
        </w:rPr>
      </w:pPr>
      <w:r>
        <w:rPr>
          <w:b/>
          <w:bCs/>
          <w:lang w:val="pt-BR"/>
        </w:rPr>
        <w:lastRenderedPageBreak/>
        <w:t>LISTA DE TABELAS</w:t>
      </w:r>
    </w:p>
    <w:p w14:paraId="6F712C4D" w14:textId="29F3A933"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63BD7923" w14:textId="64CE9BE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6DD2022" w14:textId="72A09ED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1C26B230" w14:textId="7B40AD3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4FE8D75" w14:textId="138E9C67" w:rsidR="00D97550" w:rsidRDefault="008D0833">
      <w:pPr>
        <w:tabs>
          <w:tab w:val="right" w:leader="dot" w:pos="9071"/>
        </w:tabs>
        <w:spacing w:after="100"/>
        <w:rPr>
          <w:lang w:val="pt-BR"/>
        </w:rPr>
      </w:pPr>
      <w:r>
        <w:rPr>
          <w:lang w:val="pt-BR"/>
        </w:rPr>
        <w:fldChar w:fldCharType="end"/>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74232687" w14:textId="7633854B"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0389FCF6" w14:textId="1C993AC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FBA1CD7" w14:textId="4EA1E13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1F15C25" w14:textId="55E915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2368AA78" w14:textId="721183D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01608BD3" w14:textId="5ED34B0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6FE0DA0B" w14:textId="0AFAEEE0"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2019C146" w14:textId="49A167F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17186164" w14:textId="28566A8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1D5CED55" w14:textId="645054F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11098B9B" w14:textId="2FB9BC3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63D75DA" w14:textId="63BFCC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6EDEFD0A" w14:textId="199CE3B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B9E6875" w14:textId="3E9653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71A4C37" w14:textId="0C52A6A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16EA8943" w14:textId="4C7120C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3EA09A6B" w14:textId="3009A80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3250D4DC" w14:textId="54C8CE91"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202DB87" w14:textId="1DAA0D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22ACC18E" w14:textId="2EE286E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588A338F" w14:textId="78E1C6B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8E8E006" w14:textId="5A904DB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28E70F50" w14:textId="6F31964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43432E54" w14:textId="31920F4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3552430" w14:textId="61276695"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7459E67A" w14:textId="2A0F31C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37EBDA7F" w14:textId="44EB9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6E2A1493" w14:textId="1C110A8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5F642E75" w14:textId="07AAFEE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1571D71" w14:textId="54EF0486"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261130D9" w14:textId="7B84F46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C8BC288" w14:textId="7B5B68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18B2C31C" w14:textId="3ABFCD3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1CF3CBA3" w14:textId="311C5328"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4FD7E41C" w14:textId="217F3D1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2856F358" w14:textId="0EFA9DC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AC24366" w14:textId="5DBA188F"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9A05E04" w14:textId="73F74C4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1843C7FA" w14:textId="3D88F26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7B5B737F" w14:textId="1C7AE9A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E6AB962" w14:textId="0ACAC55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5F56D451" w14:textId="5F30EDA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211C2109" w14:textId="58DEA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F2C288A" w14:textId="2BDA967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6C1C20E7" w14:textId="34BC373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0E2737E8" w14:textId="02BCDF9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119867AC" w14:textId="125CA03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ECDE14A" w14:textId="2124498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5B48A960" w14:textId="0F6BA3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0D96AB62" w14:textId="67DA4D5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68398A78" w14:textId="137442A4"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0281FC75" w14:textId="58D22B82"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4FBEC655" w14:textId="3ECA3ADD"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4CB7CB3" w14:textId="2E4232E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6D7BDD5B" w14:textId="675F416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43E7CF57" w14:textId="4EB38C0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F0A0A02" w14:textId="7313407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2F2EBA8E" w14:textId="4ECF4D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2EB7AC88" w14:textId="2A542B4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5762BA2B" w14:textId="6081248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018CD885" w14:textId="514506EC"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135B1214" w14:textId="60E3DBE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27D13FBE" w14:textId="5352D37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21871D07" w14:textId="2636E10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57714BD4" w14:textId="4390A81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3076E1A4" w14:textId="77BEFBD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5BBB15A9" w14:textId="7E22E4E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33AE05E" w14:textId="5AAC0AF9"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74BE462B" w14:textId="1CDD44E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296DF86" w14:textId="65910E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w:t>
            </w:r>
            <w:r w:rsidRPr="009A1BEE">
              <w:rPr>
                <w:rStyle w:val="Hyperlink"/>
                <w:noProof/>
                <w:lang w:val="pt-BR"/>
              </w:rPr>
              <w:lastRenderedPageBreak/>
              <w:t>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3109F3EB" w14:textId="43786C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65DF48D9" w14:textId="200A647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41FA9BCD" w14:textId="76F16FC1"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4637E1B0" w14:textId="25439F2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68D9EB16" w14:textId="0C533F20"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B1C9625" w14:textId="3097C96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62B8B32D" w14:textId="6615843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62BEA5DA" w14:textId="2BD16B8E"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3487AA9B" w14:textId="46ED9A99"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0941C100"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r>
              <w:rPr>
                <w:sz w:val="20"/>
                <w:szCs w:val="20"/>
              </w:rPr>
              <w:t>Concessão e telegestão</w:t>
            </w:r>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Dados abertos municipais</w:t>
            </w:r>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w:t>
      </w:r>
      <w:r>
        <w:rPr>
          <w:lang w:val="pt-BR"/>
        </w:rPr>
        <w:t>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w:t>
      </w:r>
      <w:r>
        <w:rPr>
          <w:lang w:val="pt-BR"/>
        </w:rPr>
        <w:t>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w:t>
      </w:r>
      <w:r>
        <w:rPr>
          <w:lang w:val="pt-BR"/>
        </w:rPr>
        <w:t>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56517F8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6349B973"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Destino na implantação</w:t>
            </w:r>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r>
              <w:rPr>
                <w:sz w:val="20"/>
                <w:szCs w:val="20"/>
              </w:rPr>
              <w:t>Componente da proposta</w:t>
            </w:r>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r>
              <w:rPr>
                <w:sz w:val="20"/>
                <w:szCs w:val="20"/>
              </w:rPr>
              <w:t>Componente da proposta</w:t>
            </w:r>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5202286" w14:textId="77777777" w:rsidR="00E01C3A" w:rsidRDefault="00CC3326">
            <w:r>
              <w:rPr>
                <w:sz w:val="20"/>
                <w:szCs w:val="20"/>
              </w:rPr>
              <w:t>Componente da proposta</w:t>
            </w:r>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r>
              <w:rPr>
                <w:sz w:val="20"/>
                <w:szCs w:val="20"/>
              </w:rPr>
              <w:t>Componente da proposta</w:t>
            </w:r>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r>
              <w:rPr>
                <w:sz w:val="20"/>
                <w:szCs w:val="20"/>
              </w:rPr>
              <w:t>Componente da proposta</w:t>
            </w:r>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r>
              <w:rPr>
                <w:sz w:val="20"/>
                <w:szCs w:val="20"/>
              </w:rPr>
              <w:t>Microcontrolador ESP32</w:t>
            </w:r>
          </w:p>
        </w:tc>
        <w:tc>
          <w:tcPr>
            <w:tcW w:w="2200" w:type="dxa"/>
            <w:tcMar>
              <w:top w:w="70" w:type="dxa"/>
              <w:left w:w="90" w:type="dxa"/>
              <w:bottom w:w="70" w:type="dxa"/>
              <w:right w:w="90" w:type="dxa"/>
            </w:tcMar>
          </w:tcPr>
          <w:p w14:paraId="735AED34" w14:textId="77777777" w:rsidR="00E01C3A" w:rsidRDefault="00CC3326">
            <w:r>
              <w:rPr>
                <w:sz w:val="20"/>
                <w:szCs w:val="20"/>
              </w:rPr>
              <w:t>Instrumento de ensaio</w:t>
            </w:r>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r>
              <w:rPr>
                <w:sz w:val="20"/>
                <w:szCs w:val="20"/>
              </w:rPr>
              <w:t>Instrumento de ensaio</w:t>
            </w:r>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Sensor de iluminância</w:t>
            </w:r>
          </w:p>
        </w:tc>
        <w:tc>
          <w:tcPr>
            <w:tcW w:w="2200" w:type="dxa"/>
            <w:tcMar>
              <w:top w:w="70" w:type="dxa"/>
              <w:left w:w="90" w:type="dxa"/>
              <w:bottom w:w="70" w:type="dxa"/>
              <w:right w:w="90" w:type="dxa"/>
            </w:tcMar>
          </w:tcPr>
          <w:p w14:paraId="657EE580" w14:textId="77777777" w:rsidR="00E01C3A" w:rsidRDefault="00CC3326">
            <w:r>
              <w:rPr>
                <w:sz w:val="20"/>
                <w:szCs w:val="20"/>
              </w:rPr>
              <w:t>Instrumento de ensaio</w:t>
            </w:r>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r>
              <w:rPr>
                <w:sz w:val="20"/>
                <w:szCs w:val="20"/>
              </w:rPr>
              <w:t>Instrumento de ensaio</w:t>
            </w:r>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r>
              <w:rPr>
                <w:sz w:val="20"/>
                <w:szCs w:val="20"/>
              </w:rPr>
              <w:t>Instrumento de ensaio</w:t>
            </w:r>
          </w:p>
        </w:tc>
        <w:tc>
          <w:tcPr>
            <w:tcW w:w="4221" w:type="dxa"/>
            <w:tcMar>
              <w:top w:w="70" w:type="dxa"/>
              <w:left w:w="90" w:type="dxa"/>
              <w:bottom w:w="70" w:type="dxa"/>
              <w:right w:w="90" w:type="dxa"/>
            </w:tcMar>
          </w:tcPr>
          <w:p w14:paraId="6C8928F3" w14:textId="77777777" w:rsidR="00E01C3A" w:rsidRDefault="00CC3326">
            <w:r>
              <w:rPr>
                <w:sz w:val="20"/>
                <w:szCs w:val="20"/>
              </w:rPr>
              <w:t>Não se aplica</w:t>
            </w:r>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20F1CD14"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O mesmo módulo</w:t>
            </w:r>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Banco relacional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r>
              <w:rPr>
                <w:sz w:val="20"/>
                <w:szCs w:val="20"/>
              </w:rPr>
              <w:t>Contratado. Cláusula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48F8873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AFA5A99" w14:textId="77777777" w:rsidR="006B1E66" w:rsidRDefault="00CC3326">
            <w:r>
              <w:rPr>
                <w:b/>
                <w:bCs/>
                <w:sz w:val="20"/>
                <w:szCs w:val="20"/>
              </w:rPr>
              <w:t>Especificação adotada</w:t>
            </w:r>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r>
              <w:rPr>
                <w:sz w:val="20"/>
                <w:szCs w:val="20"/>
              </w:rPr>
              <w:t>Anteparo de bancada</w:t>
            </w:r>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DE3BDF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285AB3">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5D9C9508"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D6D448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53EA6BE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33A1844" w14:textId="77777777" w:rsidR="006B1E66" w:rsidRDefault="00CC3326">
            <w:r>
              <w:rPr>
                <w:b/>
                <w:bCs/>
                <w:sz w:val="20"/>
                <w:szCs w:val="20"/>
              </w:rPr>
              <w:t>Razão determinante da escolha</w:t>
            </w:r>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r>
              <w:rPr>
                <w:sz w:val="20"/>
                <w:szCs w:val="20"/>
              </w:rPr>
              <w:lastRenderedPageBreak/>
              <w:t>Medição da iluminância</w:t>
            </w:r>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Transporte da mensagem</w:t>
            </w:r>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r>
              <w:rPr>
                <w:sz w:val="20"/>
                <w:szCs w:val="20"/>
              </w:rPr>
              <w:t>LoRaWAN;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9627A03"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EA67B46"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3D42178" w14:textId="77777777" w:rsidR="006B1E66" w:rsidRDefault="00CC3326">
            <w:r>
              <w:rPr>
                <w:b/>
                <w:bCs/>
                <w:sz w:val="20"/>
                <w:szCs w:val="20"/>
              </w:rPr>
              <w:t>Observação</w:t>
            </w:r>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r>
              <w:rPr>
                <w:sz w:val="20"/>
                <w:szCs w:val="20"/>
              </w:rPr>
              <w:lastRenderedPageBreak/>
              <w:t>Iluminação plena da classe</w:t>
            </w:r>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Classe P3, Tabela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Piso de atenuação</w:t>
            </w:r>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5440E3DF" w14:textId="77777777" w:rsidR="006B1E66" w:rsidRDefault="00CC3326">
            <w:r>
              <w:rPr>
                <w:sz w:val="20"/>
                <w:szCs w:val="20"/>
              </w:rPr>
              <w:t>1 lux por minuto</w:t>
            </w:r>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F4A873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285AB3">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w:t>
      </w:r>
      <w:r>
        <w:rPr>
          <w:lang w:val="pt-BR"/>
        </w:rPr>
        <w:t>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158CED8"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w:t>
      </w:r>
      <w:r>
        <w:rPr>
          <w:lang w:val="pt-BR"/>
        </w:rPr>
        <w:t xml:space="preserv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w:t>
      </w:r>
      <w:r>
        <w:rPr>
          <w:lang w:val="pt-BR"/>
        </w:rPr>
        <w:t>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w:t>
      </w:r>
      <w:r>
        <w:rPr>
          <w:lang w:val="pt-BR"/>
        </w:rPr>
        <w:t xml:space="preserve">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w:t>
      </w:r>
      <w:r>
        <w:rPr>
          <w:lang w:val="pt-BR"/>
        </w:rPr>
        <w:t>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3E20502C"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C7CA99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582614B" w14:textId="77777777" w:rsidR="006B1E66" w:rsidRDefault="00CC3326">
            <w:r>
              <w:rPr>
                <w:b/>
                <w:bCs/>
                <w:sz w:val="20"/>
                <w:szCs w:val="20"/>
              </w:rPr>
              <w:t>Justificativa da inclusão</w:t>
            </w:r>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BBF82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r>
              <w:rPr>
                <w:sz w:val="20"/>
                <w:szCs w:val="20"/>
              </w:rPr>
              <w:t>Faixa horária</w:t>
            </w:r>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w:t>
      </w:r>
      <w:r>
        <w:rPr>
          <w:lang w:val="pt-BR"/>
        </w:rPr>
        <w:t>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32C4CE1C"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(fluxo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(nível intermediário)</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(piso admissível)</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(não dimerizável)</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r>
        <w:t>Produz o objetivo específico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Quatro características do arranjo asseguram essa condição.</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3FCD2DEC"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8C05C4B" w14:textId="77777777" w:rsidR="00E01C3A" w:rsidRDefault="00CC3326">
            <w:r>
              <w:rPr>
                <w:b/>
                <w:bCs/>
                <w:sz w:val="20"/>
                <w:szCs w:val="20"/>
              </w:rPr>
              <w:t>Origem</w:t>
            </w:r>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r>
              <w:rPr>
                <w:sz w:val="20"/>
                <w:szCs w:val="20"/>
              </w:rPr>
              <w:t>Potência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Eficácia luminosa e fluxo</w:t>
            </w:r>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r>
              <w:rPr>
                <w:sz w:val="20"/>
                <w:szCs w:val="20"/>
              </w:rPr>
              <w:t>Proporcional</w:t>
            </w:r>
          </w:p>
        </w:tc>
        <w:tc>
          <w:tcPr>
            <w:tcW w:w="3971" w:type="dxa"/>
            <w:tcMar>
              <w:top w:w="70" w:type="dxa"/>
              <w:left w:w="90" w:type="dxa"/>
              <w:bottom w:w="70" w:type="dxa"/>
              <w:right w:w="90" w:type="dxa"/>
            </w:tcMar>
          </w:tcPr>
          <w:p w14:paraId="2C85761A" w14:textId="77777777" w:rsidR="00E01C3A" w:rsidRDefault="00CC3326">
            <w:r>
              <w:rPr>
                <w:sz w:val="20"/>
                <w:szCs w:val="20"/>
              </w:rPr>
              <w:t>Hipótese adotada nesta subseção</w:t>
            </w:r>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r>
              <w:rPr>
                <w:sz w:val="20"/>
                <w:szCs w:val="20"/>
              </w:rPr>
              <w:t>Não considerado</w:t>
            </w:r>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285AB3">
      <w:pPr>
        <w:spacing w:after="120" w:line="360" w:lineRule="auto"/>
        <w:ind w:firstLine="709"/>
        <w:jc w:val="both"/>
        <w:rPr>
          <w:lang w:val="pt-BR"/>
        </w:rPr>
      </w:pPr>
      <w:r>
        <w:rPr>
          <w:lang w:val="pt-BR"/>
        </w:rPr>
        <w:t>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w:t>
      </w:r>
      <w:r>
        <w:rPr>
          <w:lang w:val="pt-BR"/>
        </w:rPr>
        <w:t xml:space="preserve">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w:t>
      </w:r>
      <w:r>
        <w:rPr>
          <w:lang w:val="pt-BR"/>
        </w:rPr>
        <w:t>1, 3.3 e 3.4.</w:t>
      </w:r>
    </w:p>
    <w:p w14:paraId="26D41D1E"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EC3DBC5"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4311DA9" w14:textId="77777777" w:rsidR="00E01C3A" w:rsidRDefault="00CC3326">
            <w:r>
              <w:rPr>
                <w:b/>
                <w:bCs/>
                <w:sz w:val="20"/>
                <w:szCs w:val="20"/>
              </w:rPr>
              <w:t>Origem</w:t>
            </w:r>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5F027000"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B0BEF28"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Forma de verificação</w:t>
            </w:r>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r>
              <w:rPr>
                <w:sz w:val="20"/>
                <w:szCs w:val="20"/>
              </w:rPr>
              <w:t>Eficiência de desempenho</w:t>
            </w:r>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r>
              <w:rPr>
                <w:sz w:val="20"/>
                <w:szCs w:val="20"/>
              </w:rPr>
              <w:t>Manutenibilidade</w:t>
            </w:r>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r>
              <w:rPr>
                <w:sz w:val="20"/>
                <w:szCs w:val="20"/>
              </w:rPr>
              <w:t>Manutenibilidade (modificabilidade)</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r>
              <w:rPr>
                <w:sz w:val="20"/>
                <w:szCs w:val="20"/>
              </w:rPr>
              <w:t>Segurança operacional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r>
              <w:rPr>
                <w:sz w:val="20"/>
                <w:szCs w:val="20"/>
              </w:rPr>
              <w:t>Flexibilidade (escalabilidade)</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5E1AE78B"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285AB3">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32E4D725"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2E36906C"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79CCD7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5827C2F" w14:textId="77777777" w:rsidR="00E01C3A" w:rsidRDefault="00CC3326">
            <w:r>
              <w:rPr>
                <w:b/>
                <w:bCs/>
                <w:sz w:val="20"/>
                <w:szCs w:val="20"/>
              </w:rPr>
              <w:t>Justificativa</w:t>
            </w:r>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r>
              <w:rPr>
                <w:sz w:val="20"/>
                <w:szCs w:val="20"/>
              </w:rPr>
              <w:t>Implantação em nuvem</w:t>
            </w:r>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r>
              <w:rPr>
                <w:sz w:val="20"/>
                <w:szCs w:val="20"/>
              </w:rPr>
              <w:t>Aplicativo móvel</w:t>
            </w:r>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Software embarcado</w:t>
            </w:r>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3299B1CB"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20DBDDA"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439287D" w14:textId="77777777" w:rsidR="00E01C3A" w:rsidRDefault="00CC3326">
            <w:r>
              <w:rPr>
                <w:b/>
                <w:bCs/>
                <w:sz w:val="20"/>
                <w:szCs w:val="20"/>
              </w:rPr>
              <w:t>Responsabilidade</w:t>
            </w:r>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09DFAC6"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PostgreSQL em contêiner</w:t>
            </w:r>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r>
              <w:rPr>
                <w:sz w:val="20"/>
                <w:szCs w:val="20"/>
              </w:rPr>
              <w:t>Painel de acompanhamento</w:t>
            </w:r>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Firmware do nó</w:t>
            </w:r>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w:t>
      </w:r>
      <w:r>
        <w:rPr>
          <w:lang w:val="pt-BR"/>
        </w:rPr>
        <w:t xml:space="preserve">O dimensionamento para o parque municipal não é objeto do trabalho; a arquitetura que a operação exigiria é descrita em 3.12.6.4.</w:t>
      </w:r>
      <w:r>
        <w:rPr>
          <w:lang w:val="pt-BR"/>
        </w:rPr>
        <w:t xml:space="preserve">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4DA19C6E"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087940C4" w14:textId="77777777" w:rsidR="00E01C3A" w:rsidRDefault="00CC3326">
            <w:r>
              <w:rPr>
                <w:b/>
                <w:bCs/>
                <w:sz w:val="20"/>
                <w:szCs w:val="20"/>
              </w:rPr>
              <w:t>Conteúdo</w:t>
            </w:r>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/eventos</w:t>
            </w:r>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/decisoes</w:t>
            </w:r>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/telemetria</w:t>
            </w:r>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/trechos</w:t>
            </w:r>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/pontos</w:t>
            </w:r>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/alertas</w:t>
            </w:r>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/energia</w:t>
            </w:r>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/bancada/sessoes e POST /bancada/calibracoes</w:t>
            </w:r>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2FD43DD5" w14:textId="77777777" w:rsidR="00E01C3A" w:rsidRDefault="00CC3326">
            <w:r>
              <w:rPr>
                <w:sz w:val="20"/>
                <w:szCs w:val="20"/>
              </w:rPr>
              <w:t>Tópico assinado pelo nó</w:t>
            </w:r>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AECF773"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MQTT – iluminacao/{ponto}/estado</w:t>
            </w:r>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339DEE2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285AB3">
      <w:pPr>
        <w:spacing w:after="120" w:line="360" w:lineRule="auto"/>
        <w:ind w:firstLine="709"/>
        <w:jc w:val="both"/>
        <w:rPr>
          <w:lang w:val="pt-BR"/>
        </w:rPr>
      </w:pPr>
      <w:r>
        <w:rPr>
          <w:lang w:val="pt-BR"/>
        </w:rPr>
        <w:t>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w:t>
      </w:r>
      <w:r>
        <w:rPr>
          <w:lang w:val="pt-BR"/>
        </w:rPr>
        <w:t xml:space="preserve">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5F9CD9EB"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285AB3">
      <w:pPr>
        <w:spacing w:after="280"/>
        <w:jc w:val="center"/>
        <w:rPr>
          <w:lang w:val="pt-BR"/>
        </w:rPr>
      </w:pPr>
      <w:r>
        <w:rPr>
          <w:sz w:val="20"/>
          <w:szCs w:val="20"/>
          <w:lang w:val="pt-BR"/>
        </w:rPr>
        <w:t>Fonte: Elaborado pelos autores (2026).</w:t>
      </w:r>
    </w:p>
    <w:p w14:paraId="4BB7702D" w14:textId="0EC1CD6F"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285AB3">
      <w:pPr>
        <w:spacing w:after="280"/>
        <w:jc w:val="center"/>
        <w:rPr>
          <w:lang w:val="pt-BR"/>
        </w:rPr>
      </w:pPr>
      <w:r>
        <w:rPr>
          <w:sz w:val="20"/>
          <w:szCs w:val="20"/>
          <w:lang w:val="pt-BR"/>
        </w:rPr>
        <w:t>Fonte: Elaborado pelos autores (2026).</w:t>
      </w:r>
    </w:p>
    <w:p w14:paraId="567C1D20"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w:t>
      </w:r>
      <w:r>
        <w:rPr>
          <w:lang w:val="pt-BR"/>
        </w:rPr>
        <w:t xml:space="preserve">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694C1BA6"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285AB3">
      <w:pPr>
        <w:spacing w:after="280"/>
        <w:jc w:val="center"/>
        <w:rPr>
          <w:lang w:val="pt-BR"/>
        </w:rPr>
      </w:pPr>
      <w:r>
        <w:rPr>
          <w:sz w:val="20"/>
          <w:szCs w:val="20"/>
          <w:lang w:val="pt-BR"/>
        </w:rPr>
        <w:t>Fonte: Elaborado pelos autores (2026).</w:t>
      </w:r>
    </w:p>
    <w:p w14:paraId="6D7E14FE" w14:textId="4376DE49"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285AB3">
      <w:pPr>
        <w:spacing w:after="280"/>
        <w:jc w:val="center"/>
        <w:rPr>
          <w:lang w:val="pt-BR"/>
        </w:rPr>
      </w:pPr>
      <w:r>
        <w:rPr>
          <w:sz w:val="20"/>
          <w:szCs w:val="20"/>
          <w:lang w:val="pt-BR"/>
        </w:rPr>
        <w:t>Fonte: Elaborado pelos autores (2026).</w:t>
      </w:r>
    </w:p>
    <w:p>
      <w:pPr>
        <w:pStyle w:val="Heading4"/>
        <w:spacing w:before="320" w:after="200" w:line="360" w:lineRule="auto"/>
      </w:pPr>
      <w:r>
        <w:rPr>
          <w:lang w:val="pt-BR"/>
        </w:rPr>
        <w:t xml:space="preserve">3.12.6.4 Arquitetura de referência para operação em escala</w:t>
      </w:r>
    </w:p>
    <w:p>
      <w:pPr>
        <w:spacing w:after="120" w:line="360" w:lineRule="auto"/>
        <w:ind w:firstLine="709"/>
        <w:jc w:val="both"/>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decisão como serviço municipal autônomo, a verificação normativa no caminho do comando e o registro auditável de cada decisão —, e mudam a distribuição, a redundância e o transporte.</w:t>
      </w:r>
    </w:p>
    <w:p>
      <w:pPr>
        <w:spacing w:after="120" w:line="360" w:lineRule="auto"/>
        <w:ind w:firstLine="709"/>
        <w:jc w:val="both"/>
      </w:pPr>
      <w:r>
        <w:rPr>
          <w:lang w:val="pt-BR"/>
        </w:rPr>
        <w:t xml:space="preserve">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pPr>
      <w:r>
        <w:rPr>
          <w:lang w:val="pt-BR"/>
        </w:rPr>
        <w:t xml:space="preserve">Atendidas essas exigências, a arquitetura de referência compõe-se dos seguintes elementos.</w:t>
      </w:r>
    </w:p>
    <w:p>
      <w:pPr>
        <w:pStyle w:val="ListParagraph"/>
        <w:numPr>
          <w:ilvl w:val="0"/>
          <w:numId w:val="2"/>
        </w:numPr>
        <w:spacing w:after="120" w:line="360" w:lineRule="auto"/>
        <w:jc w:val="both"/>
      </w:pPr>
      <w:r>
        <w:rPr>
          <w:lang w:val="pt-BR"/>
        </w:rPr>
        <w:t xml:space="preserve">Entrada de eventos. </w:t>
      </w:r>
      <w:r>
        <w:rPr>
          <w:lang w:val="pt-BR"/>
        </w:rPr>
        <w:t xml:space="preserve">Um portal de interface de programação, como o Kong Gateway, recebe</w:t>
      </w:r>
      <w:r>
        <w:rPr>
          <w:lang w:val="pt-BR"/>
        </w:rPr>
        <w:t xml:space="preserve"> as publicações da plataforma de monitoramento, autentica a plataforma por certificado de cliente, em lugar de chave compartilhada, limita a taxa de envio e valida cada item contra a especificação do Quadro 18. Os itens aceitos são gravados em um </w:t>
      </w:r>
      <w:r>
        <w:rPr>
          <w:lang w:val="pt-BR"/>
        </w:rPr>
        <w:t xml:space="preserve">registro distribuído e durável de eventos — o Apache Kafka, ou serviço gerenciado compatível —, particionado</w:t>
      </w:r>
      <w:r>
        <w:rPr>
          <w:lang w:val="pt-BR"/>
        </w:rPr>
        <w:t xml:space="preserve"> pelo código do trecho, que substitui a notificação do banco de dados usada no protótipo: a partição por trecho preserva a ordem das publicações de cada trecho, e o registro retém os eventos enquanto a decisão estiver indisponível ou atrasada, sem perdê-los.</w:t>
      </w:r>
    </w:p>
    <w:p>
      <w:pPr>
        <w:pStyle w:val="ListParagraph"/>
        <w:numPr>
          <w:ilvl w:val="0"/>
          <w:numId w:val="2"/>
        </w:numPr>
        <w:spacing w:after="120" w:line="360" w:lineRule="auto"/>
        <w:jc w:val="both"/>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cada trecho — fica em </w:t>
      </w:r>
      <w:r>
        <w:rPr>
          <w:lang w:val="pt-BR"/>
        </w:rPr>
        <w:t xml:space="preserve">armazenamento compartilhado de baixa latência, como o Redis, e</w:t>
      </w:r>
      <w:r>
        <w:rPr>
          <w:lang w:val="pt-BR"/>
        </w:rPr>
        <w:t xml:space="preserv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pPr>
        <w:pStyle w:val="ListParagraph"/>
        <w:numPr>
          <w:ilvl w:val="0"/>
          <w:numId w:val="2"/>
        </w:numPr>
        <w:spacing w:after="120" w:line="360" w:lineRule="auto"/>
        <w:jc w:val="both"/>
      </w:pPr>
      <w:r>
        <w:rPr>
          <w:lang w:val="pt-BR"/>
        </w:rPr>
        <w:t xml:space="preserve">Previsão fora do caminho do comando. O treino do modelo é processo periódico, separado da decisão, que lê o histórico de volumes, avalia o modelo novo contra as referências de 3.6 </w:t>
      </w:r>
      <w:r>
        <w:rPr>
          <w:lang w:val="pt-BR"/>
        </w:rPr>
        <w:t xml:space="preserve">e o registra com versão, em registro de modelos como o do MLflow.</w:t>
      </w:r>
      <w:r>
        <w:rPr>
          <w:lang w:val="pt-BR"/>
        </w:rPr>
        <w:t xml:space="preserve"> As réplicas carregam apenas versões aprovadas, e cada decisão grava a versão usada, como já faz o protótipo (RNF04). A base de regras segue o mesmo percurso de versão e aprovação.</w:t>
      </w:r>
    </w:p>
    <w:p>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pPr>
        <w:pStyle w:val="ListParagraph"/>
        <w:numPr>
          <w:ilvl w:val="0"/>
          <w:numId w:val="2"/>
        </w:numPr>
        <w:spacing w:after="120" w:line="360" w:lineRule="auto"/>
        <w:jc w:val="both"/>
      </w:pPr>
      <w:r>
        <w:rPr>
          <w:lang w:val="pt-BR"/>
        </w:rPr>
        <w:t xml:space="preserve">Dados em dois níveis. Cadastro, classes de iluminação, versões e decisões </w:t>
      </w:r>
      <w:r>
        <w:rPr>
          <w:lang w:val="pt-BR"/>
        </w:rPr>
        <w:t xml:space="preserve">ficam em PostgreSQL gerenciado — o mesmo banco do protótipo, oferecido como serviço pelo provedor —,</w:t>
      </w:r>
      <w:r>
        <w:rPr>
          <w:lang w:val="pt-BR"/>
        </w:rPr>
        <w:t xml:space="preserve"> com réplica em outra zona de disponibilidade, cópia de segurança automática e restauração a qualquer instante. Eventos e telemetria, que crescem com o número de pontos e com o tempo, ficam em </w:t>
      </w:r>
      <w:r>
        <w:rPr>
          <w:lang w:val="pt-BR"/>
        </w:rPr>
        <w:t xml:space="preserve">armazenamento orientado a série temporal, como a extensão TimescaleDB do PostgreSQL,</w:t>
      </w:r>
      <w:r>
        <w:rPr>
          <w:lang w:val="pt-BR"/>
        </w:rPr>
        <w:t xml:space="preserve"> particionado por tempo e com política de retenção, como recomenda 6.1. As consultas do painel são atendidas por réplica de leitura, sem concorrer com a decisão.</w:t>
      </w:r>
    </w:p>
    <w:p>
      <w:pPr>
        <w:pStyle w:val="ListParagraph"/>
        <w:numPr>
          <w:ilvl w:val="0"/>
          <w:numId w:val="2"/>
        </w:numPr>
        <w:spacing w:after="120" w:line="360" w:lineRule="auto"/>
        <w:jc w:val="both"/>
      </w:pPr>
      <w:r>
        <w:rPr>
          <w:lang w:val="pt-BR"/>
        </w:rPr>
        <w:t xml:space="preserve">Painel com acesso controlado. O painel deixa de publicar com chave embutida: o operador municipal autentica-se </w:t>
      </w:r>
      <w:r>
        <w:rPr>
          <w:lang w:val="pt-BR"/>
        </w:rPr>
        <w:t xml:space="preserve">pelo provedor de identidade do município, por OpenID Connect, ou por servidor de identidade como o Keycloak,</w:t>
      </w:r>
      <w:r>
        <w:rPr>
          <w:lang w:val="pt-BR"/>
        </w:rPr>
        <w:t xml:space="preserve"> com perfis distintos para consulta, para alteração de parâmetros normativos e para publicação manual, e toda alteração fica registrada.</w:t>
      </w:r>
    </w:p>
    <w:p>
      <w:pPr>
        <w:pStyle w:val="ListParagraph"/>
        <w:numPr>
          <w:ilvl w:val="0"/>
          <w:numId w:val="2"/>
        </w:numPr>
        <w:spacing w:after="120" w:line="360" w:lineRule="auto"/>
        <w:jc w:val="both"/>
      </w:pPr>
      <w:r>
        <w:rPr>
          <w:lang w:val="pt-BR"/>
        </w:rPr>
        <w:t xml:space="preserve">Operação. Os serviços são executados </w:t>
      </w:r>
      <w:r>
        <w:rPr>
          <w:lang w:val="pt-BR"/>
        </w:rPr>
        <w:t xml:space="preserve">em Kubernetes, plataforma de orquestração de contêineres,</w:t>
      </w:r>
      <w:r>
        <w:rPr>
          <w:lang w:val="pt-BR"/>
        </w:rPr>
        <w:t xml:space="preserve"> distribuída em mais de uma zona de disponibilidade, que substitui contêineres com falha e redistribui a carga. Credenciais ficam em </w:t>
      </w:r>
      <w:r>
        <w:rPr>
          <w:lang w:val="pt-BR"/>
        </w:rPr>
        <w:t xml:space="preserve">cofre de segredos, como o HashiCorp Vault ou o serviço equivalente do provedor, e não</w:t>
      </w:r>
      <w:r>
        <w:rPr>
          <w:lang w:val="pt-BR"/>
        </w:rPr>
        <w:t xml:space="preserve"> em arquivo da máquina. </w:t>
      </w:r>
      <w:r>
        <w:rPr>
          <w:lang w:val="pt-BR"/>
        </w:rPr>
        <w:t xml:space="preserve">Métricas, registros e alertas, coletados com OpenTelemetry e exibidos em Prometheus e Grafana, cobrem</w:t>
      </w:r>
      <w:r>
        <w:rPr>
          <w:lang w:val="pt-BR"/>
        </w:rPr>
        <w:t xml:space="preserve">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pPr>
        <w:spacing w:after="120" w:line="360" w:lineRule="auto"/>
        <w:ind w:firstLine="709"/>
        <w:jc w:val="both"/>
      </w:pPr>
      <w:r>
        <w:rPr>
          <w:lang w:val="pt-BR"/>
        </w:rPr>
        <w:t xml:space="preserve">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w:t>
      </w:r>
      <w:r>
        <w:rPr>
          <w:lang w:val="pt-BR"/>
        </w:rPr>
        <w:t xml:space="preserve">Os produtos citados são exemplos de código aberto, com equivalentes gerenciados nos principais provedores de nuvem, e não escolha definitiva; servem de base para estimar o custo da operação. A arquitetura não foi implantada,</w:t>
      </w:r>
      <w:r>
        <w:rPr>
          <w:lang w:val="pt-BR"/>
        </w:rPr>
        <w:t xml:space="preserve"> dimensionada nem ensaiada, e seu custo não foi estimado; a lacuna figura entre as limitações (5.3) e entre as recomendações (6.1).</w:t>
      </w:r>
    </w:p>
    <w:p w14:paraId="4A64C4A5"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0F7B0707" w:rsidR="00847C0D" w:rsidRDefault="00CC3326">
      <w:pPr>
        <w:keepNext/>
        <w:spacing w:before="260" w:after="130"/>
      </w:pPr>
      <w:bookmarkStart w:id="77" w:name="_Toc24254973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7C07126" w14:textId="77777777" w:rsidR="00847C0D" w:rsidRDefault="00CC3326">
            <w:r>
              <w:rPr>
                <w:sz w:val="20"/>
                <w:szCs w:val="20"/>
              </w:rPr>
              <w:t>Resultado esperado</w:t>
            </w:r>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r>
              <w:rPr>
                <w:sz w:val="20"/>
                <w:szCs w:val="20"/>
              </w:rPr>
              <w:t>Comando vencido sem renovação</w:t>
            </w:r>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78" w:name="_Toc242549693"/>
      <w:r>
        <w:rPr>
          <w:lang w:val="pt-BR"/>
        </w:rPr>
        <w:t>3.12.8 Cronograma de atividades</w:t>
      </w:r>
      <w:bookmarkEnd w:id="78"/>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285AB3">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w:t>
      </w:r>
      <w:r>
        <w:rPr>
          <w:lang w:val="pt-BR"/>
        </w:rPr>
        <w:t>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73C6D92E"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295FD902"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66A1F3C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E12F149" w14:textId="77777777" w:rsidR="006B1E66" w:rsidRDefault="00CC3326">
            <w:r>
              <w:rPr>
                <w:b/>
                <w:bCs/>
                <w:sz w:val="20"/>
                <w:szCs w:val="20"/>
              </w:rPr>
              <w:t>Função no sistema</w:t>
            </w:r>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r>
              <w:rPr>
                <w:sz w:val="20"/>
                <w:szCs w:val="20"/>
              </w:rPr>
              <w:t>classe_iluminacao</w:t>
            </w:r>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r>
              <w:rPr>
                <w:sz w:val="20"/>
                <w:szCs w:val="20"/>
              </w:rPr>
              <w:t>ponto_de_luz</w:t>
            </w:r>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r>
              <w:rPr>
                <w:sz w:val="20"/>
                <w:szCs w:val="20"/>
              </w:rPr>
              <w:t>trecho_via</w:t>
            </w:r>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r>
              <w:rPr>
                <w:sz w:val="20"/>
                <w:szCs w:val="20"/>
              </w:rPr>
              <w:lastRenderedPageBreak/>
              <w:t>trecho_ponto</w:t>
            </w:r>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r>
              <w:rPr>
                <w:sz w:val="20"/>
                <w:szCs w:val="20"/>
              </w:rPr>
              <w:t>evento_urbano</w:t>
            </w:r>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r>
              <w:rPr>
                <w:sz w:val="20"/>
                <w:szCs w:val="20"/>
              </w:rPr>
              <w:t>versao_base_regras</w:t>
            </w:r>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r>
              <w:rPr>
                <w:sz w:val="20"/>
                <w:szCs w:val="20"/>
              </w:rPr>
              <w:t>decisao</w:t>
            </w:r>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r>
              <w:rPr>
                <w:sz w:val="20"/>
                <w:szCs w:val="20"/>
              </w:rPr>
              <w:t>telemetria</w:t>
            </w:r>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r>
              <w:rPr>
                <w:sz w:val="20"/>
                <w:szCs w:val="20"/>
              </w:rPr>
              <w:t>versao_modelo_previsao</w:t>
            </w:r>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r>
              <w:rPr>
                <w:sz w:val="20"/>
                <w:szCs w:val="20"/>
              </w:rPr>
              <w:t>execucao_cenario</w:t>
            </w:r>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r>
              <w:rPr>
                <w:sz w:val="20"/>
                <w:szCs w:val="20"/>
              </w:rPr>
              <w:t>sessao_medicao</w:t>
            </w:r>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r>
              <w:rPr>
                <w:sz w:val="20"/>
                <w:szCs w:val="20"/>
              </w:rPr>
              <w:t>calibracao</w:t>
            </w:r>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r>
              <w:rPr>
                <w:sz w:val="20"/>
                <w:szCs w:val="20"/>
              </w:rPr>
              <w:t>alerta_diagnostico</w:t>
            </w:r>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r>
              <w:rPr>
                <w:sz w:val="20"/>
                <w:szCs w:val="20"/>
              </w:rPr>
              <w:t>luminaria_referencia</w:t>
            </w:r>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9FB2450"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1661AA42"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BC5286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Uso pelo sistema</w:t>
            </w:r>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r>
              <w:rPr>
                <w:sz w:val="20"/>
                <w:szCs w:val="20"/>
              </w:rPr>
              <w:t>classe_iluminacao</w:t>
            </w:r>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r>
              <w:rPr>
                <w:sz w:val="20"/>
                <w:szCs w:val="20"/>
              </w:rPr>
              <w:t>ponto_de_luz</w:t>
            </w:r>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r>
              <w:rPr>
                <w:sz w:val="20"/>
                <w:szCs w:val="20"/>
              </w:rPr>
              <w:t>trecho_via</w:t>
            </w:r>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r>
              <w:rPr>
                <w:sz w:val="20"/>
                <w:szCs w:val="20"/>
              </w:rPr>
              <w:t>trecho_ponto</w:t>
            </w:r>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r>
              <w:rPr>
                <w:sz w:val="20"/>
                <w:szCs w:val="20"/>
              </w:rPr>
              <w:t>luminaria_referencia</w:t>
            </w:r>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r>
              <w:rPr>
                <w:sz w:val="20"/>
                <w:szCs w:val="20"/>
              </w:rPr>
              <w:t>evento_urbano</w:t>
            </w:r>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r>
              <w:rPr>
                <w:sz w:val="20"/>
                <w:szCs w:val="20"/>
              </w:rPr>
              <w:t>versao_base_regras</w:t>
            </w:r>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r>
              <w:rPr>
                <w:sz w:val="20"/>
                <w:szCs w:val="20"/>
              </w:rPr>
              <w:t>versao_modelo_previsao</w:t>
            </w:r>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r>
              <w:rPr>
                <w:sz w:val="20"/>
                <w:szCs w:val="20"/>
              </w:rPr>
              <w:t>execucao_cenario</w:t>
            </w:r>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r>
              <w:rPr>
                <w:sz w:val="20"/>
                <w:szCs w:val="20"/>
              </w:rPr>
              <w:lastRenderedPageBreak/>
              <w:t>decisao</w:t>
            </w:r>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r>
              <w:rPr>
                <w:sz w:val="20"/>
                <w:szCs w:val="20"/>
              </w:rPr>
              <w:t>decisao_evento</w:t>
            </w:r>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r>
              <w:rPr>
                <w:sz w:val="20"/>
                <w:szCs w:val="20"/>
              </w:rPr>
              <w:t>sessao_medicao</w:t>
            </w:r>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r>
              <w:rPr>
                <w:sz w:val="20"/>
                <w:szCs w:val="20"/>
              </w:rPr>
              <w:t>telemetria</w:t>
            </w:r>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r>
              <w:rPr>
                <w:sz w:val="20"/>
                <w:szCs w:val="20"/>
              </w:rPr>
              <w:t>calibracao</w:t>
            </w:r>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r>
              <w:rPr>
                <w:sz w:val="20"/>
                <w:szCs w:val="20"/>
              </w:rPr>
              <w:t>alerta_diagnostico</w:t>
            </w:r>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w:t>
      </w:r>
      <w:r>
        <w:rPr>
          <w:lang w:val="pt-BR"/>
        </w:rPr>
        <w:t>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w:t>
      </w:r>
      <w:r>
        <w:rPr>
          <w:lang w:val="pt-BR"/>
        </w:rPr>
        <w:t>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w:t>
      </w:r>
      <w:r>
        <w:rPr>
          <w:lang w:val="pt-BR"/>
        </w:rPr>
        <w:t>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w:t>
      </w:r>
      <w:r>
        <w:rPr>
          <w:lang w:val="pt-BR"/>
        </w:rPr>
        <w:t>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5AADA786"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EC2A7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126A8B7" w14:textId="77777777" w:rsidR="00E01C3A" w:rsidRDefault="00CC3326">
            <w:r>
              <w:rPr>
                <w:b/>
                <w:bCs/>
                <w:sz w:val="20"/>
                <w:szCs w:val="20"/>
              </w:rPr>
              <w:t>Justificativa</w:t>
            </w:r>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O que publicar: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3CE7476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r>
              <w:rPr>
                <w:sz w:val="20"/>
                <w:szCs w:val="20"/>
              </w:rPr>
              <w:lastRenderedPageBreak/>
              <w:t>Madrugada ociosa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r>
              <w:rPr>
                <w:sz w:val="20"/>
                <w:szCs w:val="20"/>
              </w:rPr>
              <w:t>Ruído na fronteira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r>
              <w:rPr>
                <w:sz w:val="20"/>
                <w:szCs w:val="20"/>
              </w:rPr>
              <w:t>Suíte</w:t>
            </w:r>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0B2DB2E3"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r>
              <w:rPr>
                <w:sz w:val="20"/>
                <w:szCs w:val="20"/>
              </w:rPr>
              <w:t>Fluxo pleno constante</w:t>
            </w:r>
          </w:p>
        </w:tc>
        <w:tc>
          <w:tcPr>
            <w:tcW w:w="2700" w:type="dxa"/>
            <w:tcMar>
              <w:top w:w="70" w:type="dxa"/>
              <w:left w:w="90" w:type="dxa"/>
              <w:bottom w:w="70" w:type="dxa"/>
              <w:right w:w="90" w:type="dxa"/>
            </w:tcMar>
          </w:tcPr>
          <w:p w14:paraId="1FA28A44" w14:textId="77777777" w:rsidR="00E01C3A" w:rsidRDefault="00CC3326">
            <w:r>
              <w:rPr>
                <w:sz w:val="20"/>
                <w:szCs w:val="20"/>
              </w:rPr>
              <w:t>746,7 Wh; 8.213,3 Wh</w:t>
            </w:r>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530,0 Wh; 5.830,0 Wh</w:t>
            </w:r>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565,3 Wh; 6.218,4 Wh</w:t>
            </w:r>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r>
              <w:rPr>
                <w:sz w:val="20"/>
                <w:szCs w:val="20"/>
              </w:rPr>
              <w:t>Adaptativo, sem previsão</w:t>
            </w:r>
          </w:p>
        </w:tc>
        <w:tc>
          <w:tcPr>
            <w:tcW w:w="2700" w:type="dxa"/>
            <w:tcMar>
              <w:top w:w="70" w:type="dxa"/>
              <w:left w:w="90" w:type="dxa"/>
              <w:bottom w:w="70" w:type="dxa"/>
              <w:right w:w="90" w:type="dxa"/>
            </w:tcMar>
          </w:tcPr>
          <w:p w14:paraId="2545023C" w14:textId="77777777" w:rsidR="00E01C3A" w:rsidRDefault="00CC3326">
            <w:r>
              <w:rPr>
                <w:sz w:val="20"/>
                <w:szCs w:val="20"/>
              </w:rPr>
              <w:t>556,7 Wh; 6.123,8 Wh</w:t>
            </w:r>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568,5 Wh; 6.253,3 Wh</w:t>
            </w:r>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1F85546C"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B373EEC"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7175CFB4" w14:textId="77777777" w:rsidR="00E01C3A" w:rsidRDefault="00CC3326">
            <w:r>
              <w:rPr>
                <w:b/>
                <w:bCs/>
                <w:sz w:val="20"/>
                <w:szCs w:val="20"/>
              </w:rPr>
              <w:t>Resultado</w:t>
            </w:r>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r>
              <w:rPr>
                <w:sz w:val="20"/>
                <w:szCs w:val="20"/>
              </w:rPr>
              <w:t>Previsão × modo reativo</w:t>
            </w:r>
          </w:p>
        </w:tc>
        <w:tc>
          <w:tcPr>
            <w:tcW w:w="2700" w:type="dxa"/>
            <w:tcMar>
              <w:top w:w="70" w:type="dxa"/>
              <w:left w:w="90" w:type="dxa"/>
              <w:bottom w:w="70" w:type="dxa"/>
              <w:right w:w="90" w:type="dxa"/>
            </w:tcMar>
          </w:tcPr>
          <w:p w14:paraId="476A8EEE" w14:textId="77777777" w:rsidR="00E01C3A" w:rsidRDefault="00CC3326">
            <w:r>
              <w:rPr>
                <w:sz w:val="20"/>
                <w:szCs w:val="20"/>
              </w:rPr>
              <w:t>Oito noites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r>
              <w:rPr>
                <w:sz w:val="20"/>
                <w:szCs w:val="20"/>
              </w:rPr>
              <w:t>Oito noites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26117663"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Erro absoluto médio</w:t>
            </w:r>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44998CA7"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0,625 × 0,581 (0,044 a mais)</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3D0A34D" w14:textId="77777777" w:rsidR="00E01C3A" w:rsidRDefault="00CC3326">
            <w:r>
              <w:rPr>
                <w:sz w:val="20"/>
                <w:szCs w:val="20"/>
              </w:rPr>
              <w:t>Não substituível</w:t>
            </w:r>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7584C70A"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w:t>
      </w:r>
      <w:r>
        <w:rPr>
          <w:lang w:val="pt-BR"/>
        </w:rPr>
        <w:t>e a taxa.</w:t>
      </w:r>
    </w:p>
    <w:p w14:paraId="266D3D15"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w:t>
      </w:r>
      <w:r>
        <w:rPr>
          <w:lang w:val="pt-BR"/>
        </w:rPr>
        <w:t>gir resposta, o regime adaptativo consome 78,6 % do horário fixo. A economia sobre a programação horária, portanto, depende do padrão de uso da via; a vantagem em luz adequada, não.</w:t>
      </w:r>
    </w:p>
    <w:p w14:paraId="5A581C8F"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w:t>
      </w:r>
      <w:r>
        <w:rPr>
          <w:lang w:val="pt-BR"/>
        </w:rPr>
        <w:t>ão (4.3). E a hipótese H3 teve resultado contrário ao esperado, como discutido em 5.1.</w:t>
      </w:r>
    </w:p>
    <w:p w14:paraId="70869593" w14:textId="77777777" w:rsidR="00A13357" w:rsidRPr="002F1978" w:rsidRDefault="00285AB3">
      <w:pPr>
        <w:spacing w:after="120" w:line="360" w:lineRule="auto"/>
        <w:ind w:firstLine="709"/>
        <w:jc w:val="both"/>
        <w:rPr>
          <w:lang w:val="pt-BR"/>
        </w:rPr>
      </w:pPr>
      <w:r>
        <w:rPr>
          <w:lang w:val="pt-BR"/>
        </w:rPr>
        <w:t>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w:t>
      </w:r>
      <w:r>
        <w:rPr>
          <w:lang w:val="pt-BR"/>
        </w:rPr>
        <w:t xml:space="preserve">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w:t>
      </w:r>
      <w:r>
        <w:rPr>
          <w:lang w:val="pt-BR"/>
        </w:rPr>
        <w:t>)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137A4EF9" w14:textId="77777777" w:rsidR="00372878" w:rsidRPr="00430DB3" w:rsidRDefault="00285AB3">
      <w:pPr>
        <w:pStyle w:val="ListParagraph"/>
        <w:numPr>
          <w:ilvl w:val="0"/>
          <w:numId w:val="2"/>
        </w:numPr>
        <w:spacing w:after="120" w:line="360" w:lineRule="auto"/>
        <w:jc w:val="both"/>
        <w:rPr>
          <w:lang w:val="pt-BR"/>
        </w:rPr>
      </w:pPr>
      <w:r>
        <w:rPr>
          <w:lang w:val="pt-BR"/>
        </w:rPr>
        <w:t xml:space="preserve">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w:t>
      </w:r>
      <w:r>
        <w:rPr>
          <w:lang w:val="pt-BR"/>
        </w:rPr>
        <w:t>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285AB3">
      <w:pPr>
        <w:pStyle w:val="ListParagraph"/>
        <w:numPr>
          <w:ilvl w:val="0"/>
          <w:numId w:val="2"/>
        </w:numPr>
        <w:spacing w:after="120" w:line="360" w:lineRule="auto"/>
        <w:jc w:val="both"/>
        <w:rPr>
          <w:lang w:val="pt-BR"/>
        </w:rPr>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w:t>
      </w:r>
      <w:r>
        <w:rPr>
          <w:lang w:val="pt-BR"/>
        </w:rPr>
        <w:t>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285AB3">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w:t>
      </w:r>
      <w:r>
        <w:rPr>
          <w:lang w:val="pt-BR"/>
        </w:rPr>
        <w:t>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pPr>
        <w:pStyle w:val="ListParagraph"/>
        <w:numPr>
          <w:ilvl w:val="0"/>
          <w:numId w:val="2"/>
        </w:numPr>
        <w:spacing w:after="120" w:line="360" w:lineRule="auto"/>
        <w:jc w:val="both"/>
      </w:pPr>
      <w:r>
        <w:rPr>
          <w:lang w:val="pt-BR"/>
        </w:rPr>
        <w:t xml:space="preserve">Implantar a arquitetura de referência para operação em escala, com teste de carga, de falha de componente e de recuperação, e estimar o seu custo (3.12.6.4 e 5.3).</w:t>
      </w:r>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24DEDD1" w14:textId="77777777" w:rsidR="006B1E66" w:rsidRPr="00430DB3" w:rsidRDefault="00CC3326">
      <w:pPr>
        <w:spacing w:after="240"/>
        <w:rPr>
          <w:lang w:val="pt-BR"/>
        </w:rPr>
      </w:pPr>
      <w:r>
        <w:t xml:space="preserve">RUDIN, Cynthia. Stop explaining black box machine learning models for high stakes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r w:rsidRPr="00430DB3">
        <w:t>Acesso em: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Daten der automatischen Fussgänger- und Velozählung: Viertelstundenwerte. </w:t>
      </w:r>
      <w:r>
        <w:rPr>
          <w:lang w:val="pt-BR"/>
        </w:rPr>
        <w:t xml:space="preserve">Zürich: Open Data Zürich, 2026. Conjunto de dados. Disponível em: https://data.stadt-zuerich.ch/dataset/ted_taz_verkehrszaehlungen_werte_fussgaenger_velo. </w:t>
      </w:r>
      <w:r w:rsidRPr="00430DB3">
        <w:t>Acesso em: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t>Acesso em: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w:t>
      </w:r>
      <w:r>
        <w:rPr>
          <w:lang w:val="pt-BR"/>
        </w:rPr>
        <w:t>isão dos autores, e as decisões de projeto, a interpretação dos resultados e as conclusões são dos autores.</w:t>
      </w:r>
    </w:p>
    <w:p w14:paraId="63E671D3" w14:textId="1B0D2336"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87DD5E3"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E834B7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DF21021"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Todo o documento</w:t>
            </w:r>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r>
              <w:rPr>
                <w:sz w:val="20"/>
                <w:szCs w:val="20"/>
              </w:rPr>
              <w:t>Capítulo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Todo o documento</w:t>
            </w:r>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3.6, 3.9, 4.1, 4.6 e Apêndice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5E2465A1"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r>
              <w:rPr>
                <w:b/>
                <w:bCs/>
                <w:sz w:val="20"/>
                <w:szCs w:val="20"/>
              </w:rPr>
              <w:t>Resultado</w:t>
            </w:r>
          </w:p>
        </w:tc>
        <w:tc>
          <w:tcPr>
            <w:tcW w:w="3000" w:type="dxa"/>
            <w:shd w:val="clear" w:color="auto" w:fill="EDEDED"/>
            <w:tcMar>
              <w:top w:w="70" w:type="dxa"/>
              <w:left w:w="90" w:type="dxa"/>
              <w:bottom w:w="70" w:type="dxa"/>
              <w:right w:w="90" w:type="dxa"/>
            </w:tcMar>
          </w:tcPr>
          <w:p w14:paraId="1D3C0E28" w14:textId="77777777" w:rsidR="00E01C3A" w:rsidRDefault="00CC3326">
            <w:r>
              <w:rPr>
                <w:b/>
                <w:bCs/>
                <w:sz w:val="20"/>
                <w:szCs w:val="20"/>
              </w:rPr>
              <w:t>Programa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r>
              <w:rPr>
                <w:sz w:val="20"/>
                <w:szCs w:val="20"/>
              </w:rPr>
              <w:t>Tabela 4 e conferências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10F4DDD6"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ED9A3BE"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285AB3">
      <w:pPr>
        <w:spacing w:after="280"/>
        <w:jc w:val="center"/>
      </w:pPr>
      <w:r>
        <w:rPr>
          <w:sz w:val="20"/>
          <w:szCs w:val="20"/>
          <w:lang w:val="pt-BR"/>
        </w:rPr>
        <w:t>Fonte: Acervo dos autores (2026).</w:t>
      </w:r>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3192" w14:textId="77777777" w:rsidR="00285AB3" w:rsidRDefault="00285AB3">
      <w:r>
        <w:separator/>
      </w:r>
    </w:p>
  </w:endnote>
  <w:endnote w:type="continuationSeparator" w:id="0">
    <w:p w14:paraId="7EB71368" w14:textId="77777777" w:rsidR="00285AB3" w:rsidRDefault="0028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56B6" w14:textId="77777777" w:rsidR="00285AB3" w:rsidRDefault="00285AB3">
      <w:r>
        <w:separator/>
      </w:r>
    </w:p>
  </w:footnote>
  <w:footnote w:type="continuationSeparator" w:id="0">
    <w:p w14:paraId="00212C61" w14:textId="77777777" w:rsidR="00285AB3" w:rsidRDefault="0028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D0833"/>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140</Pages>
  <Words>42561</Words>
  <Characters>242599</Characters>
  <Application>Microsoft Office Word</Application>
  <DocSecurity>0</DocSecurity>
  <Lines>2021</Lines>
  <Paragraphs>569</Paragraphs>
  <ScaleCrop>false</ScaleCrop>
  <Company/>
  <LinksUpToDate>false</LinksUpToDate>
  <CharactersWithSpaces>284591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2026-10-10T21:33:00Z</dcterms:created>
  <dcterms:modified xsi:type="dcterms:W3CDTF">2026-10-10T21:33:00Z</dcterms:modified>
</cp:coreProperties>
</file>