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rPr>
          <w:ins w:id="30000" w:author="Vitor Oliveira" w:date="2026-10-03T18:00:00Z"/>
        </w:rPr>
      </w:pPr>
      <w:ins w:id="30001" w:author="Vitor Oliveira" w:date="2026-10-03T18:00:00Z">
        <w:r>
          <w:rPr>
            <w:lang w:val="pt-BR"/>
          </w:rPr>
          <w: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carga incompatível com os enlaces de longo alcance e baixo consumo típicos da telegestão. A implantação exigiria emitir comando apenas quando o nível muda, com sinal de vida mais espaçado e failsafe proporcionalmente mais longo, preservando no serviço o controle da taxa de decréscimo; essa variante não foi implementada nem testada.</w:t>
        </w:r>
      </w:ins>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