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lastRenderedPageBreak/>
        <w:t>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w:t>
      </w:r>
      <w:r>
        <w:rPr>
          <w:lang w:val="pt-BR"/>
        </w:rPr>
        <w:t xml:space="preserve">pela mesma lógica do failsafe do nó (3.4), que, com comando a cada 5 s, tolera 15 s: duas publicações podem se perder sem efeito</w:t>
      </w:r>
      <w:r>
        <w:rPr>
          <w:lang w:val="pt-BR"/>
        </w:rPr>
        <w:t xml:space="preserve">,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Na ausência de comando por 15 s, três períodos do </w:t>
            </w:r>
            <w:r>
              <w:rPr>
                <w:sz w:val="20"/>
                <w:szCs w:val="20"/>
                <w:lang w:val="pt-BR"/>
              </w:rPr>
              <w:t xml:space="preserve">ciclo de decisão,</w:t>
            </w:r>
            <w:r>
              <w:rPr>
                <w:sz w:val="20"/>
                <w:szCs w:val="20"/>
                <w:lang w:val="pt-BR"/>
              </w:rPr>
              <w:t xml:space="preserve">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4CDFF75E"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4372EAF6" w14:textId="77777777" w:rsidR="00847C0D" w:rsidRDefault="00CC3326">
            <w:r>
              <w:rPr>
                <w:sz w:val="20"/>
                <w:szCs w:val="20"/>
                <w:lang w:val="pt-BR"/>
              </w:rPr>
              <w:t>Rampa recomeça do pleno, e não do último nível gravado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Latência inferior a 2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Nó no pleno em até 15 s,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EFAA70F"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1.440; 100 %;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1.080; 100 %;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13.440; 100 %;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541,4 Wh; 5.954,9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72,5 % do pleno e 102,1 % do horário fixo; aderência de 100 %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532,3 Wh; 5.855,2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71,3 % do pleno e 100,4 % do horário fixo;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538,6 Wh; 5.924,9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72,1 % do pleno e 101,6 % do horário fixo;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[PENDENTE — energia do nó de bancada, a partir da trajetória de ciclo de trabalho registrada na sessão final, e a divergência em relação à estimativa derivada da iluminância medida (3.11).]</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4F07A4D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14:paraId="25F3F71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