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666"/>
        <w:tblBorders>
          <w:top w:val="single" w:color="auto" w:sz="4"/>
          <w:left w:val="single" w:color="auto" w:sz="4"/>
          <w:bottom w:val="single" w:color="auto" w:sz="4"/>
          <w:right w:val="single" w:color="auto" w:sz="4"/>
          <w:insideH w:val="single" w:color="auto" w:sz="4"/>
          <w:insideV w:val="single" w:color="auto" w:sz="4"/>
        </w:tblBorders>
      </w:tblPr>
      <w:tblGrid>
        <w:gridCol w:w="10666"/>
      </w:tblGrid>
      <w:tr>
        <w:tc>
          <w:tcPr>
            <w:tcW w:type="dxa" w:w="10666"/>
            <w:shd w:fill="152238" w:color="auto" w:val="clear"/>
            <w:tcMar>
              <w:top w:type="dxa" w:w="260"/>
              <w:left w:type="dxa" w:w="300"/>
              <w:bottom w:type="dxa" w:w="260"/>
              <w:right w:type="dxa" w:w="300"/>
            </w:tcMar>
          </w:tcPr>
          <w:p>
            <w:pPr>
              <w:spacing w:after="40"/>
              <w:jc w:val="left"/>
            </w:pPr>
            <w:r>
              <w:rPr>
                <w:rFonts w:ascii="IBM Plex Sans" w:cs="IBM Plex Sans" w:eastAsia="IBM Plex Sans" w:hAnsi="IBM Plex Sans"/>
                <w:b/>
                <w:bCs/>
                <w:color w:val="FFFFFF"/>
                <w:sz w:val="44"/>
                <w:szCs w:val="44"/>
              </w:rPr>
              <w:t xml:space="preserve">OLIVE JEPTOO</w:t>
            </w:r>
          </w:p>
          <w:p>
            <w:pPr>
              <w:spacing w:after="0"/>
            </w:pPr>
            <w:r>
              <w:rPr>
                <w:rFonts w:ascii="IBM Plex Sans" w:cs="IBM Plex Sans" w:eastAsia="IBM Plex Sans" w:hAnsi="IBM Plex Sans"/>
                <w:b/>
                <w:bCs/>
                <w:color w:val="B3862F"/>
                <w:sz w:val="20"/>
                <w:szCs w:val="20"/>
              </w:rPr>
              <w:t xml:space="preserve">HEALTH POLICY, INTERNATIONAL RELATIONS &amp; STRATEGIC COMMUNICATIONS PROFESSIONAL</w:t>
            </w:r>
          </w:p>
        </w:tc>
      </w:tr>
    </w:tbl>
    <w:p>
      <w:pPr>
        <w:spacing w:after="0"/>
      </w:pPr>
    </w:p>
    <w:tbl>
      <w:tblPr>
        <w:tblW w:type="dxa" w:w="10666"/>
        <w:tblBorders>
          <w:top w:val="single" w:color="auto" w:sz="4"/>
          <w:left w:val="single" w:color="auto" w:sz="4"/>
          <w:bottom w:val="single" w:color="auto" w:sz="4"/>
          <w:right w:val="single" w:color="auto" w:sz="4"/>
          <w:insideH w:val="single" w:color="auto" w:sz="4"/>
          <w:insideV w:val="single" w:color="auto" w:sz="4"/>
        </w:tblBorders>
      </w:tblPr>
      <w:tblGrid>
        <w:gridCol w:w="3500"/>
        <w:gridCol w:w="7166"/>
      </w:tblGrid>
      <w:tr>
        <w:tc>
          <w:tcPr>
            <w:tcW w:type="dxa" w:w="3500"/>
            <w:shd w:fill="152238" w:color="auto" w:val="clear"/>
            <w:tcMar>
              <w:top w:type="dxa" w:w="220"/>
              <w:left w:type="dxa" w:w="260"/>
              <w:bottom w:type="dxa" w:w="220"/>
              <w:right w:type="dxa" w:w="220"/>
            </w:tcMar>
            <w:vAlign w:val="top"/>
          </w:tcPr>
          <w:p>
            <w:pPr>
              <w:spacing w:after="90" w:before="260"/>
            </w:pPr>
            <w:r>
              <w:rPr>
                <w:rFonts w:ascii="IBM Plex Sans" w:cs="IBM Plex Sans" w:eastAsia="IBM Plex Sans" w:hAnsi="IBM Plex Sans"/>
                <w:b/>
                <w:bCs/>
                <w:color w:val="B3862F"/>
                <w:sz w:val="17"/>
                <w:szCs w:val="17"/>
              </w:rPr>
              <w:t xml:space="preserve">CONTACT</w:t>
            </w:r>
          </w:p>
          <w:p>
            <w:pPr>
              <w:spacing w:after="55"/>
            </w:pPr>
            <w:r>
              <w:rPr>
                <w:rFonts w:ascii="IBM Plex Sans" w:cs="IBM Plex Sans" w:eastAsia="IBM Plex Sans" w:hAnsi="IBM Plex Sans"/>
                <w:color w:val="EAE6DA"/>
                <w:sz w:val="18"/>
                <w:szCs w:val="18"/>
              </w:rPr>
              <w:t xml:space="preserve">+254 719 779 467</w:t>
            </w:r>
          </w:p>
          <w:p>
            <w:pPr>
              <w:spacing w:after="55"/>
            </w:pPr>
            <w:r>
              <w:rPr>
                <w:rFonts w:ascii="IBM Plex Sans" w:cs="IBM Plex Sans" w:eastAsia="IBM Plex Sans" w:hAnsi="IBM Plex Sans"/>
                <w:color w:val="EAE6DA"/>
                <w:sz w:val="18"/>
                <w:szCs w:val="18"/>
              </w:rPr>
              <w:t xml:space="preserve">olivejeptoo@gmail.com</w:t>
            </w:r>
          </w:p>
          <w:p>
            <w:pPr>
              <w:spacing w:after="55"/>
            </w:pPr>
            <w:r>
              <w:rPr>
                <w:rFonts w:ascii="IBM Plex Sans" w:cs="IBM Plex Sans" w:eastAsia="IBM Plex Sans" w:hAnsi="IBM Plex Sans"/>
                <w:color w:val="EAE6DA"/>
                <w:sz w:val="18"/>
                <w:szCs w:val="18"/>
              </w:rPr>
              <w:t xml:space="preserve">Nairobi, Kenya</w:t>
            </w:r>
          </w:p>
          <w:p>
            <w:pPr>
              <w:spacing w:after="90" w:before="260"/>
            </w:pPr>
            <w:r>
              <w:rPr>
                <w:rFonts w:ascii="IBM Plex Sans" w:cs="IBM Plex Sans" w:eastAsia="IBM Plex Sans" w:hAnsi="IBM Plex Sans"/>
                <w:b/>
                <w:bCs/>
                <w:color w:val="B3862F"/>
                <w:sz w:val="17"/>
                <w:szCs w:val="17"/>
              </w:rPr>
              <w:t xml:space="preserve">EDUCATION</w:t>
            </w:r>
          </w:p>
          <w:p>
            <w:pPr>
              <w:spacing w:after="10"/>
            </w:pPr>
            <w:r>
              <w:rPr>
                <w:rFonts w:ascii="IBM Plex Sans" w:cs="IBM Plex Sans" w:eastAsia="IBM Plex Sans" w:hAnsi="IBM Plex Sans"/>
                <w:b/>
                <w:bCs/>
                <w:color w:val="EAE6DA"/>
                <w:sz w:val="18"/>
                <w:szCs w:val="18"/>
              </w:rPr>
              <w:t xml:space="preserve">MA, International Relations</w:t>
            </w:r>
          </w:p>
          <w:p>
            <w:pPr>
              <w:spacing w:after="120"/>
            </w:pPr>
            <w:r>
              <w:rPr>
                <w:rFonts w:ascii="IBM Plex Sans" w:cs="IBM Plex Sans" w:eastAsia="IBM Plex Sans" w:hAnsi="IBM Plex Sans"/>
                <w:color w:val="A9B2C4"/>
                <w:sz w:val="17"/>
                <w:szCs w:val="17"/>
              </w:rPr>
              <w:t xml:space="preserve">Foreign Policy &amp; Diplomatic Practice — United States International University–Africa, Oct 2024</w:t>
            </w:r>
          </w:p>
          <w:p>
            <w:pPr>
              <w:spacing w:after="10"/>
            </w:pPr>
            <w:r>
              <w:rPr>
                <w:rFonts w:ascii="IBM Plex Sans" w:cs="IBM Plex Sans" w:eastAsia="IBM Plex Sans" w:hAnsi="IBM Plex Sans"/>
                <w:b/>
                <w:bCs/>
                <w:color w:val="EAE6DA"/>
                <w:sz w:val="18"/>
                <w:szCs w:val="18"/>
              </w:rPr>
              <w:t xml:space="preserve">BA, Public Relations &amp; Strategic Communication</w:t>
            </w:r>
          </w:p>
          <w:p>
            <w:pPr>
              <w:spacing w:after="120"/>
            </w:pPr>
            <w:r>
              <w:rPr>
                <w:rFonts w:ascii="IBM Plex Sans" w:cs="IBM Plex Sans" w:eastAsia="IBM Plex Sans" w:hAnsi="IBM Plex Sans"/>
                <w:color w:val="A9B2C4"/>
                <w:sz w:val="17"/>
                <w:szCs w:val="17"/>
              </w:rPr>
              <w:t xml:space="preserve">Maasai Mara University, 2018</w:t>
            </w:r>
          </w:p>
          <w:p>
            <w:pPr>
              <w:spacing w:after="10"/>
            </w:pPr>
            <w:r>
              <w:rPr>
                <w:rFonts w:ascii="IBM Plex Sans" w:cs="IBM Plex Sans" w:eastAsia="IBM Plex Sans" w:hAnsi="IBM Plex Sans"/>
                <w:b/>
                <w:bCs/>
                <w:color w:val="EAE6DA"/>
                <w:sz w:val="18"/>
                <w:szCs w:val="18"/>
              </w:rPr>
              <w:t xml:space="preserve">Secondary Education Certification</w:t>
            </w:r>
          </w:p>
          <w:p>
            <w:pPr>
              <w:spacing w:after="120"/>
            </w:pPr>
            <w:r>
              <w:rPr>
                <w:rFonts w:ascii="IBM Plex Sans" w:cs="IBM Plex Sans" w:eastAsia="IBM Plex Sans" w:hAnsi="IBM Plex Sans"/>
                <w:color w:val="A9B2C4"/>
                <w:sz w:val="17"/>
                <w:szCs w:val="17"/>
              </w:rPr>
              <w:t xml:space="preserve">Kapsabet Girls High School, 2013</w:t>
            </w:r>
          </w:p>
          <w:p>
            <w:pPr>
              <w:spacing w:after="90" w:before="260"/>
            </w:pPr>
            <w:r>
              <w:rPr>
                <w:rFonts w:ascii="IBM Plex Sans" w:cs="IBM Plex Sans" w:eastAsia="IBM Plex Sans" w:hAnsi="IBM Plex Sans"/>
                <w:b/>
                <w:bCs/>
                <w:color w:val="B3862F"/>
                <w:sz w:val="17"/>
                <w:szCs w:val="17"/>
              </w:rPr>
              <w:t xml:space="preserve">CORE COMPETENCIES</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Health Policy &amp; Systems Strengthening</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International Relations &amp; Diplomacy</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Strategic Government Communication</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Stakeholder &amp; Partnership Management</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Health Governance &amp; Regulatory Compliance</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Policy Analysis &amp; Advocacy</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Public Health Programme Coordination</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Multi-sector Collaboration &amp; Engagement</w:t>
            </w:r>
          </w:p>
          <w:p>
            <w:pPr>
              <w:spacing w:after="90" w:before="260"/>
            </w:pPr>
            <w:r>
              <w:rPr>
                <w:rFonts w:ascii="IBM Plex Sans" w:cs="IBM Plex Sans" w:eastAsia="IBM Plex Sans" w:hAnsi="IBM Plex Sans"/>
                <w:b/>
                <w:bCs/>
                <w:color w:val="B3862F"/>
                <w:sz w:val="17"/>
                <w:szCs w:val="17"/>
              </w:rPr>
              <w:t xml:space="preserve">TECHNICAL SKILLS</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Policy Research &amp; Analysis</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Policy Brief, Report &amp; Proposal Writing</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Monitoring, Evaluation &amp; Performance Reporting</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Regulatory &amp; Compliance Assessment</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Programme Planning &amp; Coordination</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Data Analysis &amp; Evidence Translation</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Microsoft Office (Excel, Word, PowerPoint)</w:t>
            </w:r>
          </w:p>
          <w:p>
            <w:pPr>
              <w:spacing w:after="90" w:before="260"/>
            </w:pPr>
            <w:r>
              <w:rPr>
                <w:rFonts w:ascii="IBM Plex Sans" w:cs="IBM Plex Sans" w:eastAsia="IBM Plex Sans" w:hAnsi="IBM Plex Sans"/>
                <w:b/>
                <w:bCs/>
                <w:color w:val="B3862F"/>
                <w:sz w:val="17"/>
                <w:szCs w:val="17"/>
              </w:rPr>
              <w:t xml:space="preserve">SOFT SKILLS</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Strategic Thinking</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Leadership &amp; Team Collaboration</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Negotiation &amp; Influencing</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Analytical &amp; Critical Thinking</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Communication &amp; Presentation</w:t>
            </w:r>
          </w:p>
          <w:p>
            <w:pPr>
              <w:spacing w:after="90" w:before="260"/>
            </w:pPr>
            <w:r>
              <w:rPr>
                <w:rFonts w:ascii="IBM Plex Sans" w:cs="IBM Plex Sans" w:eastAsia="IBM Plex Sans" w:hAnsi="IBM Plex Sans"/>
                <w:b/>
                <w:bCs/>
                <w:color w:val="B3862F"/>
                <w:sz w:val="17"/>
                <w:szCs w:val="17"/>
              </w:rPr>
              <w:t xml:space="preserve">CERTIFICATIONS &amp; LICENSES</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Valid Kenyan Driving License (Qualified Driver)</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Survey Equipment Operation (Theodolite, Level Machine, Total Station)</w:t>
            </w:r>
          </w:p>
          <w:p>
            <w:pPr>
              <w:spacing w:after="90" w:before="260"/>
            </w:pPr>
            <w:r>
              <w:rPr>
                <w:rFonts w:ascii="IBM Plex Sans" w:cs="IBM Plex Sans" w:eastAsia="IBM Plex Sans" w:hAnsi="IBM Plex Sans"/>
                <w:b/>
                <w:bCs/>
                <w:color w:val="B3862F"/>
                <w:sz w:val="17"/>
                <w:szCs w:val="17"/>
              </w:rPr>
              <w:t xml:space="preserve">PROFESSIONAL TRAININGS</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Leadership Development</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Psychological First Aid</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Sales Induction</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Trainer of Trainers</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Diplomatic Language &amp; Presentation</w:t>
            </w:r>
          </w:p>
          <w:p>
            <w:pPr>
              <w:spacing w:after="45"/>
              <w:ind w:left="160" w:hanging="160"/>
            </w:pPr>
            <w:r>
              <w:rPr>
                <w:rFonts w:ascii="IBM Plex Sans" w:cs="IBM Plex Sans" w:eastAsia="IBM Plex Sans" w:hAnsi="IBM Plex Sans"/>
                <w:color w:val="B3862F"/>
                <w:sz w:val="18"/>
                <w:szCs w:val="18"/>
              </w:rPr>
              <w:t xml:space="preserve">—  </w:t>
            </w:r>
            <w:r>
              <w:rPr>
                <w:rFonts w:ascii="IBM Plex Sans" w:cs="IBM Plex Sans" w:eastAsia="IBM Plex Sans" w:hAnsi="IBM Plex Sans"/>
                <w:color w:val="EAE6DA"/>
                <w:sz w:val="18"/>
                <w:szCs w:val="18"/>
              </w:rPr>
              <w:t xml:space="preserve">International Hosting</w:t>
            </w:r>
          </w:p>
          <w:p>
            <w:pPr>
              <w:spacing w:after="90" w:before="260"/>
            </w:pPr>
            <w:r>
              <w:rPr>
                <w:rFonts w:ascii="IBM Plex Sans" w:cs="IBM Plex Sans" w:eastAsia="IBM Plex Sans" w:hAnsi="IBM Plex Sans"/>
                <w:b/>
                <w:bCs/>
                <w:color w:val="B3862F"/>
                <w:sz w:val="17"/>
                <w:szCs w:val="17"/>
              </w:rPr>
              <w:t xml:space="preserve">LANGUAGES</w:t>
            </w:r>
          </w:p>
          <w:p>
            <w:pPr>
              <w:spacing w:after="55"/>
            </w:pPr>
            <w:r>
              <w:rPr>
                <w:rFonts w:ascii="IBM Plex Sans" w:cs="IBM Plex Sans" w:eastAsia="IBM Plex Sans" w:hAnsi="IBM Plex Sans"/>
                <w:color w:val="EAE6DA"/>
                <w:sz w:val="18"/>
                <w:szCs w:val="18"/>
              </w:rPr>
              <w:t xml:space="preserve">English — Fluent</w:t>
            </w:r>
          </w:p>
          <w:p>
            <w:pPr>
              <w:spacing w:after="55"/>
            </w:pPr>
            <w:r>
              <w:rPr>
                <w:rFonts w:ascii="IBM Plex Sans" w:cs="IBM Plex Sans" w:eastAsia="IBM Plex Sans" w:hAnsi="IBM Plex Sans"/>
                <w:color w:val="EAE6DA"/>
                <w:sz w:val="18"/>
                <w:szCs w:val="18"/>
              </w:rPr>
              <w:t xml:space="preserve">Swahili — Fluent</w:t>
            </w:r>
          </w:p>
        </w:tc>
        <w:tc>
          <w:tcPr>
            <w:tcW w:type="dxa" w:w="7166"/>
            <w:tcMar>
              <w:top w:type="dxa" w:w="220"/>
              <w:left w:type="dxa" w:w="320"/>
              <w:bottom w:type="dxa" w:w="220"/>
              <w:right w:type="dxa" w:w="200"/>
            </w:tcMar>
            <w:vAlign w:val="top"/>
          </w:tcPr>
          <w:p>
            <w:pPr>
              <w:pBdr>
                <w:bottom w:val="single" w:color="B3862F" w:sz="8" w:space="4"/>
              </w:pBdr>
              <w:spacing w:after="110" w:before="280"/>
            </w:pPr>
            <w:r>
              <w:rPr>
                <w:rFonts w:ascii="IBM Plex Sans" w:cs="IBM Plex Sans" w:eastAsia="IBM Plex Sans" w:hAnsi="IBM Plex Sans"/>
                <w:b/>
                <w:bCs/>
                <w:color w:val="152238"/>
                <w:sz w:val="22"/>
                <w:szCs w:val="22"/>
              </w:rPr>
              <w:t xml:space="preserve">PROFESSIONAL SUMMARY</w:t>
            </w:r>
          </w:p>
          <w:p>
            <w:pPr>
              <w:spacing w:after="120"/>
            </w:pPr>
            <w:r>
              <w:rPr>
                <w:rFonts w:ascii="IBM Plex Sans" w:cs="IBM Plex Sans" w:eastAsia="IBM Plex Sans" w:hAnsi="IBM Plex Sans"/>
                <w:color w:val="1C1A16"/>
                <w:sz w:val="19"/>
                <w:szCs w:val="19"/>
              </w:rPr>
              <w:t xml:space="preserve">Health Policy, International Relations, and Strategic Communications professional with experience supporting policy development, stakeholder engagement, government communication, and public health systems strengthening within Kenya's Ministry of Health. Skilled in health governance, policy analysis, regulatory compliance, strategic advocacy, and multi-sector coordination. Builds partnerships with government institutions, development partners, regulatory agencies, and international organizations, translating complex policy and regulatory issues into practical recommendations that advance institutional priorities and sustainable development objectives.</w:t>
            </w:r>
          </w:p>
          <w:p>
            <w:pPr>
              <w:pBdr>
                <w:bottom w:val="single" w:color="B3862F" w:sz="8" w:space="4"/>
              </w:pBdr>
              <w:spacing w:after="110" w:before="280"/>
            </w:pPr>
            <w:r>
              <w:rPr>
                <w:rFonts w:ascii="IBM Plex Sans" w:cs="IBM Plex Sans" w:eastAsia="IBM Plex Sans" w:hAnsi="IBM Plex Sans"/>
                <w:b/>
                <w:bCs/>
                <w:color w:val="152238"/>
                <w:sz w:val="22"/>
                <w:szCs w:val="22"/>
              </w:rPr>
              <w:t xml:space="preserve">PROFESSIONAL EXPERIENCE</w:t>
            </w:r>
          </w:p>
          <w:p>
            <w:pPr>
              <w:spacing w:after="20" w:before="160"/>
            </w:pPr>
            <w:r>
              <w:rPr>
                <w:rFonts w:ascii="IBM Plex Sans" w:cs="IBM Plex Sans" w:eastAsia="IBM Plex Sans" w:hAnsi="IBM Plex Sans"/>
                <w:b/>
                <w:bCs/>
                <w:color w:val="152238"/>
                <w:sz w:val="21"/>
                <w:szCs w:val="21"/>
              </w:rPr>
              <w:t xml:space="preserve">Foreign Service Officer (PSIP)</w:t>
            </w:r>
          </w:p>
          <w:p>
            <w:pPr>
              <w:spacing w:after="80"/>
            </w:pPr>
            <w:r>
              <w:rPr>
                <w:rFonts w:ascii="IBM Plex Sans" w:cs="IBM Plex Sans" w:eastAsia="IBM Plex Sans" w:hAnsi="IBM Plex Sans"/>
                <w:i/>
                <w:iCs/>
                <w:color w:val="9A4A25"/>
                <w:sz w:val="18"/>
                <w:szCs w:val="18"/>
              </w:rPr>
              <w:t xml:space="preserve">State Department for Public Health &amp; Professional Standards, Ministry of Health, Kenya — Nairobi</w:t>
            </w:r>
            <w:r>
              <w:rPr>
                <w:rFonts w:ascii="IBM Plex Sans" w:cs="IBM Plex Sans" w:eastAsia="IBM Plex Sans" w:hAnsi="IBM Plex Sans"/>
                <w:i/>
                <w:iCs/>
                <w:color w:val="54504A"/>
                <w:sz w:val="18"/>
                <w:szCs w:val="18"/>
              </w:rPr>
              <w:t xml:space="preserve">   |   January 2026 – Present</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Support implementation of public health and professional standards initiatives aligned with national health priorities and regulatory frameworks.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Coordinate stakeholder engagement involving government institutions, development partners, professional associations, and regulatory agencies.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Prepare briefing notes, concept notes, reports, and institutional communication materials for senior leadership and high-level engagements.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Support organization and execution of national conferences, intergovernmental meetings, policy dialogues, and multi-sectoral stakeholder consultations.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Participate in cross-sector policy discussions on health workforce development, institutional governance, and systems strengthening.</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Monitor policy and regulatory developments and support internal reporting and compliance processes.</w:t>
            </w:r>
          </w:p>
          <w:p>
            <w:pPr>
              <w:spacing w:after="40" w:before="60"/>
            </w:pPr>
            <w:r>
              <w:rPr>
                <w:rFonts w:ascii="IBM Plex Sans" w:cs="IBM Plex Sans" w:eastAsia="IBM Plex Sans" w:hAnsi="IBM Plex Sans"/>
                <w:b/>
                <w:bCs/>
                <w:i/>
                <w:iCs/>
                <w:color w:val="152238"/>
                <w:sz w:val="18"/>
                <w:szCs w:val="18"/>
              </w:rPr>
              <w:t xml:space="preserve">Notable Accomplishments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Delivered strategic communication materials for national public health campaigns and high-level public health events.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Strengthened institutional reporting practices, improving the consistency and clarity of policy communication to senior leadership.</w:t>
            </w:r>
          </w:p>
          <w:p>
            <w:pPr>
              <w:spacing w:after="20" w:before="160"/>
            </w:pPr>
            <w:r>
              <w:rPr>
                <w:rFonts w:ascii="IBM Plex Sans" w:cs="IBM Plex Sans" w:eastAsia="IBM Plex Sans" w:hAnsi="IBM Plex Sans"/>
                <w:b/>
                <w:bCs/>
                <w:color w:val="152238"/>
                <w:sz w:val="21"/>
                <w:szCs w:val="21"/>
              </w:rPr>
              <w:t xml:space="preserve">Founder &amp; Managing Director</w:t>
            </w:r>
          </w:p>
          <w:p>
            <w:pPr>
              <w:spacing w:after="80"/>
            </w:pPr>
            <w:r>
              <w:rPr>
                <w:rFonts w:ascii="IBM Plex Sans" w:cs="IBM Plex Sans" w:eastAsia="IBM Plex Sans" w:hAnsi="IBM Plex Sans"/>
                <w:i/>
                <w:iCs/>
                <w:color w:val="9A4A25"/>
                <w:sz w:val="18"/>
                <w:szCs w:val="18"/>
              </w:rPr>
              <w:t xml:space="preserve">Novara Global Limited — Nairobi, Kenya</w:t>
            </w:r>
            <w:r>
              <w:rPr>
                <w:rFonts w:ascii="IBM Plex Sans" w:cs="IBM Plex Sans" w:eastAsia="IBM Plex Sans" w:hAnsi="IBM Plex Sans"/>
                <w:i/>
                <w:iCs/>
                <w:color w:val="54504A"/>
                <w:sz w:val="18"/>
                <w:szCs w:val="18"/>
              </w:rPr>
              <w:t xml:space="preserve">   |   January 2024 – Present</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Founded and lead a consultancy specializing in export readiness, regulatory compliance, market access, and policy advisory.</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Develop technical proposals, consultancy reports, policy briefs, strategic plans, and advisory documents for public and private sector clients.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Advise organizations on export compliance, trade regulations, and market access strategies.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Conduct regulatory, policy, and market assessments to identify compliance gaps and growth opportunities.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Build strategic partnerships with government, development, and private-sector stakeholders.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Oversee strategy, operations, financial management, and corporate governance to drive sustainable growth.</w:t>
            </w:r>
          </w:p>
          <w:p>
            <w:pPr>
              <w:spacing w:after="40" w:before="60"/>
            </w:pPr>
            <w:r>
              <w:rPr>
                <w:rFonts w:ascii="IBM Plex Sans" w:cs="IBM Plex Sans" w:eastAsia="IBM Plex Sans" w:hAnsi="IBM Plex Sans"/>
                <w:b/>
                <w:bCs/>
                <w:i/>
                <w:iCs/>
                <w:color w:val="152238"/>
                <w:sz w:val="18"/>
                <w:szCs w:val="18"/>
              </w:rPr>
              <w:t xml:space="preserve">Notable Accomplishments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Built a client-facing advisory practice from the ground up, including proposal, reporting, and engagement systems.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Delivered capacity-building programmes and advisory services on trade, governance, and regulatory compliance.</w:t>
            </w:r>
          </w:p>
          <w:p>
            <w:pPr>
              <w:spacing w:after="20" w:before="160"/>
            </w:pPr>
            <w:r>
              <w:rPr>
                <w:rFonts w:ascii="IBM Plex Sans" w:cs="IBM Plex Sans" w:eastAsia="IBM Plex Sans" w:hAnsi="IBM Plex Sans"/>
                <w:b/>
                <w:bCs/>
                <w:color w:val="152238"/>
                <w:sz w:val="21"/>
                <w:szCs w:val="21"/>
              </w:rPr>
              <w:t xml:space="preserve">Direct Sales Representative</w:t>
            </w:r>
          </w:p>
          <w:p>
            <w:pPr>
              <w:spacing w:after="80"/>
            </w:pPr>
            <w:r>
              <w:rPr>
                <w:rFonts w:ascii="IBM Plex Sans" w:cs="IBM Plex Sans" w:eastAsia="IBM Plex Sans" w:hAnsi="IBM Plex Sans"/>
                <w:i/>
                <w:iCs/>
                <w:color w:val="9A4A25"/>
                <w:sz w:val="18"/>
                <w:szCs w:val="18"/>
              </w:rPr>
              <w:t xml:space="preserve">National Bank of Kenya — Ongata Rongai Branch, Nairobi</w:t>
            </w:r>
            <w:r>
              <w:rPr>
                <w:rFonts w:ascii="IBM Plex Sans" w:cs="IBM Plex Sans" w:eastAsia="IBM Plex Sans" w:hAnsi="IBM Plex Sans"/>
                <w:i/>
                <w:iCs/>
                <w:color w:val="54504A"/>
                <w:sz w:val="18"/>
                <w:szCs w:val="18"/>
              </w:rPr>
              <w:t xml:space="preserve">   |   January 2020 – November 2023</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Identified and acquired new customers by promoting the bank's products and services to individuals and businesses.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Conducted customer needs assessments and recommended suitable banking solutions, including accounts, loans, and digital banking services.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Ensured compliance with the bank's policies, procedures, and regulatory requirements during customer onboarding.</w:t>
            </w:r>
          </w:p>
          <w:p>
            <w:pPr>
              <w:spacing w:after="40" w:before="60"/>
            </w:pPr>
            <w:r>
              <w:rPr>
                <w:rFonts w:ascii="IBM Plex Sans" w:cs="IBM Plex Sans" w:eastAsia="IBM Plex Sans" w:hAnsi="IBM Plex Sans"/>
                <w:b/>
                <w:bCs/>
                <w:i/>
                <w:iCs/>
                <w:color w:val="152238"/>
                <w:sz w:val="18"/>
                <w:szCs w:val="18"/>
              </w:rPr>
              <w:t xml:space="preserve">Notable Accomplishments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Consistently met and exceeded individual sales targets through proactive prospecting and relationship management.</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Expanded the branch's retail and business client base and grew uptake of digital banking services.</w:t>
            </w:r>
          </w:p>
          <w:p>
            <w:pPr>
              <w:spacing w:after="20" w:before="160"/>
            </w:pPr>
            <w:r>
              <w:rPr>
                <w:rFonts w:ascii="IBM Plex Sans" w:cs="IBM Plex Sans" w:eastAsia="IBM Plex Sans" w:hAnsi="IBM Plex Sans"/>
                <w:b/>
                <w:bCs/>
                <w:color w:val="152238"/>
                <w:sz w:val="21"/>
                <w:szCs w:val="21"/>
              </w:rPr>
              <w:t xml:space="preserve">Merchandiser, Operations Department</w:t>
            </w:r>
          </w:p>
          <w:p>
            <w:pPr>
              <w:spacing w:after="80"/>
            </w:pPr>
            <w:r>
              <w:rPr>
                <w:rFonts w:ascii="IBM Plex Sans" w:cs="IBM Plex Sans" w:eastAsia="IBM Plex Sans" w:hAnsi="IBM Plex Sans"/>
                <w:i/>
                <w:iCs/>
                <w:color w:val="9A4A25"/>
                <w:sz w:val="18"/>
                <w:szCs w:val="18"/>
              </w:rPr>
              <w:t xml:space="preserve">Daraja Plus Limited — Nairobi</w:t>
            </w:r>
            <w:r>
              <w:rPr>
                <w:rFonts w:ascii="IBM Plex Sans" w:cs="IBM Plex Sans" w:eastAsia="IBM Plex Sans" w:hAnsi="IBM Plex Sans"/>
                <w:i/>
                <w:iCs/>
                <w:color w:val="54504A"/>
                <w:sz w:val="18"/>
                <w:szCs w:val="18"/>
              </w:rPr>
              <w:t xml:space="preserve">   |   March 2019 – January 2020</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Merchandised assigned products, ensuring attractive displays and compliance with company merchandising standards.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Monitored stock availability and coordinated with supervisors to minimize shortages and maintain product visibility.</w:t>
            </w:r>
          </w:p>
          <w:p>
            <w:pPr>
              <w:spacing w:after="40" w:before="60"/>
            </w:pPr>
            <w:r>
              <w:rPr>
                <w:rFonts w:ascii="IBM Plex Sans" w:cs="IBM Plex Sans" w:eastAsia="IBM Plex Sans" w:hAnsi="IBM Plex Sans"/>
                <w:b/>
                <w:bCs/>
                <w:i/>
                <w:iCs/>
                <w:color w:val="152238"/>
                <w:sz w:val="18"/>
                <w:szCs w:val="18"/>
              </w:rPr>
              <w:t xml:space="preserve">Notable Accomplishments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Received a strong recommendation for consistent, high-performance delivery.</w:t>
            </w:r>
          </w:p>
          <w:p>
            <w:pPr>
              <w:spacing w:after="20" w:before="160"/>
            </w:pPr>
            <w:r>
              <w:rPr>
                <w:rFonts w:ascii="IBM Plex Sans" w:cs="IBM Plex Sans" w:eastAsia="IBM Plex Sans" w:hAnsi="IBM Plex Sans"/>
                <w:b/>
                <w:bCs/>
                <w:color w:val="152238"/>
                <w:sz w:val="21"/>
                <w:szCs w:val="21"/>
              </w:rPr>
              <w:t xml:space="preserve">Public Relations Officer</w:t>
            </w:r>
          </w:p>
          <w:p>
            <w:pPr>
              <w:spacing w:after="80"/>
            </w:pPr>
            <w:r>
              <w:rPr>
                <w:rFonts w:ascii="IBM Plex Sans" w:cs="IBM Plex Sans" w:eastAsia="IBM Plex Sans" w:hAnsi="IBM Plex Sans"/>
                <w:i/>
                <w:iCs/>
                <w:color w:val="9A4A25"/>
                <w:sz w:val="18"/>
                <w:szCs w:val="18"/>
              </w:rPr>
              <w:t xml:space="preserve">Itika Communications — Nairobi</w:t>
            </w:r>
            <w:r>
              <w:rPr>
                <w:rFonts w:ascii="IBM Plex Sans" w:cs="IBM Plex Sans" w:eastAsia="IBM Plex Sans" w:hAnsi="IBM Plex Sans"/>
                <w:i/>
                <w:iCs/>
                <w:color w:val="54504A"/>
                <w:sz w:val="18"/>
                <w:szCs w:val="18"/>
              </w:rPr>
              <w:t xml:space="preserve">   |   2018</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Designed and implemented public relations strategies to elevate client visibility and institutional reputation.</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Authored press materials and media briefings tailored to specific stakeholder audiences.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Built and managed relationships with journalists and media outlets to secure strategic coverage.</w:t>
            </w:r>
          </w:p>
          <w:p>
            <w:pPr>
              <w:spacing w:after="40" w:before="60"/>
            </w:pPr>
            <w:r>
              <w:rPr>
                <w:rFonts w:ascii="IBM Plex Sans" w:cs="IBM Plex Sans" w:eastAsia="IBM Plex Sans" w:hAnsi="IBM Plex Sans"/>
                <w:b/>
                <w:bCs/>
                <w:i/>
                <w:iCs/>
                <w:color w:val="152238"/>
                <w:sz w:val="18"/>
                <w:szCs w:val="18"/>
              </w:rPr>
              <w:t xml:space="preserve">Notable Accomplishments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Expanded client media exposure by roughly 30% through targeted PR campaigns and proactive media outreach.</w:t>
            </w:r>
          </w:p>
          <w:p>
            <w:pPr>
              <w:spacing w:after="20" w:before="160"/>
            </w:pPr>
            <w:r>
              <w:rPr>
                <w:rFonts w:ascii="IBM Plex Sans" w:cs="IBM Plex Sans" w:eastAsia="IBM Plex Sans" w:hAnsi="IBM Plex Sans"/>
                <w:b/>
                <w:bCs/>
                <w:color w:val="152238"/>
                <w:sz w:val="21"/>
                <w:szCs w:val="21"/>
              </w:rPr>
              <w:t xml:space="preserve">English Liaison</w:t>
            </w:r>
          </w:p>
          <w:p>
            <w:pPr>
              <w:spacing w:after="80"/>
            </w:pPr>
            <w:r>
              <w:rPr>
                <w:rFonts w:ascii="IBM Plex Sans" w:cs="IBM Plex Sans" w:eastAsia="IBM Plex Sans" w:hAnsi="IBM Plex Sans"/>
                <w:i/>
                <w:iCs/>
                <w:color w:val="9A4A25"/>
                <w:sz w:val="18"/>
                <w:szCs w:val="18"/>
              </w:rPr>
              <w:t xml:space="preserve">Kenya Lawn Tennis Association — Nairobi</w:t>
            </w:r>
            <w:r>
              <w:rPr>
                <w:rFonts w:ascii="IBM Plex Sans" w:cs="IBM Plex Sans" w:eastAsia="IBM Plex Sans" w:hAnsi="IBM Plex Sans"/>
                <w:i/>
                <w:iCs/>
                <w:color w:val="54504A"/>
                <w:sz w:val="18"/>
                <w:szCs w:val="18"/>
              </w:rPr>
              <w:t xml:space="preserve">   |   2018</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Served as primary contact for anglophone stakeholders and international partners.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Coordinated programmatic activities and convening sessions for stakeholder participation.</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Facilitated translation and interpretation to support institutional communication needs.</w:t>
            </w:r>
          </w:p>
          <w:p>
            <w:pPr>
              <w:spacing w:after="20" w:before="160"/>
            </w:pPr>
            <w:r>
              <w:rPr>
                <w:rFonts w:ascii="IBM Plex Sans" w:cs="IBM Plex Sans" w:eastAsia="IBM Plex Sans" w:hAnsi="IBM Plex Sans"/>
                <w:b/>
                <w:bCs/>
                <w:color w:val="152238"/>
                <w:sz w:val="21"/>
                <w:szCs w:val="21"/>
              </w:rPr>
              <w:t xml:space="preserve">Industrial Attachment</w:t>
            </w:r>
          </w:p>
          <w:p>
            <w:pPr>
              <w:spacing w:after="80"/>
            </w:pPr>
            <w:r>
              <w:rPr>
                <w:rFonts w:ascii="IBM Plex Sans" w:cs="IBM Plex Sans" w:eastAsia="IBM Plex Sans" w:hAnsi="IBM Plex Sans"/>
                <w:i/>
                <w:iCs/>
                <w:color w:val="9A4A25"/>
                <w:sz w:val="18"/>
                <w:szCs w:val="18"/>
              </w:rPr>
              <w:t xml:space="preserve">Techweez — Nairobi</w:t>
            </w:r>
            <w:r>
              <w:rPr>
                <w:rFonts w:ascii="IBM Plex Sans" w:cs="IBM Plex Sans" w:eastAsia="IBM Plex Sans" w:hAnsi="IBM Plex Sans"/>
                <w:i/>
                <w:iCs/>
                <w:color w:val="54504A"/>
                <w:sz w:val="18"/>
                <w:szCs w:val="18"/>
              </w:rPr>
              <w:t xml:space="preserve">   |   May 2017 – August 2017</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Supported content development and social media management for a technology-focused blog.</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Monitored digital trends and contributed to online marketing strategy.</w:t>
            </w:r>
          </w:p>
          <w:p>
            <w:pPr>
              <w:spacing w:after="20" w:before="160"/>
            </w:pPr>
            <w:r>
              <w:rPr>
                <w:rFonts w:ascii="IBM Plex Sans" w:cs="IBM Plex Sans" w:eastAsia="IBM Plex Sans" w:hAnsi="IBM Plex Sans"/>
                <w:b/>
                <w:bCs/>
                <w:color w:val="152238"/>
                <w:sz w:val="21"/>
                <w:szCs w:val="21"/>
              </w:rPr>
              <w:t xml:space="preserve">Financial Advisor</w:t>
            </w:r>
          </w:p>
          <w:p>
            <w:pPr>
              <w:spacing w:after="80"/>
            </w:pPr>
            <w:r>
              <w:rPr>
                <w:rFonts w:ascii="IBM Plex Sans" w:cs="IBM Plex Sans" w:eastAsia="IBM Plex Sans" w:hAnsi="IBM Plex Sans"/>
                <w:i/>
                <w:iCs/>
                <w:color w:val="9A4A25"/>
                <w:sz w:val="18"/>
                <w:szCs w:val="18"/>
              </w:rPr>
              <w:t xml:space="preserve">Jubilee Insurance — Eldoret</w:t>
            </w:r>
            <w:r>
              <w:rPr>
                <w:rFonts w:ascii="IBM Plex Sans" w:cs="IBM Plex Sans" w:eastAsia="IBM Plex Sans" w:hAnsi="IBM Plex Sans"/>
                <w:i/>
                <w:iCs/>
                <w:color w:val="54504A"/>
                <w:sz w:val="18"/>
                <w:szCs w:val="18"/>
              </w:rPr>
              <w:t xml:space="preserve">   |   April 2016 – July 2016</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Provided tailored financial advisory services and conducted assessments to develop insurance and investment solutions.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Maintained portfolio oversight and provided ongoing strategic recommendations.</w:t>
            </w:r>
          </w:p>
          <w:p>
            <w:pPr>
              <w:spacing w:after="40" w:before="60"/>
            </w:pPr>
            <w:r>
              <w:rPr>
                <w:rFonts w:ascii="IBM Plex Sans" w:cs="IBM Plex Sans" w:eastAsia="IBM Plex Sans" w:hAnsi="IBM Plex Sans"/>
                <w:b/>
                <w:bCs/>
                <w:i/>
                <w:iCs/>
                <w:color w:val="152238"/>
                <w:sz w:val="18"/>
                <w:szCs w:val="18"/>
              </w:rPr>
              <w:t xml:space="preserve">Notable Accomplishments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Grew client base by roughly 25% through consultative relationship management.</w:t>
            </w:r>
          </w:p>
          <w:p>
            <w:pPr>
              <w:spacing w:after="20" w:before="160"/>
            </w:pPr>
            <w:r>
              <w:rPr>
                <w:rFonts w:ascii="IBM Plex Sans" w:cs="IBM Plex Sans" w:eastAsia="IBM Plex Sans" w:hAnsi="IBM Plex Sans"/>
                <w:b/>
                <w:bCs/>
                <w:color w:val="152238"/>
                <w:sz w:val="21"/>
                <w:szCs w:val="21"/>
              </w:rPr>
              <w:t xml:space="preserve">Teacher, English &amp; Literature</w:t>
            </w:r>
          </w:p>
          <w:p>
            <w:pPr>
              <w:spacing w:after="80"/>
            </w:pPr>
            <w:r>
              <w:rPr>
                <w:rFonts w:ascii="IBM Plex Sans" w:cs="IBM Plex Sans" w:eastAsia="IBM Plex Sans" w:hAnsi="IBM Plex Sans"/>
                <w:i/>
                <w:iCs/>
                <w:color w:val="9A4A25"/>
                <w:sz w:val="18"/>
                <w:szCs w:val="18"/>
              </w:rPr>
              <w:t xml:space="preserve">Olmaroroi, Kamanyinya &amp; Kamung'ei Secondary Schools — Nandi</w:t>
            </w:r>
            <w:r>
              <w:rPr>
                <w:rFonts w:ascii="IBM Plex Sans" w:cs="IBM Plex Sans" w:eastAsia="IBM Plex Sans" w:hAnsi="IBM Plex Sans"/>
                <w:i/>
                <w:iCs/>
                <w:color w:val="54504A"/>
                <w:sz w:val="18"/>
                <w:szCs w:val="18"/>
              </w:rPr>
              <w:t xml:space="preserve">   |   2014 – 2015</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Planned and delivered English and Literature lessons aligned with the curriculum across three schools.</w:t>
            </w:r>
          </w:p>
          <w:p>
            <w:pPr>
              <w:spacing w:after="55"/>
              <w:ind w:left="220" w:hanging="160"/>
            </w:pPr>
            <w:r>
              <w:rPr>
                <w:rFonts w:ascii="IBM Plex Sans" w:cs="IBM Plex Sans" w:eastAsia="IBM Plex Sans" w:hAnsi="IBM Plex Sans"/>
                <w:color w:val="9A4A25"/>
                <w:sz w:val="19"/>
                <w:szCs w:val="19"/>
              </w:rPr>
              <w:t xml:space="preserve">•  </w:t>
            </w:r>
            <w:r>
              <w:rPr>
                <w:rFonts w:ascii="IBM Plex Sans" w:cs="IBM Plex Sans" w:eastAsia="IBM Plex Sans" w:hAnsi="IBM Plex Sans"/>
                <w:color w:val="1C1A16"/>
                <w:sz w:val="19"/>
                <w:szCs w:val="19"/>
              </w:rPr>
              <w:t xml:space="preserve">Prepared lesson plans, assessments, and learning materials to support student achievement.</w:t>
            </w:r>
          </w:p>
          <w:p>
            <w:pPr>
              <w:pBdr>
                <w:bottom w:val="single" w:color="B3862F" w:sz="8" w:space="4"/>
              </w:pBdr>
              <w:spacing w:after="110" w:before="280"/>
            </w:pPr>
            <w:r>
              <w:rPr>
                <w:rFonts w:ascii="IBM Plex Sans" w:cs="IBM Plex Sans" w:eastAsia="IBM Plex Sans" w:hAnsi="IBM Plex Sans"/>
                <w:b/>
                <w:bCs/>
                <w:color w:val="152238"/>
                <w:sz w:val="22"/>
                <w:szCs w:val="22"/>
              </w:rPr>
              <w:t xml:space="preserve">REFERENCES</w:t>
            </w:r>
          </w:p>
          <w:p>
            <w:pPr>
              <w:spacing w:after="120"/>
            </w:pPr>
            <w:r>
              <w:rPr>
                <w:rFonts w:ascii="IBM Plex Sans" w:cs="IBM Plex Sans" w:eastAsia="IBM Plex Sans" w:hAnsi="IBM Plex Sans"/>
                <w:color w:val="1C1A16"/>
                <w:sz w:val="19"/>
                <w:szCs w:val="19"/>
              </w:rPr>
              <w:t xml:space="preserve">Stephine Obong'o — Head, Employee Relations, National Bank of Kenya</w:t>
            </w:r>
            <w:r>
              <w:br/>
              <w:t xml:space="preserve"/>
            </w:r>
            <w:r>
              <w:rPr>
                <w:rFonts w:ascii="IBM Plex Sans" w:cs="IBM Plex Sans" w:eastAsia="IBM Plex Sans" w:hAnsi="IBM Plex Sans"/>
                <w:color w:val="1C1A16"/>
                <w:sz w:val="19"/>
                <w:szCs w:val="19"/>
              </w:rPr>
              <w:t xml:space="preserve">customercare@nationalbank.co.ke  |  +254 732 118 900</w:t>
            </w:r>
          </w:p>
          <w:p>
            <w:pPr>
              <w:spacing w:after="120"/>
            </w:pPr>
            <w:r>
              <w:rPr>
                <w:rFonts w:ascii="IBM Plex Sans" w:cs="IBM Plex Sans" w:eastAsia="IBM Plex Sans" w:hAnsi="IBM Plex Sans"/>
                <w:color w:val="1C1A16"/>
                <w:sz w:val="19"/>
                <w:szCs w:val="19"/>
              </w:rPr>
              <w:t xml:space="preserve">Terry Jeruto — Tax Education, Kenya Revenue Authority</w:t>
            </w:r>
            <w:r>
              <w:br/>
              <w:t xml:space="preserve"/>
            </w:r>
            <w:r>
              <w:rPr>
                <w:rFonts w:ascii="IBM Plex Sans" w:cs="IBM Plex Sans" w:eastAsia="IBM Plex Sans" w:hAnsi="IBM Plex Sans"/>
                <w:color w:val="1C1A16"/>
                <w:sz w:val="19"/>
                <w:szCs w:val="19"/>
              </w:rPr>
              <w:t xml:space="preserve">terriemate@gmail.com  |  +254 729 850 751</w:t>
            </w:r>
          </w:p>
          <w:p>
            <w:pPr>
              <w:spacing w:after="120"/>
            </w:pPr>
            <w:r>
              <w:rPr>
                <w:rFonts w:ascii="IBM Plex Sans" w:cs="IBM Plex Sans" w:eastAsia="IBM Plex Sans" w:hAnsi="IBM Plex Sans"/>
                <w:color w:val="1C1A16"/>
                <w:sz w:val="19"/>
                <w:szCs w:val="19"/>
              </w:rPr>
              <w:t xml:space="preserve">Hussein Mahmoud — Head, Department of International Relations, USIU-Africa</w:t>
            </w:r>
            <w:r>
              <w:br/>
              <w:t xml:space="preserve"/>
            </w:r>
            <w:r>
              <w:rPr>
                <w:rFonts w:ascii="IBM Plex Sans" w:cs="IBM Plex Sans" w:eastAsia="IBM Plex Sans" w:hAnsi="IBM Plex Sans"/>
                <w:color w:val="1C1A16"/>
                <w:sz w:val="19"/>
                <w:szCs w:val="19"/>
              </w:rPr>
              <w:t xml:space="preserve">info@usiu.ac.ke  |  +254 721 732 048</w:t>
            </w:r>
          </w:p>
        </w:tc>
      </w:tr>
    </w:tbl>
    <w:sectPr>
      <w:pgSz w:w="11906" w:h="16838"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2026-09-09T09:14:45.192Z</dcterms:created>
  <dcterms:modified xsi:type="dcterms:W3CDTF">2026-09-09T09:14:45.203Z</dcterms:modified>
</cp:coreProperties>
</file>

<file path=docProps/custom.xml><?xml version="1.0" encoding="utf-8"?>
<Properties xmlns="http://schemas.openxmlformats.org/officeDocument/2006/custom-properties" xmlns:vt="http://schemas.openxmlformats.org/officeDocument/2006/docPropsVTypes"/>
</file>