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F1E2E"/>
          <w:sz w:val="44"/>
          <w:szCs w:val="44"/>
        </w:rPr>
        <w:t xml:space="preserve">Heads Down to Heads Up</w:t>
      </w:r>
    </w:p>
    <w:p>
      <w:pPr>
        <w:pBdr>
          <w:bottom w:val="single" w:color="F25C2A" w:sz="18" w:space="6"/>
        </w:pBdr>
        <w:spacing w:after="60"/>
      </w:pPr>
      <w:r>
        <w:rPr>
          <w:rFonts w:ascii="Arial" w:cs="Arial" w:eastAsia="Arial" w:hAnsi="Arial"/>
          <w:color w:val="3A4A5C"/>
          <w:sz w:val="26"/>
          <w:szCs w:val="26"/>
        </w:rPr>
        <w:t xml:space="preserve">How the Weekly AI Intelligence Brief Is Built</w:t>
      </w:r>
    </w:p>
    <w:p>
      <w:pPr>
        <w:spacing w:after="120" w:before="160"/>
      </w:pPr>
      <w:r>
        <w:rPr>
          <w:rFonts w:ascii="Arial" w:cs="Arial" w:eastAsia="Arial" w:hAnsi="Arial"/>
          <w:color w:val="1A1A1A"/>
          <w:sz w:val="22"/>
          <w:szCs w:val="22"/>
        </w:rPr>
        <w:t xml:space="preserve">Most professionals are heads-down in their work and cannot track the daily flood of AI developments. The brief lifts their heads up once a week with only what matters to them, already interpreted for their industry and role. Here is how each edition is gathered, checked, and built.</w:t>
      </w:r>
    </w:p>
    <w:p>
      <w:pPr>
        <w:spacing w:after="60" w:before="260"/>
      </w:pPr>
      <w:r>
        <w:rPr>
          <w:rFonts w:ascii="Arial" w:cs="Arial" w:eastAsia="Arial" w:hAnsi="Arial"/>
          <w:b/>
          <w:bCs/>
          <w:color w:val="F25C2A"/>
          <w:sz w:val="30"/>
          <w:szCs w:val="30"/>
        </w:rPr>
        <w:t xml:space="preserve">1  </w:t>
      </w:r>
      <w:r>
        <w:rPr>
          <w:rFonts w:ascii="Arial" w:cs="Arial" w:eastAsia="Arial" w:hAnsi="Arial"/>
          <w:b/>
          <w:bCs/>
          <w:color w:val="0F1E2E"/>
          <w:sz w:val="26"/>
          <w:szCs w:val="26"/>
        </w:rPr>
        <w:t xml:space="preserve">Gather</w:t>
      </w:r>
    </w:p>
    <w:p>
      <w:pPr>
        <w:spacing w:after="120"/>
      </w:pPr>
      <w:r>
        <w:rPr>
          <w:rFonts w:ascii="Arial" w:cs="Arial" w:eastAsia="Arial" w:hAnsi="Arial"/>
          <w:color w:val="1A1A1A"/>
          <w:sz w:val="22"/>
          <w:szCs w:val="22"/>
        </w:rPr>
        <w:t xml:space="preserve">Each day, an automated scan sweeps a wide range of sources: AI trade press, mainstream business and technology news, industry-specific publications, regulatory and agency newsrooms, and curated feeds. This is supplemented by a regular sweep of subscribed industry newsletters and a set of curated expert social-media lists maintained by topic and industry. The goal at this stage is breadth: it is better to capture a story that later gets cut than to miss one, so the net is deliberately wide.</w:t>
      </w:r>
    </w:p>
    <w:p>
      <w:pPr>
        <w:spacing w:after="60" w:before="260"/>
      </w:pPr>
      <w:r>
        <w:rPr>
          <w:rFonts w:ascii="Arial" w:cs="Arial" w:eastAsia="Arial" w:hAnsi="Arial"/>
          <w:b/>
          <w:bCs/>
          <w:color w:val="F25C2A"/>
          <w:sz w:val="30"/>
          <w:szCs w:val="30"/>
        </w:rPr>
        <w:t xml:space="preserve">2  </w:t>
      </w:r>
      <w:r>
        <w:rPr>
          <w:rFonts w:ascii="Arial" w:cs="Arial" w:eastAsia="Arial" w:hAnsi="Arial"/>
          <w:b/>
          <w:bCs/>
          <w:color w:val="0F1E2E"/>
          <w:sz w:val="26"/>
          <w:szCs w:val="26"/>
        </w:rPr>
        <w:t xml:space="preserve">Capture and Pool</w:t>
      </w:r>
    </w:p>
    <w:p>
      <w:pPr>
        <w:spacing w:after="120"/>
      </w:pPr>
      <w:r>
        <w:rPr>
          <w:rFonts w:ascii="Arial" w:cs="Arial" w:eastAsia="Arial" w:hAnsi="Arial"/>
          <w:color w:val="1A1A1A"/>
          <w:sz w:val="22"/>
          <w:szCs w:val="22"/>
        </w:rPr>
        <w:t xml:space="preserve">Every candidate story is logged into a structured pool with a consistent set of fields: the headline, the original source and date, a plain-language summary of what happened, a general read on what it means, and a concrete analogy that makes the development intuitive. Each story is tagged by the industries it is relevant to and by topic category. The pool is the running body of raw material from which each week's briefs are drawn.</w:t>
      </w:r>
    </w:p>
    <w:p>
      <w:pPr>
        <w:spacing w:after="60" w:before="260"/>
      </w:pPr>
      <w:r>
        <w:rPr>
          <w:rFonts w:ascii="Arial" w:cs="Arial" w:eastAsia="Arial" w:hAnsi="Arial"/>
          <w:b/>
          <w:bCs/>
          <w:color w:val="F25C2A"/>
          <w:sz w:val="30"/>
          <w:szCs w:val="30"/>
        </w:rPr>
        <w:t xml:space="preserve">3  </w:t>
      </w:r>
      <w:r>
        <w:rPr>
          <w:rFonts w:ascii="Arial" w:cs="Arial" w:eastAsia="Arial" w:hAnsi="Arial"/>
          <w:b/>
          <w:bCs/>
          <w:color w:val="0F1E2E"/>
          <w:sz w:val="26"/>
          <w:szCs w:val="26"/>
        </w:rPr>
        <w:t xml:space="preserve">Triage and Verify</w:t>
      </w:r>
    </w:p>
    <w:p>
      <w:pPr>
        <w:spacing w:after="120"/>
      </w:pPr>
      <w:r>
        <w:rPr>
          <w:rFonts w:ascii="Arial" w:cs="Arial" w:eastAsia="Arial" w:hAnsi="Arial"/>
          <w:color w:val="1A1A1A"/>
          <w:sz w:val="22"/>
          <w:szCs w:val="22"/>
        </w:rPr>
        <w:t xml:space="preserve">Before any story is used, it is checked for accuracy. Specific dollar figures, company valuations, revenue numbers, regulatory actions, and claims that a named product went live somewhere are spot-checked against primary sources: the company's own filing, the regulator's own notice, the original reporting. Near-duplicate stories are consolidated, wrong framings are corrected, and anything that cannot be verified against a credible primary source is either softened with explicit attribution or dropped. Nothing unverified goes in front of a reader.</w:t>
      </w:r>
    </w:p>
    <w:p>
      <w:pPr>
        <w:spacing w:after="60" w:before="260"/>
      </w:pPr>
      <w:r>
        <w:rPr>
          <w:rFonts w:ascii="Arial" w:cs="Arial" w:eastAsia="Arial" w:hAnsi="Arial"/>
          <w:b/>
          <w:bCs/>
          <w:color w:val="F25C2A"/>
          <w:sz w:val="30"/>
          <w:szCs w:val="30"/>
        </w:rPr>
        <w:t xml:space="preserve">4  </w:t>
      </w:r>
      <w:r>
        <w:rPr>
          <w:rFonts w:ascii="Arial" w:cs="Arial" w:eastAsia="Arial" w:hAnsi="Arial"/>
          <w:b/>
          <w:bCs/>
          <w:color w:val="0F1E2E"/>
          <w:sz w:val="26"/>
          <w:szCs w:val="26"/>
        </w:rPr>
        <w:t xml:space="preserve">Select and Tailor</w:t>
      </w:r>
    </w:p>
    <w:p>
      <w:pPr>
        <w:spacing w:after="120"/>
      </w:pPr>
      <w:r>
        <w:rPr>
          <w:rFonts w:ascii="Arial" w:cs="Arial" w:eastAsia="Arial" w:hAnsi="Arial"/>
          <w:color w:val="1A1A1A"/>
          <w:sz w:val="22"/>
          <w:szCs w:val="22"/>
        </w:rPr>
        <w:t xml:space="preserve">For each recipient, four to five stories are selected and the analysis is written specifically for that reader. The same development is interpreted differently depending on who is reading: a regulatory shift means one thing to a bank, another to a wealth manager, another to a health system. Selection favors concrete, in-the-tape developments over abstract commentary, mixes topic categories so a brief never reads narrow, and matches each story to the reader's actual role and decision lens.</w:t>
      </w:r>
    </w:p>
    <w:p>
      <w:pPr>
        <w:spacing w:after="60" w:before="260"/>
      </w:pPr>
      <w:r>
        <w:rPr>
          <w:rFonts w:ascii="Arial" w:cs="Arial" w:eastAsia="Arial" w:hAnsi="Arial"/>
          <w:b/>
          <w:bCs/>
          <w:color w:val="F25C2A"/>
          <w:sz w:val="30"/>
          <w:szCs w:val="30"/>
        </w:rPr>
        <w:t xml:space="preserve">5  </w:t>
      </w:r>
      <w:r>
        <w:rPr>
          <w:rFonts w:ascii="Arial" w:cs="Arial" w:eastAsia="Arial" w:hAnsi="Arial"/>
          <w:b/>
          <w:bCs/>
          <w:color w:val="0F1E2E"/>
          <w:sz w:val="26"/>
          <w:szCs w:val="26"/>
        </w:rPr>
        <w:t xml:space="preserve">Produce and Deliver</w:t>
      </w:r>
    </w:p>
    <w:p>
      <w:pPr>
        <w:spacing w:after="120"/>
      </w:pPr>
      <w:r>
        <w:rPr>
          <w:rFonts w:ascii="Arial" w:cs="Arial" w:eastAsia="Arial" w:hAnsi="Arial"/>
          <w:color w:val="1A1A1A"/>
          <w:sz w:val="22"/>
          <w:szCs w:val="22"/>
        </w:rPr>
        <w:t xml:space="preserve">The selected, tailored stories are rendered into a single-page, brand-locked brief. Every story follows the same structure so the brief is fast to read: what happened, what it means in general, what it means for you specifically, and an analogy that makes it stick. A one-line summary ties the week together. The finished brief is delivered on a consistent weekly cadence.</w:t>
      </w:r>
    </w:p>
    <w:p>
      <w:pPr>
        <w:pBdr>
          <w:top w:val="single" w:color="F25C2A" w:sz="12" w:space="6"/>
        </w:pBdr>
        <w:spacing w:after="60" w:before="220"/>
      </w:pPr>
      <w:r>
        <w:rPr>
          <w:rFonts w:ascii="Arial" w:cs="Arial" w:eastAsia="Arial" w:hAnsi="Arial"/>
          <w:b/>
          <w:bCs/>
          <w:color w:val="0F1E2E"/>
          <w:sz w:val="24"/>
          <w:szCs w:val="24"/>
        </w:rPr>
        <w:t xml:space="preserve">Editorial Standards</w:t>
      </w:r>
    </w:p>
    <w:p>
      <w:pPr>
        <w:spacing w:after="120"/>
      </w:pPr>
      <w:r>
        <w:rPr>
          <w:rFonts w:ascii="Arial" w:cs="Arial" w:eastAsia="Arial" w:hAnsi="Arial"/>
          <w:color w:val="1A1A1A"/>
          <w:sz w:val="22"/>
          <w:szCs w:val="22"/>
        </w:rPr>
        <w:t xml:space="preserve">Multiple independent sources, never a single feed. Primary-source verification of every specific number, regulatory action, and named deployment before it reaches a reader. Plain language with no jargon or hype. Analysis rewritten for the specific reader rather than syndicated. One page, by design: disciplined selection, not exhaustive coverage.</w:t>
      </w:r>
    </w:p>
    <w:p>
      <w:pPr>
        <w:spacing w:before="200"/>
      </w:pPr>
      <w:r>
        <w:rPr>
          <w:rFonts w:ascii="Arial" w:cs="Arial" w:eastAsia="Arial" w:hAnsi="Arial"/>
          <w:i/>
          <w:iCs/>
          <w:color w:val="3A4A5C"/>
          <w:sz w:val="22"/>
          <w:szCs w:val="22"/>
        </w:rPr>
        <w:t xml:space="preserve">Breadth at the top, rigor in the middle, tailoring at the end.</w:t>
      </w:r>
    </w:p>
    <w:p>
      <w:pPr>
        <w:spacing w:before="240"/>
        <w:jc w:val="left"/>
      </w:pPr>
      <w:r>
        <w:rPr>
          <w:rFonts w:ascii="Arial" w:cs="Arial" w:eastAsia="Arial" w:hAnsi="Arial"/>
          <w:color w:val="3A4A5C"/>
          <w:sz w:val="18"/>
          <w:szCs w:val="18"/>
        </w:rPr>
        <w:t xml:space="preserve">Prepared by Keel3, LLC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2026-06-09T17:53:09.725Z</dcterms:created>
  <dcterms:modified xsi:type="dcterms:W3CDTF">2026-06-09T17:53:09.726Z</dcterms:modified>
</cp:coreProperties>
</file>

<file path=docProps/custom.xml><?xml version="1.0" encoding="utf-8"?>
<Properties xmlns="http://schemas.openxmlformats.org/officeDocument/2006/custom-properties" xmlns:vt="http://schemas.openxmlformats.org/officeDocument/2006/docPropsVTypes"/>
</file>