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Lerntagebuch von Oliver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tbl>
      <w:tblPr>
        <w:tblStyle w:val="TableGrid"/>
        <w:tblW w:w="1395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1" w:noVBand="1" w:firstColumn="1" w:lastRow="0" w:lastColumn="0" w:firstRow="1" w:val="06a0"/>
      </w:tblPr>
      <w:tblGrid>
        <w:gridCol w:w="1350"/>
        <w:gridCol w:w="3179"/>
        <w:gridCol w:w="3301"/>
        <w:gridCol w:w="2879"/>
        <w:gridCol w:w="3241"/>
      </w:tblGrid>
      <w:tr>
        <w:trPr>
          <w:trHeight w:val="300" w:hRule="atLeast"/>
        </w:trPr>
        <w:tc>
          <w:tcPr>
            <w:tcW w:w="1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de-DE" w:eastAsia="en-US" w:bidi="ar-SA"/>
              </w:rPr>
              <w:t>Datum</w:t>
            </w:r>
          </w:p>
        </w:tc>
        <w:tc>
          <w:tcPr>
            <w:tcW w:w="31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de-DE" w:eastAsia="en-US" w:bidi="ar-SA"/>
              </w:rPr>
              <w:t>Tätigkeit</w:t>
            </w:r>
          </w:p>
        </w:tc>
        <w:tc>
          <w:tcPr>
            <w:tcW w:w="33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de-DE" w:eastAsia="en-US" w:bidi="ar-SA"/>
              </w:rPr>
              <w:t>Problem</w:t>
            </w:r>
          </w:p>
        </w:tc>
        <w:tc>
          <w:tcPr>
            <w:tcW w:w="28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de-DE" w:eastAsia="en-US" w:bidi="ar-SA"/>
              </w:rPr>
              <w:t>Lösung</w:t>
            </w:r>
          </w:p>
        </w:tc>
        <w:tc>
          <w:tcPr>
            <w:tcW w:w="324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b/>
                <w:bCs/>
              </w:rPr>
            </w:pPr>
            <w:r>
              <w:rPr>
                <w:rFonts w:eastAsia="Aptos" w:cs=""/>
                <w:b/>
                <w:bCs/>
                <w:kern w:val="0"/>
                <w:sz w:val="24"/>
                <w:szCs w:val="24"/>
                <w:lang w:val="de-DE" w:eastAsia="en-US" w:bidi="ar-SA"/>
              </w:rPr>
              <w:t>Lessions Learned</w:t>
            </w:r>
          </w:p>
        </w:tc>
      </w:tr>
      <w:tr>
        <w:trPr>
          <w:trHeight w:val="300" w:hRule="atLeast"/>
        </w:trPr>
        <w:tc>
          <w:tcPr>
            <w:tcW w:w="1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  <w:t>17.09</w:t>
            </w:r>
          </w:p>
        </w:tc>
        <w:tc>
          <w:tcPr>
            <w:tcW w:w="31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  <w:t>- Aufsetzen des GIT-Repos und durchlesen der GitHub Anleitung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  <w:t>- Recherche über die vom Projekt verwendeten Architekturen</w:t>
            </w:r>
          </w:p>
        </w:tc>
        <w:tc>
          <w:tcPr>
            <w:tcW w:w="33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</w:r>
          </w:p>
        </w:tc>
        <w:tc>
          <w:tcPr>
            <w:tcW w:w="28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</w:r>
          </w:p>
        </w:tc>
        <w:tc>
          <w:tcPr>
            <w:tcW w:w="324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  <w:t xml:space="preserve">Verständnis von Kong API, Supabase, </w:t>
            </w:r>
          </w:p>
        </w:tc>
      </w:tr>
      <w:tr>
        <w:trPr>
          <w:trHeight w:val="300" w:hRule="atLeast"/>
        </w:trPr>
        <w:tc>
          <w:tcPr>
            <w:tcW w:w="1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  <w:t>18.09</w:t>
            </w:r>
          </w:p>
        </w:tc>
        <w:tc>
          <w:tcPr>
            <w:tcW w:w="31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  <w:t>Marketinganalyse</w:t>
            </w:r>
          </w:p>
        </w:tc>
        <w:tc>
          <w:tcPr>
            <w:tcW w:w="33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</w:r>
          </w:p>
        </w:tc>
        <w:tc>
          <w:tcPr>
            <w:tcW w:w="28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</w:r>
          </w:p>
        </w:tc>
        <w:tc>
          <w:tcPr>
            <w:tcW w:w="324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  <w:t>Instrument des Marketing-Mix</w:t>
            </w:r>
          </w:p>
        </w:tc>
      </w:tr>
      <w:tr>
        <w:trPr>
          <w:trHeight w:val="300" w:hRule="atLeast"/>
        </w:trPr>
        <w:tc>
          <w:tcPr>
            <w:tcW w:w="1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  <w:t>24.09</w:t>
            </w:r>
          </w:p>
        </w:tc>
        <w:tc>
          <w:tcPr>
            <w:tcW w:w="31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  <w:t>1. Sprintbesprechung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  <w:t>Gemeinsame konzipierung des ER-Modells mit dem Team.</w:t>
            </w:r>
          </w:p>
        </w:tc>
        <w:tc>
          <w:tcPr>
            <w:tcW w:w="33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  <w:t>Die fachfremden kaufmännischen Anforderungen sinnvoll in ein ER-implementieren.</w:t>
            </w:r>
          </w:p>
        </w:tc>
        <w:tc>
          <w:tcPr>
            <w:tcW w:w="28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  <w:t>Anforderungen von einem IT-Kaufmann erheben durch Diskussionen.</w:t>
            </w:r>
          </w:p>
        </w:tc>
        <w:tc>
          <w:tcPr>
            <w:tcW w:w="324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  <w:t>Verständnis für die Normalformen vertieft und abteilungsübergreifende Logik von Kaufmännern aufgenommen.</w:t>
            </w:r>
          </w:p>
        </w:tc>
      </w:tr>
      <w:tr>
        <w:trPr>
          <w:trHeight w:val="300" w:hRule="atLeast"/>
        </w:trPr>
        <w:tc>
          <w:tcPr>
            <w:tcW w:w="1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  <w:t>25.09</w:t>
            </w:r>
          </w:p>
        </w:tc>
        <w:tc>
          <w:tcPr>
            <w:tcW w:w="31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  <w:t>Erstellung des ER-Modells für Webshop inklusive kaufmännischer Daten.</w:t>
            </w:r>
          </w:p>
        </w:tc>
        <w:tc>
          <w:tcPr>
            <w:tcW w:w="33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  <w:t>Ein großes ER-Modell erstellen welchen allen Anforderungen gerecht wird und normalisiert ist.</w:t>
            </w:r>
          </w:p>
        </w:tc>
        <w:tc>
          <w:tcPr>
            <w:tcW w:w="28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  <w:t>Mit einem ersten eigenen ER-Entwurf und gezieltem Master-Prompting konnte ein umfangreiches ER-Modell erstellt werden</w:t>
            </w:r>
          </w:p>
        </w:tc>
        <w:tc>
          <w:tcPr>
            <w:tcW w:w="324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  <w:t xml:space="preserve">Wie man KI verwenden kann zur Unterstützung bei der ER-Modellierung. </w:t>
            </w:r>
          </w:p>
        </w:tc>
      </w:tr>
      <w:tr>
        <w:trPr>
          <w:trHeight w:val="300" w:hRule="atLeast"/>
        </w:trPr>
        <w:tc>
          <w:tcPr>
            <w:tcW w:w="1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  <w:t>1.10</w:t>
            </w:r>
          </w:p>
        </w:tc>
        <w:tc>
          <w:tcPr>
            <w:tcW w:w="31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  <w:t>Prüfung des von KI erstellten ER-Modell in Bezug auf die Normalformen und kleinfügiger Korrektur. Mit dem FISI meinen Zugriff für den Server eingerichtet. Beginn Issue #2.</w:t>
            </w:r>
          </w:p>
        </w:tc>
        <w:tc>
          <w:tcPr>
            <w:tcW w:w="33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  <w:t>Das sehr Umfangreiche ER-Modell auf Fehler zu überprüfen. Z.B gab es in einer Tabelle das Attribut „Beschreibung“. Ich war mir unsicher ob das Attribut Atomar war und habe mich mit den Entwurfsprinzipien auseinandergesetzt.</w:t>
            </w:r>
          </w:p>
        </w:tc>
        <w:tc>
          <w:tcPr>
            <w:tcW w:w="28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  <w:t xml:space="preserve">Das eigene Verständnis über ER-Modelle erweitern. </w:t>
            </w:r>
          </w:p>
        </w:tc>
        <w:tc>
          <w:tcPr>
            <w:tcW w:w="324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  <w:t xml:space="preserve">KI ist oft zu 95% richtig, die Einzelheiten rauszufiltern rückt immer mehr in den Vordergrund. Dafür muss man aber zu 100% das Konzept dahinter verstehen können. </w:t>
            </w:r>
          </w:p>
        </w:tc>
      </w:tr>
      <w:tr>
        <w:trPr>
          <w:trHeight w:val="300" w:hRule="atLeast"/>
        </w:trPr>
        <w:tc>
          <w:tcPr>
            <w:tcW w:w="135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  <w:t>2.10</w:t>
            </w:r>
          </w:p>
        </w:tc>
        <w:tc>
          <w:tcPr>
            <w:tcW w:w="31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  <w:t>Datenbanken Unterricht, Schreibtischtest, Besprechung des IHK-Prüfunggesprächs</w:t>
            </w:r>
          </w:p>
        </w:tc>
        <w:tc>
          <w:tcPr>
            <w:tcW w:w="330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</w:r>
          </w:p>
        </w:tc>
        <w:tc>
          <w:tcPr>
            <w:tcW w:w="287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</w:r>
          </w:p>
        </w:tc>
        <w:tc>
          <w:tcPr>
            <w:tcW w:w="324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ptos" w:hAnsi="Aptos" w:eastAsia="Aptos" w:cs=""/>
                <w:kern w:val="0"/>
                <w:sz w:val="24"/>
                <w:szCs w:val="24"/>
                <w:lang w:val="de-DE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de-DE" w:eastAsia="en-US" w:bidi="ar-SA"/>
              </w:rPr>
              <w:t>Wie das IHK-Prüfungsgespräch aufgebaut ist. Besprechung der Constraints von Datenbanken. Methodisches vorgehen beim Schreibtischtest.</w:t>
            </w:r>
          </w:p>
        </w:tc>
      </w:tr>
    </w:tbl>
    <w:p>
      <w:pPr>
        <w:pStyle w:val="Normal"/>
        <w:widowControl/>
        <w:bidi w:val="0"/>
        <w:spacing w:lineRule="auto" w:line="278" w:before="0" w:after="160"/>
        <w:jc w:val="start"/>
        <w:rPr/>
      </w:pPr>
      <w:r>
        <w:rPr/>
      </w:r>
    </w:p>
    <w:sectPr>
      <w:type w:val="nextPage"/>
      <w:pgSz w:orient="landscape" w:w="16838" w:h="11906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de-D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de-DE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0"/>
    <w:qFormat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pPr>
      <w:spacing w:lineRule="auto" w:line="240" w:before="0" w:after="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<Relationship Id="rId6" Type="http://schemas.openxmlformats.org/officeDocument/2006/relationships/customXml" Target="../customXml/item2.xml"/><Relationship Id="rId7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12E5076748DB3D46A5831BCC14D2C1E2" ma:contentTypeVersion="0" ma:contentTypeDescription="Ein neues Dokument erstellen." ma:contentTypeScope="" ma:versionID="1708a8366f2130af8b1771e9877f0cfe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df7b5bc1abea3a6eee9d75eaf0ff079b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92AB7E1-C881-4341-AB5F-D3DF6EE6DFD0}"/>
</file>

<file path=customXml/itemProps2.xml><?xml version="1.0" encoding="utf-8"?>
<ds:datastoreItem xmlns:ds="http://schemas.openxmlformats.org/officeDocument/2006/customXml" ds:itemID="{0C5384F6-7E21-4147-ADF0-41DC07F06748}"/>
</file>

<file path=customXml/itemProps3.xml><?xml version="1.0" encoding="utf-8"?>
<ds:datastoreItem xmlns:ds="http://schemas.openxmlformats.org/officeDocument/2006/customXml" ds:itemID="{C99C8EF0-5A6F-4BDB-ACAA-A98695A7579E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Application>LibreOffice/26.2.6.3$Linux_X86_64 LibreOffice_project/620$Build-3</Application>
  <AppVersion>15.0000</AppVersion>
  <Pages>2</Pages>
  <Words>231</Words>
  <Characters>1573</Characters>
  <CharactersWithSpaces>1776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2024-07-02T09:22:38Z</dcterms:created>
  <dc:creator>U. Linnenkugel</dc:creator>
  <dc:description/>
  <dc:language>en-US</dc:language>
  <cp:lastModifiedBy/>
  <dcterms:modified xsi:type="dcterms:W3CDTF">2026-10-08T13:39:35Z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lianceAssetId">
    <vt:lpwstr/>
  </property>
  <property fmtid="{D5CDD505-2E9C-101B-9397-08002B2CF9AE}" pid="3" name="ContentTypeId">
    <vt:lpwstr>0x01010012E5076748DB3D46A5831BCC14D2C1E2</vt:lpwstr>
  </property>
  <property fmtid="{D5CDD505-2E9C-101B-9397-08002B2CF9AE}" pid="4" name="Order">
    <vt:r8>1300</vt:r8>
  </property>
  <property fmtid="{D5CDD505-2E9C-101B-9397-08002B2CF9AE}" pid="5" name="TemplateUrl">
    <vt:lpwstr/>
  </property>
  <property fmtid="{D5CDD505-2E9C-101B-9397-08002B2CF9AE}" pid="6" name="TriggerFlowInfo">
    <vt:lpwstr/>
  </property>
  <property fmtid="{D5CDD505-2E9C-101B-9397-08002B2CF9AE}" pid="7" name="_ExtendedDescription">
    <vt:lpwstr/>
  </property>
  <property fmtid="{D5CDD505-2E9C-101B-9397-08002B2CF9AE}" pid="8" name="_SharedFileIndex">
    <vt:lpwstr/>
  </property>
  <property fmtid="{D5CDD505-2E9C-101B-9397-08002B2CF9AE}" pid="9" name="_SourceUrl">
    <vt:lpwstr/>
  </property>
  <property fmtid="{D5CDD505-2E9C-101B-9397-08002B2CF9AE}" pid="10" name="xd_ProgID">
    <vt:lpwstr/>
  </property>
  <property fmtid="{D5CDD505-2E9C-101B-9397-08002B2CF9AE}" pid="11" name="xd_Signature">
    <vt:bool>0</vt:bool>
  </property>
</Properties>
</file>