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400"/>
        <w:gridCol w:w="2106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1F1F"/>
                <w:sz w:val="44"/>
                <w:szCs w:val="44"/>
              </w:rPr>
              <w:t xml:space="preserve">Oliver Varcoe</w:t>
            </w:r>
          </w:p>
          <w:p>
            <w:pPr>
              <w:spacing w:after="80"/>
            </w:pPr>
            <w:r>
              <w:rPr>
                <w:color w:val="1F4E79"/>
                <w:sz w:val="22"/>
                <w:szCs w:val="22"/>
              </w:rPr>
              <w:t xml:space="preserve">Senior client advisor  ·  ecommerce &amp; digital transformation</w:t>
            </w:r>
          </w:p>
          <w:p>
            <w:pPr>
              <w:spacing w:after="40"/>
            </w:pPr>
            <w:r>
              <w:rPr>
                <w:color w:val="595959"/>
                <w:sz w:val="20"/>
                <w:szCs w:val="20"/>
              </w:rPr>
              <w:t xml:space="preserve">Barcelona, Spain</w:t>
            </w:r>
            <w:r>
              <w:rPr>
                <w:color w:val="595959"/>
                <w:sz w:val="20"/>
                <w:szCs w:val="20"/>
              </w:rPr>
              <w:t xml:space="preserve">   ·   </w:t>
            </w:r>
            <w:r>
              <w:rPr>
                <w:color w:val="595959"/>
                <w:sz w:val="20"/>
                <w:szCs w:val="20"/>
              </w:rPr>
              <w:t xml:space="preserve">varcoeoliver@gmail.com</w:t>
            </w:r>
          </w:p>
          <w:p>
            <w:pPr>
              <w:spacing w:after="0"/>
            </w:pPr>
            <w:r>
              <w:rPr>
                <w:color w:val="595959"/>
                <w:sz w:val="20"/>
                <w:szCs w:val="20"/>
              </w:rPr>
              <w:t xml:space="preserve">+34 645 91 06 24</w:t>
            </w:r>
            <w:r>
              <w:rPr>
                <w:color w:val="595959"/>
                <w:sz w:val="20"/>
                <w:szCs w:val="20"/>
              </w:rPr>
              <w:t xml:space="preserve">   ·   </w:t>
            </w:r>
            <w:r>
              <w:rPr>
                <w:color w:val="595959"/>
                <w:sz w:val="20"/>
                <w:szCs w:val="20"/>
              </w:rPr>
              <w:t xml:space="preserve">linkedin.com/in/oliver-varcoe</w:t>
            </w:r>
          </w:p>
        </w:tc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4E79" w:sz="6" w:space="1"/>
        </w:pBdr>
        <w:spacing w:after="60" w:before="120"/>
      </w:pPr>
      <w:r>
        <w:t xml:space="preserve"/>
      </w:r>
    </w:p>
    <w:p>
      <w:pPr>
        <w:pStyle w:val="Heading2"/>
        <w:spacing w:after="60" w:before="240"/>
      </w:pPr>
      <w:r>
        <w:rPr>
          <w:b/>
          <w:bCs/>
          <w:color w:val="1F4E79"/>
          <w:sz w:val="24"/>
          <w:szCs w:val="24"/>
        </w:rPr>
        <w:t xml:space="preserve">PROFILE</w:t>
      </w:r>
    </w:p>
    <w:p>
      <w:r>
        <w:rPr>
          <w:sz w:val="22"/>
          <w:szCs w:val="22"/>
        </w:rPr>
        <w:t xml:space="preserve">Senior client-side strategist with a decade of experience across enterprise ad-tech, ecommerce and digital agency work. Spent six years at Criteo across two roles, most recently as Senior Account Strategist working with EMEA's largest enterprise retail and travel brands. Now co-founder of MV&amp;Co, a luxury-focused digital studio in Barcelona, and looking to return to in-house enterprise customer success work where I can apply both sides of my experience at scale. Equally comfortable in a QBR with marketing leadership or screen-sharing with a developer to debug a tag. Fluent English and French, intermediate Spanish.</w:t>
      </w:r>
    </w:p>
    <w:p>
      <w:pPr>
        <w:pStyle w:val="Heading2"/>
        <w:spacing w:after="60" w:before="240"/>
      </w:pPr>
      <w:r>
        <w:rPr>
          <w:b/>
          <w:bCs/>
          <w:color w:val="1F4E79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0" w:before="160"/>
      </w:pPr>
      <w:r>
        <w:rPr>
          <w:b/>
          <w:bCs/>
          <w:color w:val="1F4E79"/>
          <w:sz w:val="22"/>
          <w:szCs w:val="22"/>
        </w:rPr>
        <w:t xml:space="preserve">Criteo</w:t>
      </w:r>
      <w:r>
        <w:rPr>
          <w:sz w:val="22"/>
          <w:szCs w:val="22"/>
        </w:rPr>
        <w:t xml:space="preserve">	</w:t>
      </w:r>
      <w:r>
        <w:rPr>
          <w:color w:val="595959"/>
          <w:sz w:val="20"/>
          <w:szCs w:val="20"/>
        </w:rPr>
        <w:t xml:space="preserve">Sep 2017 – Oct 2020, 2022 – Apr 2025</w:t>
      </w:r>
    </w:p>
    <w:p>
      <w:pPr>
        <w:spacing w:after="80" w:before="20"/>
      </w:pPr>
      <w:r>
        <w:rPr>
          <w:i/>
          <w:iCs/>
          <w:color w:val="595959"/>
          <w:sz w:val="20"/>
          <w:szCs w:val="20"/>
        </w:rPr>
        <w:t xml:space="preserve">Publicly listed ad-tech platform (~$1.9B annual revenue, ~3,500 staff). Worked with EMEA's largest enterprise retail and travel brands across two roles, with a two-year gap in between.</w:t>
      </w:r>
    </w:p>
    <w:p>
      <w:pPr>
        <w:tabs>
          <w:tab w:val="right" w:pos="9360"/>
        </w:tabs>
        <w:spacing w:after="0" w:before="100"/>
        <w:ind w:left="200"/>
      </w:pPr>
      <w:r>
        <w:rPr>
          <w:b/>
          <w:bCs/>
          <w:sz w:val="22"/>
          <w:szCs w:val="22"/>
        </w:rPr>
        <w:t xml:space="preserve">New Business Account Strategist</w:t>
      </w:r>
      <w:r>
        <w:rPr>
          <w:sz w:val="22"/>
          <w:szCs w:val="22"/>
        </w:rPr>
        <w:t xml:space="preserve">	</w:t>
      </w:r>
      <w:r>
        <w:rPr>
          <w:color w:val="595959"/>
          <w:sz w:val="20"/>
          <w:szCs w:val="20"/>
        </w:rPr>
        <w:t xml:space="preserve">Sep 2017 – Oct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Built trusted-advisor relationships with newly onboarded SMB ecommerce brands across EMEA, providing strategic guidance on product adoption and technical implementation.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Drove platform activation and early retention on new accounts: campaign setup, tag and feed troubleshooting, performance optimisation, and renewal conversations.</w:t>
      </w:r>
    </w:p>
    <w:p>
      <w:pPr>
        <w:tabs>
          <w:tab w:val="right" w:pos="9360"/>
        </w:tabs>
        <w:spacing w:after="0" w:before="100"/>
        <w:ind w:left="200"/>
      </w:pPr>
      <w:r>
        <w:rPr>
          <w:b/>
          <w:bCs/>
          <w:sz w:val="22"/>
          <w:szCs w:val="22"/>
        </w:rPr>
        <w:t xml:space="preserve">Senior Account Strategist</w:t>
      </w:r>
      <w:r>
        <w:rPr>
          <w:sz w:val="22"/>
          <w:szCs w:val="22"/>
        </w:rPr>
        <w:t xml:space="preserve">	</w:t>
      </w:r>
      <w:r>
        <w:rPr>
          <w:color w:val="595959"/>
          <w:sz w:val="20"/>
          <w:szCs w:val="20"/>
        </w:rPr>
        <w:t xml:space="preserve">2022 – Apr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Managed strategic relationships with some of EMEA's most recognised enterprise brands, driving incremental ecommerce revenue through Criteo's performance advertising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Focused on growth and retention across a portfolio of EMEA enterprise accounts representing over $12M in annual media spend. Owned QBRs with marketing leadership, partnered with technical teams on tag and feed implementations, and translated performance data into commercial decisions clients could act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Worked closely with Criteo's product and engineering teams to feed back enterprise customer needs into the roadmap (creative formats, attribution, audience segmentation).</w:t>
      </w:r>
    </w:p>
    <w:p>
      <w:pPr>
        <w:tabs>
          <w:tab w:val="right" w:pos="9360"/>
        </w:tabs>
        <w:spacing w:after="0" w:before="160"/>
      </w:pPr>
      <w:r>
        <w:rPr>
          <w:b/>
          <w:bCs/>
          <w:sz w:val="22"/>
          <w:szCs w:val="22"/>
        </w:rPr>
        <w:t xml:space="preserve">Co-founder</w:t>
      </w:r>
      <w:r>
        <w:rPr>
          <w:color w:val="595959"/>
          <w:sz w:val="22"/>
          <w:szCs w:val="22"/>
        </w:rPr>
        <w:t xml:space="preserve">  ·  </w:t>
      </w:r>
      <w:r>
        <w:rPr>
          <w:i/>
          <w:iCs/>
          <w:color w:val="1F4E79"/>
          <w:sz w:val="22"/>
          <w:szCs w:val="22"/>
        </w:rPr>
        <w:t xml:space="preserve">MV&amp;Co Luxury Agency</w:t>
      </w:r>
      <w:r>
        <w:rPr>
          <w:sz w:val="22"/>
          <w:szCs w:val="22"/>
        </w:rPr>
        <w:t xml:space="preserve">	</w:t>
      </w:r>
      <w:r>
        <w:rPr>
          <w:color w:val="595959"/>
          <w:sz w:val="20"/>
          <w:szCs w:val="20"/>
        </w:rPr>
        <w:t xml:space="preserve">May 2025 – present</w:t>
      </w:r>
    </w:p>
    <w:p>
      <w:pPr>
        <w:spacing w:after="80" w:before="20"/>
      </w:pPr>
      <w:r>
        <w:rPr>
          <w:i/>
          <w:iCs/>
          <w:color w:val="595959"/>
          <w:sz w:val="20"/>
          <w:szCs w:val="20"/>
        </w:rPr>
        <w:t xml:space="preserve">Founder-led digital agency for luxury and DTC brands. Built on the observation that AI-first, conversion-led performance marketing doesn't fit how luxury brands actually win customers.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Lead design and development across the client portfolio. Anchor account is Elizabeth Gage, a London-based designer jewellery house, where I run email marketing in Campaign Monitor, site management and SEO strategy.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Own business development and go-to-market for the agency end-to-end: built an internal CRM in Lovable to manage pipeline and client comms, and run an outbound programme across multiple verticals using Linked Helper for prospect engagement.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Took full ownership of client development workflows in the last year, working directly in client codebases locally before pushing to production rather than outsourcing to third-party front and back-end developers as I had previously.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Built and shipped MV&amp;Co's own agency website end-to-end using Claude Code inside VS Code, owning design, build and deployment.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Translate technical work for non-technical client stakeholders. For example, I recently walked an Elizabeth Gage contact through a WordPress / WP Mail SMTP OAuth re-authentication over screen-share, then identified and resolved a secondary contact-form routing issue in the same session.</w:t>
      </w:r>
    </w:p>
    <w:p>
      <w:pPr>
        <w:tabs>
          <w:tab w:val="right" w:pos="9360"/>
        </w:tabs>
        <w:spacing w:after="0" w:before="160"/>
      </w:pPr>
      <w:r>
        <w:rPr>
          <w:b/>
          <w:bCs/>
          <w:sz w:val="22"/>
          <w:szCs w:val="22"/>
        </w:rPr>
        <w:t xml:space="preserve">Senior Account Manager</w:t>
      </w:r>
      <w:r>
        <w:rPr>
          <w:color w:val="595959"/>
          <w:sz w:val="22"/>
          <w:szCs w:val="22"/>
        </w:rPr>
        <w:t xml:space="preserve">  ·  </w:t>
      </w:r>
      <w:r>
        <w:rPr>
          <w:i/>
          <w:iCs/>
          <w:color w:val="1F4E79"/>
          <w:sz w:val="22"/>
          <w:szCs w:val="22"/>
        </w:rPr>
        <w:t xml:space="preserve">SoBold</w:t>
      </w:r>
      <w:r>
        <w:rPr>
          <w:sz w:val="22"/>
          <w:szCs w:val="22"/>
        </w:rPr>
        <w:t xml:space="preserve">	</w:t>
      </w:r>
      <w:r>
        <w:rPr>
          <w:color w:val="595959"/>
          <w:sz w:val="20"/>
          <w:szCs w:val="20"/>
        </w:rPr>
        <w:t xml:space="preserve">Sep 2015 – Sep 2017</w:t>
      </w:r>
    </w:p>
    <w:p>
      <w:pPr>
        <w:spacing w:after="80" w:before="20"/>
      </w:pPr>
      <w:r>
        <w:rPr>
          <w:i/>
          <w:iCs/>
          <w:color w:val="595959"/>
          <w:sz w:val="20"/>
          <w:szCs w:val="20"/>
        </w:rPr>
        <w:t xml:space="preserve">London-based web design and digital marketing agency working with SMB and mid-market clients across both design / development and paid media.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Project-managed website design and development engagements end-to-end, from concept and discovery through to delivery, coordinating between designers, developers and clients. This was my first direct exposure to the design-to-production handoff that Builder.io's platform is built to streamline.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Ran programmatic trading and paid media campaigns alongside the web work, executing across DV360, The Trade Desk, Criteo and the major social platforms for B2B and B2C clients.</w:t>
      </w:r>
    </w:p>
    <w:p>
      <w:pPr>
        <w:pStyle w:val="Heading2"/>
        <w:spacing w:after="60" w:before="240"/>
      </w:pPr>
      <w:r>
        <w:rPr>
          <w:b/>
          <w:bCs/>
          <w:color w:val="1F4E79"/>
          <w:sz w:val="24"/>
          <w:szCs w:val="24"/>
        </w:rPr>
        <w:t xml:space="preserve">HOW I USE AI DAY-TO-DAY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Prototype client web components in Figma Make, then ship and iterate them in VS Code with Claude Code. The design-to-code loop is faster, but I still review every 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Auto-route meeting recordings and transcripts into client-specific folders in Google Drive so context is surfaced before every call rather than scrambled for.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Use a mix of Claude and ChatGPT for client research, segmentation work, outbound personalisation and first-draft comms. Treat output as a starting point, not a finished deliverable.</w:t>
      </w:r>
    </w:p>
    <w:p>
      <w:pPr>
        <w:pStyle w:val="Heading2"/>
        <w:spacing w:after="60" w:before="240"/>
      </w:pPr>
      <w:r>
        <w:rPr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0" w:before="80"/>
      </w:pPr>
      <w:r>
        <w:rPr>
          <w:b/>
          <w:bCs/>
          <w:sz w:val="22"/>
          <w:szCs w:val="22"/>
        </w:rPr>
        <w:t xml:space="preserve">BA, Business Administration</w:t>
      </w:r>
      <w:r>
        <w:rPr>
          <w:color w:val="595959"/>
          <w:sz w:val="22"/>
          <w:szCs w:val="22"/>
        </w:rPr>
        <w:t xml:space="preserve">  ·  </w:t>
      </w:r>
      <w:r>
        <w:rPr>
          <w:i/>
          <w:iCs/>
          <w:color w:val="1F4E79"/>
          <w:sz w:val="22"/>
          <w:szCs w:val="22"/>
        </w:rPr>
        <w:t xml:space="preserve">The Hague University of Applied Sciences</w:t>
      </w:r>
      <w:r>
        <w:rPr>
          <w:sz w:val="22"/>
          <w:szCs w:val="22"/>
        </w:rPr>
        <w:t xml:space="preserve">	</w:t>
      </w:r>
      <w:r>
        <w:rPr>
          <w:color w:val="595959"/>
          <w:sz w:val="20"/>
          <w:szCs w:val="20"/>
        </w:rPr>
        <w:t xml:space="preserve">2012 – 2016</w:t>
      </w:r>
    </w:p>
    <w:p>
      <w:pPr>
        <w:spacing w:after="0" w:before="20"/>
      </w:pPr>
      <w:r>
        <w:rPr>
          <w:color w:val="595959"/>
          <w:sz w:val="20"/>
          <w:szCs w:val="20"/>
        </w:rPr>
        <w:t xml:space="preserve">Majors in Economics and Marketing.</w:t>
      </w:r>
    </w:p>
    <w:p>
      <w:pPr>
        <w:tabs>
          <w:tab w:val="right" w:pos="9360"/>
        </w:tabs>
        <w:spacing w:after="0" w:before="120"/>
      </w:pPr>
      <w:r>
        <w:rPr>
          <w:b/>
          <w:bCs/>
          <w:sz w:val="22"/>
          <w:szCs w:val="22"/>
        </w:rPr>
        <w:t xml:space="preserve">Baccalauréat, Sociology &amp; Economics</w:t>
      </w:r>
      <w:r>
        <w:rPr>
          <w:color w:val="595959"/>
          <w:sz w:val="22"/>
          <w:szCs w:val="22"/>
        </w:rPr>
        <w:t xml:space="preserve">  ·  </w:t>
      </w:r>
      <w:r>
        <w:rPr>
          <w:i/>
          <w:iCs/>
          <w:color w:val="1F4E79"/>
          <w:sz w:val="22"/>
          <w:szCs w:val="22"/>
        </w:rPr>
        <w:t xml:space="preserve">Lycée Français de Budapest</w:t>
      </w:r>
      <w:r>
        <w:rPr>
          <w:sz w:val="22"/>
          <w:szCs w:val="22"/>
        </w:rPr>
        <w:t xml:space="preserve">	</w:t>
      </w:r>
      <w:r>
        <w:rPr>
          <w:color w:val="595959"/>
          <w:sz w:val="20"/>
          <w:szCs w:val="20"/>
        </w:rPr>
        <w:t xml:space="preserve">2010</w:t>
      </w:r>
    </w:p>
    <w:p>
      <w:pPr>
        <w:pStyle w:val="Heading2"/>
        <w:spacing w:after="60" w:before="240"/>
      </w:pPr>
      <w:r>
        <w:rPr>
          <w:b/>
          <w:bCs/>
          <w:color w:val="1F4E79"/>
          <w:sz w:val="24"/>
          <w:szCs w:val="24"/>
        </w:rPr>
        <w:t xml:space="preserve">LANGUAGES</w:t>
      </w:r>
    </w:p>
    <w:p>
      <w:pPr>
        <w:spacing w:before="80"/>
      </w:pPr>
      <w:r>
        <w:rPr>
          <w:b/>
          <w:bCs/>
          <w:sz w:val="22"/>
          <w:szCs w:val="22"/>
        </w:rPr>
        <w:t xml:space="preserve">English </w:t>
      </w:r>
      <w:r>
        <w:rPr>
          <w:color w:val="595959"/>
          <w:sz w:val="22"/>
          <w:szCs w:val="22"/>
        </w:rPr>
        <w:t xml:space="preserve">native     </w:t>
      </w:r>
      <w:r>
        <w:rPr>
          <w:b/>
          <w:bCs/>
          <w:sz w:val="22"/>
          <w:szCs w:val="22"/>
        </w:rPr>
        <w:t xml:space="preserve">French </w:t>
      </w:r>
      <w:r>
        <w:rPr>
          <w:color w:val="595959"/>
          <w:sz w:val="22"/>
          <w:szCs w:val="22"/>
        </w:rPr>
        <w:t xml:space="preserve">native     </w:t>
      </w:r>
      <w:r>
        <w:rPr>
          <w:b/>
          <w:bCs/>
          <w:sz w:val="22"/>
          <w:szCs w:val="22"/>
        </w:rPr>
        <w:t xml:space="preserve">Spanish </w:t>
      </w:r>
      <w:r>
        <w:rPr>
          <w:color w:val="595959"/>
          <w:sz w:val="22"/>
          <w:szCs w:val="22"/>
        </w:rPr>
        <w:t xml:space="preserve">intermediate (B1)     </w:t>
      </w:r>
      <w:r>
        <w:rPr>
          <w:b/>
          <w:bCs/>
          <w:sz w:val="22"/>
          <w:szCs w:val="22"/>
        </w:rPr>
        <w:t xml:space="preserve">Hungarian </w:t>
      </w:r>
      <w:r>
        <w:rPr>
          <w:color w:val="595959"/>
          <w:sz w:val="22"/>
          <w:szCs w:val="22"/>
        </w:rPr>
        <w:t xml:space="preserve">intermediate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0" w:before="0"/>
      <w:outlineLvl w:val="0"/>
    </w:pPr>
    <w:rPr>
      <w:rFonts w:ascii="Calibri" w:cs="Calibri" w:eastAsia="Calibri" w:hAnsi="Calibri"/>
      <w:b/>
      <w:bCs/>
      <w:color w:val="1F1F1F"/>
      <w:sz w:val="40"/>
      <w:szCs w:val="40"/>
    </w:rPr>
  </w:style>
  <w:style w:type="paragraph" w:styleId="Heading2">
    <w:name w:val="Heading 2"/>
    <w:basedOn w:val="Normal"/>
    <w:next w:val="Normal"/>
    <w:pPr>
      <w:spacing w:after="60" w:before="24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bd510308207e820467d5b1482cd20887722d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Varcoe CV</dc:title>
  <dc:creator>Oliver Varcoe</dc:creator>
  <cp:lastModifiedBy>Un-named</cp:lastModifiedBy>
  <cp:revision>1</cp:revision>
  <dcterms:created xsi:type="dcterms:W3CDTF">2026-05-14T09:25:17.318Z</dcterms:created>
  <dcterms:modified xsi:type="dcterms:W3CDTF">2026-05-14T09:25:17.319Z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