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A1A18"/>
          <w:sz w:val="52"/>
          <w:szCs w:val="52"/>
        </w:rPr>
        <w:t xml:space="preserve">Habilidades de Liderazgo</w:t>
      </w:r>
    </w:p>
    <w:p>
      <w:pPr>
        <w:spacing w:after="0" w:before="0"/>
        <w:jc w:val="center"/>
      </w:pPr>
      <w:r>
        <w:rPr>
          <w:b/>
          <w:bCs/>
          <w:color w:val="1A1A18"/>
          <w:sz w:val="52"/>
          <w:szCs w:val="52"/>
        </w:rPr>
        <w:t xml:space="preserve">y Comunicación</w:t>
      </w:r>
    </w:p>
    <w:p>
      <w:pPr>
        <w:spacing w:after="0" w:before="200"/>
        <w:jc w:val="center"/>
      </w:pPr>
      <w:r>
        <w:rPr>
          <w:color w:val="6A6A64"/>
          <w:sz w:val="28"/>
          <w:szCs w:val="28"/>
        </w:rPr>
        <w:t xml:space="preserve">Manual del participante</w:t>
      </w:r>
    </w:p>
    <w:p>
      <w:pPr>
        <w:spacing w:after="0" w:before="700"/>
        <w:jc w:val="center"/>
      </w:pPr>
      <w:r>
        <w:rPr>
          <w:b/>
          <w:bCs/>
          <w:color w:val="1C6B4A"/>
          <w:sz w:val="24"/>
          <w:szCs w:val="24"/>
        </w:rPr>
        <w:t xml:space="preserve">Clausura del Programa Lidercoop</w:t>
      </w:r>
    </w:p>
    <w:p>
      <w:pPr>
        <w:spacing w:after="0" w:before="80"/>
        <w:jc w:val="center"/>
      </w:pPr>
      <w:r>
        <w:rPr>
          <w:color w:val="1A1A18"/>
          <w:sz w:val="24"/>
          <w:szCs w:val="24"/>
        </w:rPr>
        <w:t xml:space="preserve">Cooperativa Sagrada Familia</w:t>
      </w:r>
    </w:p>
    <w:p>
      <w:pPr>
        <w:pBdr>
          <w:top w:val="single" w:color="1C6B4A" w:sz="6" w:space="12"/>
        </w:pBdr>
        <w:spacing w:after="0" w:before="1500"/>
        <w:jc w:val="center"/>
      </w:pPr>
      <w:r>
        <w:drawing>
          <wp:inline distT="0" distB="0" distL="0" distR="0">
            <wp:extent cx="238125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942975"/>
                    </a:xfrm>
                    <a:prstGeom prst="rect">
                      <a:avLst/>
                    </a:prstGeom>
                  </pic:spPr>
                </pic:pic>
              </a:graphicData>
            </a:graphic>
          </wp:inline>
        </w:drawing>
      </w:r>
      <w:r>
        <w:t xml:space="preserve">       </w:t>
      </w:r>
      <w:r>
        <w:drawing>
          <wp:inline distT="0" distB="0" distL="0" distR="0">
            <wp:extent cx="14287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076325"/>
                    </a:xfrm>
                    <a:prstGeom prst="rect">
                      <a:avLst/>
                    </a:prstGeom>
                  </pic:spPr>
                </pic:pic>
              </a:graphicData>
            </a:graphic>
          </wp:inline>
        </w:drawing>
      </w:r>
    </w:p>
    <w:p>
      <w:pPr>
        <w:spacing w:after="0" w:before="900"/>
        <w:jc w:val="left"/>
      </w:pPr>
      <w:r>
        <w:rPr>
          <w:color w:val="1A1A18"/>
          <w:sz w:val="18"/>
          <w:szCs w:val="18"/>
        </w:rPr>
        <w:t xml:space="preserve">Desarrollado por Oliver Ayala</w:t>
      </w:r>
    </w:p>
    <w:p>
      <w:pPr>
        <w:spacing w:after="0" w:before="20"/>
        <w:jc w:val="left"/>
      </w:pPr>
      <w:r>
        <w:rPr>
          <w:color w:val="6A6A64"/>
          <w:sz w:val="16"/>
          <w:szCs w:val="16"/>
        </w:rPr>
        <w:t xml:space="preserve">Con asistencia de Claude AI (Anthropic)</w:t>
      </w:r>
    </w:p>
    <w:p>
      <w:r>
        <w:br w:type="page"/>
      </w:r>
    </w:p>
    <w:p>
      <w:pPr>
        <w:pStyle w:val="Heading1"/>
        <w:spacing w:after="120"/>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Introducción</w:t>
      </w:r>
    </w:p>
    <w:p>
      <w:pPr>
        <w:spacing w:after="0" w:line="360"/>
        <w:ind w:firstLine="480"/>
        <w:jc w:val="both"/>
      </w:pPr>
      <w:r>
        <w:t xml:space="preserve">Este manual acompaña la sesión de clausura del programa Lidercoop de la Cooperativa Sagrada Familia. No es un compendio de técnicas ni un recetario de liderazgo, sino una invitación a la reflexión sobre una idea central: </w:t>
      </w:r>
      <w:r>
        <w:rPr>
          <w:b/>
          <w:bCs/>
        </w:rPr>
        <w:t xml:space="preserve">liderar con sentido es comprender mejor la realidad de las personas y ayudarlas a actuar sobre ella.</w:t>
      </w:r>
      <w:r>
        <w:t xml:space="preserve"> A lo largo de estas páginas se desarrollan, con respaldo en la literatura especializada, los temas trabajados en el taller, siempre aterrizados a la vida cooperativa hondureña.</w:t>
      </w:r>
    </w:p>
    <w:p>
      <w:pPr>
        <w:spacing w:after="0" w:line="360"/>
        <w:ind w:firstLine="480"/>
        <w:jc w:val="both"/>
      </w:pPr>
      <w:r>
        <w:t xml:space="preserve">El recorrido parte de la pregunta que abre toda reflexión sobre el liderazgo —¿quién creyó en usted antes de que usted creyera en sí mismo?— y avanza por cinco territorios: cómo escuchamos y comprendemos a las personas, cómo funciona la inteligencia que ponemos al servicio de los demás, cómo se construye la confianza, qué madurez exige liderar y, finalmente, la responsabilidad permanente de formar a quienes vienen detrás.</w:t>
      </w:r>
    </w:p>
    <w:p>
      <w:pPr>
        <w:spacing w:after="0" w:line="360"/>
        <w:ind w:firstLine="480"/>
        <w:jc w:val="both"/>
      </w:pPr>
      <w:r>
        <w:t xml:space="preserve">Una precisión de lenguaje recorre todo el documento: en el cooperativismo hondureño las personas que integran una cooperativa son </w:t>
      </w:r>
      <w:r>
        <w:rPr>
          <w:b/>
          <w:bCs/>
        </w:rPr>
        <w:t xml:space="preserve">afiliados y afiliadas</w:t>
      </w:r>
      <w:r>
        <w:t xml:space="preserve">, no «socios». Esta no es una formalidad: refleja la naturaleza del vínculo cooperativo, regulado por la Ley de Cooperativas de Honduras y su Reglamento, que reconoce a la persona afiliada como sujeto de derechos y responsabilidades dentro de la organización.</w:t>
      </w:r>
    </w:p>
    <w:p>
      <w:pPr>
        <w:sectPr>
          <w:pgSz w:w="12240" w:h="15840" w:orient="portrait"/>
          <w:pgMar w:top="1440" w:right="1440" w:bottom="1440" w:left="1440" w:header="708" w:footer="708" w:gutter="0"/>
          <w:pgNumType/>
          <w:docGrid w:linePitch="360"/>
        </w:sectPr>
      </w:pPr>
    </w:p>
    <w:p>
      <w:pPr>
        <w:pStyle w:val="Heading1"/>
      </w:pPr>
      <w:r>
        <w:t xml:space="preserve">Sección I. Escuchar y responder</w:t>
      </w:r>
    </w:p>
    <w:p>
      <w:pPr>
        <w:spacing w:after="0" w:line="360"/>
        <w:jc w:val="both"/>
      </w:pPr>
      <w:r>
        <w:rPr>
          <w:b/>
          <w:bCs/>
        </w:rPr>
        <w:t xml:space="preserve">¿Cómo comprendemos realmente a otras personas?</w:t>
      </w:r>
    </w:p>
    <w:p>
      <w:pPr>
        <w:spacing w:after="0" w:line="360"/>
        <w:ind w:firstLine="480"/>
        <w:jc w:val="both"/>
      </w:pPr>
      <w:r>
        <w:t xml:space="preserve">La mayoría de las personas escucha para responder; quien lidera con sentido escucha para entender. Entre oír a alguien y comprenderlo de verdad median tres respuestas distintas que solemos confundir: la simpatía, el juicio y la empatía. Distinguirlas tiene consecuencias prácticas en la dirigencia cooperativa, donde se atienden conflictos entre afiliados y afiliadas, se conducen asambleas y se acompañan procesos colectivos.</w:t>
      </w:r>
    </w:p>
    <w:p>
      <w:pPr>
        <w:pStyle w:val="Heading2"/>
      </w:pPr>
      <w:r>
        <w:t xml:space="preserve">I.1 Simpatía, juicio y empatía</w:t>
      </w:r>
    </w:p>
    <w:p>
      <w:pPr>
        <w:spacing w:after="0" w:line="360"/>
        <w:ind w:firstLine="480"/>
        <w:jc w:val="both"/>
      </w:pPr>
      <w:r>
        <w:rPr>
          <w:b/>
          <w:bCs/>
        </w:rPr>
        <w:t xml:space="preserve">La simpatía</w:t>
      </w:r>
      <w:r>
        <w:t xml:space="preserve"> es conexión emocional: acompañamiento afectivo, reconocimiento de lo que la otra persona siente. Es humana y valiosa, pero sigue siendo una reacción nuestra. Incluye también la lástima y ciertas formas de compasión que, sin advertirlo, miran al otro desde arriba.</w:t>
      </w:r>
    </w:p>
    <w:p>
      <w:pPr>
        <w:spacing w:after="0" w:line="360"/>
        <w:ind w:firstLine="480"/>
        <w:jc w:val="both"/>
      </w:pPr>
      <w:r>
        <w:rPr>
          <w:b/>
          <w:bCs/>
        </w:rPr>
        <w:t xml:space="preserve">El juicio</w:t>
      </w:r>
      <w:r>
        <w:t xml:space="preserve"> es la conclusión prematura: etiquetar antes de comprender. Opera tanto en lo negativo («qué irresponsables», «pobrecitos») como en aquello que creemos positivo. En ambos casos cerramos la comprensión antes de tiempo, porque ya decidimos quién es la otra persona.</w:t>
      </w:r>
    </w:p>
    <w:p>
      <w:pPr>
        <w:spacing w:after="0" w:line="360"/>
        <w:ind w:firstLine="480"/>
        <w:jc w:val="both"/>
      </w:pPr>
      <w:r>
        <w:rPr>
          <w:b/>
          <w:bCs/>
        </w:rPr>
        <w:t xml:space="preserve">La empatía</w:t>
      </w:r>
      <w:r>
        <w:t xml:space="preserve"> no es una emoción ni una etiqueta: es una </w:t>
      </w:r>
      <w:r>
        <w:rPr>
          <w:b/>
          <w:bCs/>
        </w:rPr>
        <w:t xml:space="preserve">habilidad que se aprende y se desarrolla.</w:t>
      </w:r>
      <w:r>
        <w:t xml:space="preserve"> La psicología contemporánea la entiende como la capacidad de comprender el marco de referencia interno de otra persona —sus significados, preocupaciones y contexto— manteniendo la neutralidad y sin apropiarse de su experiencia. Carl Rogers, quien situó la empatía en el centro de la relación de ayuda, la definió como percibir el mundo interno del otro «como si» fuera propio, sin perder nunca esa cualidad de «como si» </w:t>
      </w:r>
      <w:r>
        <w:t xml:space="preserve">(Rogers, 1959). Esta distinción es decisiva: la empatía comprende sin confundirse con el otro.</w:t>
      </w:r>
    </w:p>
    <w:p>
      <w:pPr>
        <w:spacing w:after="0" w:line="360"/>
        <w:ind w:firstLine="480"/>
        <w:jc w:val="both"/>
      </w:pPr>
      <w:r>
        <w:t xml:space="preserve">De ahí que la metáfora habitual de «ponerse en los zapatos del otro» resulte insuficiente. Aunque yo me calce esos zapatos y sienta la piedra en el camino, no cargo los años que la otra persona lleva caminando con ella. La empatía no consiste en sentir lo mismo, sino en comprender el mundo del otro sin convertirlo en el nuestro. Cada persona, además, interpreta lo que vive desde su propio contexto, no desde el nuestro.</w:t>
      </w:r>
    </w:p>
    <w:p>
      <w:pPr>
        <w:pStyle w:val="Heading2"/>
      </w:pPr>
      <w:r>
        <w:t xml:space="preserve">I.2 La empatía como habilidad que se entrena</w:t>
      </w:r>
    </w:p>
    <w:p>
      <w:pPr>
        <w:spacing w:after="0" w:line="360"/>
        <w:ind w:firstLine="480"/>
        <w:jc w:val="both"/>
      </w:pPr>
      <w:r>
        <w:t xml:space="preserve">Si la empatía es una habilidad y no un rasgo fijo, entonces puede entrenarse con método. La entrevista psicológica ofrece una analogía útil. Morrison (2015) advierte que la comprensión profunda no se reduce a recoger respuestas: </w:t>
      </w:r>
    </w:p>
    <w:p>
      <w:pPr>
        <w:spacing w:after="120" w:before="120" w:line="360"/>
        <w:ind w:left="720"/>
        <w:jc w:val="both"/>
      </w:pPr>
      <w:r>
        <w:t xml:space="preserve">Si la entrevista solo consistiera en lograr que las personas respondieran preguntas, podríamos dejar la tarea a una computadora. Pero las máquinas no captan los matices de las frases, los titubeos o el brillo de los ojos, signos que orientan hacia una línea fructífera de indagación.</w:t>
      </w:r>
      <w:r>
        <w:t xml:space="preserve"> (Morrison, 2015, p. 4).</w:t>
      </w:r>
    </w:p>
    <w:p>
      <w:pPr>
        <w:spacing w:after="0" w:line="360"/>
        <w:ind w:firstLine="480"/>
        <w:jc w:val="both"/>
      </w:pPr>
      <w:r>
        <w:t xml:space="preserve">Llevado al liderazgo cooperativo, esto significa que comprender a un afiliado o afiliada exige atender mucho más que sus palabras. La comunicación humana transcurre en varios planos simultáneos —el contenido verbal, el tono de voz y el lenguaje corporal— y, cuando no coinciden, la persona transmite más de lo que dice. Un afiliado puede afirmar que «todo está bien» con un tono y una postura que dicen lo contrario. El líder que solo escucha las palabras pierde la mitad del mensaje.</w:t>
      </w:r>
    </w:p>
    <w:p>
      <w:pPr>
        <w:pStyle w:val="Heading2"/>
      </w:pPr>
      <w:r>
        <w:t xml:space="preserve">I.3 Un método para leer a la persona: el estado interno</w:t>
      </w:r>
    </w:p>
    <w:p>
      <w:pPr>
        <w:spacing w:after="0" w:line="360"/>
        <w:ind w:firstLine="480"/>
        <w:jc w:val="both"/>
      </w:pPr>
      <w:r>
        <w:t xml:space="preserve">La psicología clínica utiliza el examen del estado mental como una guía ordenada para comprender a una persona. Adaptado al liderazgo —y despojado de toda finalidad clínica—, ofrece una secuencia para leer el estado interno de un afiliado o de una asamblea antes de actuar. No se trata de diagnosticar a nadie, sino de comprender por qué una persona actúa como actúa.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vAlign w:val="center"/>
          </w:tcPr>
          <w:p>
            <w:pPr>
              <w:spacing w:after="0"/>
            </w:pPr>
            <w:r>
              <w:rPr>
                <w:b/>
                <w:bCs/>
                <w:color w:val="FFFFFF"/>
                <w:sz w:val="20"/>
                <w:szCs w:val="20"/>
              </w:rPr>
              <w:t xml:space="preserve">Nivel</w:t>
            </w:r>
          </w:p>
        </w:tc>
        <w:tc>
          <w:tcPr>
            <w:tcW w:type="dxa" w:w="676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vAlign w:val="center"/>
          </w:tcPr>
          <w:p>
            <w:pPr>
              <w:spacing w:after="0"/>
            </w:pPr>
            <w:r>
              <w:rPr>
                <w:b/>
                <w:bCs/>
                <w:color w:val="FFFFFF"/>
                <w:sz w:val="20"/>
                <w:szCs w:val="20"/>
              </w:rPr>
              <w:t xml:space="preserve">Qué observa el líder</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vAlign w:val="center"/>
          </w:tcPr>
          <w:p>
            <w:pPr>
              <w:spacing w:after="0"/>
            </w:pPr>
            <w:r>
              <w:rPr>
                <w:sz w:val="20"/>
                <w:szCs w:val="20"/>
              </w:rPr>
              <w:t xml:space="preserve">1. Conducta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Participación, energía, iniciativa, compromiso, consistencia.</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vAlign w:val="center"/>
          </w:tcPr>
          <w:p>
            <w:pPr>
              <w:spacing w:after="0"/>
            </w:pPr>
            <w:r>
              <w:rPr>
                <w:sz w:val="20"/>
                <w:szCs w:val="20"/>
              </w:rPr>
              <w:t xml:space="preserve">2. Emoción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Entusiasmo, frustración, miedo, inseguridad, enojo, esperanza.</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vAlign w:val="center"/>
          </w:tcPr>
          <w:p>
            <w:pPr>
              <w:spacing w:after="0"/>
            </w:pPr>
            <w:r>
              <w:rPr>
                <w:sz w:val="20"/>
                <w:szCs w:val="20"/>
              </w:rPr>
              <w:t xml:space="preserve">3. Narrativa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Supuestos, creencias, explicaciones, conclusiones e historias internas con que la persona se cuenta lo que vive.</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vAlign w:val="center"/>
          </w:tcPr>
          <w:p>
            <w:pPr>
              <w:spacing w:after="0"/>
            </w:pPr>
            <w:r>
              <w:rPr>
                <w:sz w:val="20"/>
                <w:szCs w:val="20"/>
              </w:rPr>
              <w:t xml:space="preserve">4. Atención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Hacia dónde mira: riesgos, oportunidades, problemas, posibilidades, obstáculos, recursos.</w:t>
            </w:r>
          </w:p>
        </w:tc>
      </w:tr>
      <w:tr>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vAlign w:val="center"/>
          </w:tcPr>
          <w:p>
            <w:pPr>
              <w:spacing w:after="0"/>
            </w:pPr>
            <w:r>
              <w:rPr>
                <w:sz w:val="20"/>
                <w:szCs w:val="20"/>
              </w:rPr>
              <w:t xml:space="preserve">5. Capacidad percibida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Confianza, autoeficacia, seguridad, expectativas y límites que se atribuye a sí misma.</w:t>
            </w:r>
          </w:p>
        </w:tc>
      </w:tr>
      <w:tr>
        <w:tc>
          <w:tcPr>
            <w:tcW w:type="dxa" w:w="2600"/>
            <w:tcBorders>
              <w:top w:val="single" w:color="CCCCCC" w:sz="1"/>
              <w:left w:val="single" w:color="CCCCCC" w:sz="1"/>
              <w:bottom w:val="single" w:color="CCCCCC" w:sz="1"/>
              <w:right w:val="single" w:color="CCCCCC" w:sz="1"/>
            </w:tcBorders>
            <w:shd w:fill="E8F4EF" w:val="clear"/>
            <w:tcMar>
              <w:top w:type="dxa" w:w="80"/>
              <w:left w:type="dxa" w:w="120"/>
              <w:bottom w:type="dxa" w:w="80"/>
              <w:right w:type="dxa" w:w="120"/>
            </w:tcMar>
            <w:vAlign w:val="center"/>
          </w:tcPr>
          <w:p>
            <w:pPr>
              <w:spacing w:after="0"/>
            </w:pPr>
            <w:r>
              <w:rPr>
                <w:sz w:val="20"/>
                <w:szCs w:val="20"/>
              </w:rPr>
              <w:t xml:space="preserve">Acción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Lo que la persona decide y hace, como resultado de cómo interpreta la realidad.</w:t>
            </w:r>
          </w:p>
        </w:tc>
      </w:tr>
    </w:tbl>
    <w:p>
      <w:pPr>
        <w:spacing w:after="0" w:before="80"/>
      </w:pPr>
      <w:r>
        <w:rPr>
          <w:i/>
          <w:iCs/>
          <w:color w:val="6A6A64"/>
          <w:sz w:val="18"/>
          <w:szCs w:val="18"/>
        </w:rPr>
        <w:t xml:space="preserve">Figura 1. Adaptación del examen del estado mental para la lectura del liderazgo. Elaboración propia a partir de Morrison (2015).</w:t>
      </w:r>
    </w:p>
    <w:p>
      <w:pPr>
        <w:spacing w:after="0" w:before="160" w:line="360"/>
        <w:ind w:firstLine="480"/>
        <w:jc w:val="both"/>
      </w:pPr>
      <w:r>
        <w:t xml:space="preserve">Recorrer estos niveles cambia la forma de comprender a una persona difícil: su acción se entiende distinto cuando se leen su narrativa interna y lo que cree sobre su propia capacidad. Comunicar, en definitiva, no es transmitir información: es construir comprensión.</w:t>
      </w:r>
    </w:p>
    <w:p>
      <w:pPr>
        <w:spacing w:before="360"/>
      </w:pPr>
    </w:p>
    <w:p>
      <w:pPr>
        <w:pStyle w:val="Heading1"/>
      </w:pPr>
      <w:r>
        <w:t xml:space="preserve">Sección II. La inteligencia del líder</w:t>
      </w:r>
    </w:p>
    <w:p>
      <w:pPr>
        <w:spacing w:after="0" w:line="360"/>
        <w:ind w:firstLine="480"/>
        <w:jc w:val="both"/>
      </w:pPr>
      <w:r>
        <w:t xml:space="preserve">Antes que un cargo, liderar es una forma de comprender la realidad y de actuar sobre ella. Por eso conviene mirar cómo procesa la mente la información: ese mismo recorrido explica cómo un dirigente aprende, decide y resuelve. La psicología de la inteligencia, desde David Wechsler, ofrece un marco que se traduce con naturalidad al ejercicio del liderazgo cooperativo.</w:t>
      </w:r>
    </w:p>
    <w:p>
      <w:pPr>
        <w:pStyle w:val="Heading2"/>
      </w:pPr>
      <w:r>
        <w:t xml:space="preserve">II.1 Qué medimos cuando hablamos de inteligencia</w:t>
      </w:r>
    </w:p>
    <w:p>
      <w:pPr>
        <w:spacing w:after="0" w:line="360"/>
        <w:ind w:firstLine="480"/>
        <w:jc w:val="both"/>
      </w:pPr>
      <w:r>
        <w:t xml:space="preserve">Wechsler, autor de las escalas de inteligencia más utilizadas en el mundo, planteó que la inteligencia es mucho más que la suma de habilidades aisladas:</w:t>
      </w:r>
    </w:p>
    <w:p>
      <w:pPr>
        <w:spacing w:after="120" w:before="120" w:line="360"/>
        <w:ind w:left="720"/>
        <w:jc w:val="both"/>
      </w:pPr>
      <w:r>
        <w:t xml:space="preserve">Lo que medimos con los tests de inteligencia no es lo que aparentemente pretende medir el test —la información del sujeto, su percepción espacial o su capacidad de razonar—. Lo que miden, lo que esperamos y deseamos que midan, es algo mucho más importante: la capacidad del sujeto de comprender el mundo que le rodea y los recursos que posee para enfrentarse con sus exigencias y desafíos.</w:t>
      </w:r>
      <w:r>
        <w:t xml:space="preserve"> (Wechsler, citado en Cohen &amp; Swerdlik, 2018).</w:t>
      </w:r>
    </w:p>
    <w:p>
      <w:pPr>
        <w:spacing w:after="0" w:line="360"/>
        <w:ind w:firstLine="480"/>
        <w:jc w:val="both"/>
      </w:pPr>
      <w:r>
        <w:t xml:space="preserve">Comprender el mundo y disponer de recursos para responder a sus desafíos: esa es, precisamente, la tarea de quien lidera. De aquí se desprende la tesis que articula este manual: </w:t>
      </w:r>
      <w:r>
        <w:rPr>
          <w:b/>
          <w:bCs/>
        </w:rPr>
        <w:t xml:space="preserve">el liderazgo con sentido es una forma de inteligencia humana aplicada al desarrollo de otras personas.</w:t>
      </w:r>
    </w:p>
    <w:p>
      <w:pPr>
        <w:pStyle w:val="Heading2"/>
      </w:pPr>
      <w:r>
        <w:t xml:space="preserve">II.2 Los procesos intelectuales y su lectura cooperativa</w:t>
      </w:r>
    </w:p>
    <w:p>
      <w:pPr>
        <w:spacing w:after="0" w:line="360"/>
        <w:ind w:firstLine="480"/>
        <w:jc w:val="both"/>
      </w:pPr>
      <w:r>
        <w:t xml:space="preserve">Los procesos intelectuales manejan la información en un flujo secuencial e interdependiente: cada paso condiciona la calidad del siguiente. La información se capta, se almacena, se evalúa y se transforma en respuestas. A continuación se describe cada componente y su correlato en la vida de la cooperativa.</w:t>
      </w:r>
    </w:p>
    <w:p>
      <w:pPr>
        <w:pStyle w:val="Heading3"/>
      </w:pPr>
      <w:r>
        <w:t xml:space="preserve">II.2.1 Capacitación</w:t>
      </w:r>
    </w:p>
    <w:p>
      <w:pPr>
        <w:spacing w:after="0" w:line="360"/>
        <w:ind w:firstLine="480"/>
        <w:jc w:val="both"/>
      </w:pPr>
      <w:r>
        <w:t xml:space="preserve">Es la forma en que se tiene el primer contacto con la información que va a ser procesada; depende de la entrada sensorial. Quienes captan con rapidez suelen impacientarse ante personas que reciben la información a otro ritmo. En el liderazgo, esto invita a una virtud concreta: respetar que cada afiliado o afiliada recibe y procesa la información a su propio ritmo. El dirigente que comprendió algo «al vuelo» debe cuidar la impaciencia con quien necesita que se le explique de nuevo.</w:t>
      </w:r>
    </w:p>
    <w:p>
      <w:pPr>
        <w:pStyle w:val="Heading3"/>
      </w:pPr>
      <w:r>
        <w:t xml:space="preserve">II.2.2 Memoria</w:t>
      </w:r>
    </w:p>
    <w:p>
      <w:pPr>
        <w:spacing w:after="0" w:line="360"/>
        <w:ind w:firstLine="480"/>
        <w:jc w:val="both"/>
      </w:pPr>
      <w:r>
        <w:t xml:space="preserve">La memoria se relaciona con la atención y la concentración, y se fortalece con el ejercicio. Es además sensible al estado emocional: lo aprendido en un determinado clima afectivo se evoca mejor en un clima equivalente. La implicación para la formación cooperativa es directa: las personas retienen mejor lo aprendido en ambientes de confianza y respeto. Una capacitación impartida entre tensión o miedo tiende a olvidarse; la que se da con participación y respeto, se conserva.</w:t>
      </w:r>
    </w:p>
    <w:p>
      <w:pPr>
        <w:pStyle w:val="Heading3"/>
      </w:pPr>
      <w:r>
        <w:t xml:space="preserve">II.2.3 Evaluación de la información</w:t>
      </w:r>
    </w:p>
    <w:p>
      <w:pPr>
        <w:spacing w:after="0" w:line="360"/>
        <w:ind w:firstLine="480"/>
        <w:jc w:val="both"/>
      </w:pPr>
      <w:r>
        <w:t xml:space="preserve">Cuando la realidad presenta retos, la inteligencia evalúa la información acumulada durante la experiencia y selecciona los mejores datos para responder. Es análisis de problemas, toma de decisiones, manejo de la ambigüedad, juicio crítico y criterio. Constituye el corazón de la gobernanza cooperativa: una Junta Directiva que no evalúa bien decide por impulso o por costumbre. Evaluar es distinguir el dato que importa del que solo añade ruido a la deliberación de la asamblea.</w:t>
      </w:r>
    </w:p>
    <w:p>
      <w:pPr>
        <w:pStyle w:val="Heading3"/>
      </w:pPr>
      <w:r>
        <w:t xml:space="preserve">II.2.4 Producción convergente: solución de problemas</w:t>
      </w:r>
    </w:p>
    <w:p>
      <w:pPr>
        <w:spacing w:after="0" w:line="360"/>
        <w:ind w:firstLine="480"/>
        <w:jc w:val="both"/>
      </w:pPr>
      <w:r>
        <w:t xml:space="preserve">Se denomina convergente porque el resultado es conocido y es uno solo. Tiene gran peso en culturas centradas en resultados. Quienes la tienen desarrollada son realistas y activos, con gran capacidad de realización, y —rasgo decisivo— aprenden haciendo, no viendo ni escuchando. Esto enlaza con el capítulo siguiente: una persona desarrolla sus capacidades resolviendo problemas reales, no observándolos desde fuera. Por eso delegar tareas concretas es una forma de formar dirigentes.</w:t>
      </w:r>
    </w:p>
    <w:p>
      <w:pPr>
        <w:pStyle w:val="Heading3"/>
      </w:pPr>
      <w:r>
        <w:t xml:space="preserve">II.2.5 Producción divergente: creatividad</w:t>
      </w:r>
    </w:p>
    <w:p>
      <w:pPr>
        <w:spacing w:after="0" w:line="360"/>
        <w:ind w:firstLine="480"/>
        <w:jc w:val="both"/>
      </w:pPr>
      <w:r>
        <w:t xml:space="preserve">No debe identificarse únicamente con la producción artística: la creatividad es también la solución creativa de problemas. Las personas con poca creatividad tienden a cerrar sus horizontes ante nuevas alternativas. Una cooperativa que solo repite «siempre se ha hecho así» pierde capacidad de adaptarse a un entorno cambiante. El liderazgo con sentido mantiene abiertos los horizontes hacia nuevas formas de servir a su base social.</w:t>
      </w:r>
    </w:p>
    <w:p>
      <w:pPr>
        <w:spacing w:before="360"/>
      </w:pPr>
    </w:p>
    <w:p>
      <w:pPr>
        <w:pStyle w:val="Heading1"/>
      </w:pPr>
      <w:r>
        <w:t xml:space="preserve">Sección III. Confianza y acción</w:t>
      </w:r>
    </w:p>
    <w:p>
      <w:pPr>
        <w:spacing w:after="0" w:line="360"/>
        <w:jc w:val="both"/>
      </w:pPr>
      <w:r>
        <w:rPr>
          <w:b/>
          <w:bCs/>
        </w:rPr>
        <w:t xml:space="preserve">¿Cómo desarrollan las personas confianza en sí mismas?</w:t>
      </w:r>
    </w:p>
    <w:p>
      <w:pPr>
        <w:spacing w:after="0" w:line="360"/>
        <w:ind w:firstLine="480"/>
        <w:jc w:val="both"/>
      </w:pPr>
      <w:r>
        <w:t xml:space="preserve">Solemos imaginar que primero llega la confianza y luego nos atrevemos a actuar. La secuencia real es la inversa, y la psicología del deporte lo ha documentado con claridad. La confianza no se entrega: se construye a través de la acción y sus resultados.</w:t>
      </w:r>
    </w:p>
    <w:p>
      <w:pPr>
        <w:pStyle w:val="Heading2"/>
      </w:pPr>
      <w:r>
        <w:t xml:space="preserve">III.1 La autoeficacia y sus fuentes</w:t>
      </w:r>
    </w:p>
    <w:p>
      <w:pPr>
        <w:spacing w:after="0" w:line="360"/>
        <w:ind w:firstLine="480"/>
        <w:jc w:val="both"/>
      </w:pPr>
      <w:r>
        <w:t xml:space="preserve">El concepto clave es el de </w:t>
      </w:r>
      <w:r>
        <w:rPr>
          <w:i/>
          <w:iCs/>
        </w:rPr>
        <w:t xml:space="preserve">autoeficacia</w:t>
      </w:r>
      <w:r>
        <w:t xml:space="preserve">, introducido por Albert Bandura: la creencia de una persona en sus propias capacidades para ejecutar las acciones necesarias y alcanzar determinados resultados (Bandura, 1997). Bandura identificó cuatro fuentes de la autoeficacia, y subrayó que la más poderosa es la primera:</w:t>
      </w:r>
    </w:p>
    <w:p>
      <w:pPr>
        <w:pStyle w:val="ListParagraph"/>
        <w:numPr>
          <w:ilvl w:val="0"/>
          <w:numId w:val="2"/>
        </w:numPr>
        <w:spacing w:after="0" w:line="360"/>
        <w:jc w:val="both"/>
      </w:pPr>
      <w:r>
        <w:rPr>
          <w:b/>
          <w:bCs/>
        </w:rPr>
        <w:t xml:space="preserve">Experiencias de dominio. </w:t>
      </w:r>
      <w:r>
        <w:t xml:space="preserve">Los logros reales y repetidos son la fuente más influyente: comprobar que uno es capaz, haciéndolo, eleva la confianza más que cualquier discurso.</w:t>
      </w:r>
    </w:p>
    <w:p>
      <w:pPr>
        <w:pStyle w:val="ListParagraph"/>
        <w:numPr>
          <w:ilvl w:val="0"/>
          <w:numId w:val="2"/>
        </w:numPr>
        <w:spacing w:after="0" w:line="360"/>
        <w:jc w:val="both"/>
      </w:pPr>
      <w:r>
        <w:rPr>
          <w:b/>
          <w:bCs/>
        </w:rPr>
        <w:t xml:space="preserve">Modelos sociales (aprendizaje vicario). </w:t>
      </w:r>
      <w:r>
        <w:t xml:space="preserve">Observar a otras personas semejantes lograr una tarea fortalece la creencia de que uno también puede.</w:t>
      </w:r>
    </w:p>
    <w:p>
      <w:pPr>
        <w:pStyle w:val="ListParagraph"/>
        <w:numPr>
          <w:ilvl w:val="0"/>
          <w:numId w:val="2"/>
        </w:numPr>
        <w:spacing w:after="0" w:line="360"/>
        <w:jc w:val="both"/>
      </w:pPr>
      <w:r>
        <w:rPr>
          <w:b/>
          <w:bCs/>
        </w:rPr>
        <w:t xml:space="preserve">Persuasión social. </w:t>
      </w:r>
      <w:r>
        <w:t xml:space="preserve">El aliento y la retroalimentación de personas significativas sostienen el esfuerzo, sobre todo en los inicios.</w:t>
      </w:r>
    </w:p>
    <w:p>
      <w:pPr>
        <w:pStyle w:val="ListParagraph"/>
        <w:numPr>
          <w:ilvl w:val="0"/>
          <w:numId w:val="2"/>
        </w:numPr>
        <w:spacing w:after="0" w:line="360"/>
        <w:jc w:val="both"/>
      </w:pPr>
      <w:r>
        <w:rPr>
          <w:b/>
          <w:bCs/>
        </w:rPr>
        <w:t xml:space="preserve">Estados fisiológicos y emocionales. </w:t>
      </w:r>
      <w:r>
        <w:t xml:space="preserve">La forma en que se interpretan los nervios o la calma incide en cuánto se confía en uno mismo.</w:t>
      </w:r>
    </w:p>
    <w:p>
      <w:pPr>
        <w:spacing w:after="0" w:before="120" w:line="360"/>
        <w:ind w:firstLine="480"/>
        <w:jc w:val="both"/>
      </w:pPr>
      <w:r>
        <w:t xml:space="preserve">En el deporte, la relación entre autoeficacia y rendimiento es recíproca: una alta autoeficacia conduce a un mejor rendimiento, y ese rendimiento, a su vez, refuerza la autoeficacia (Bandura, 1997). Las propias ejecuciones constituyen la principal fuente de información sobre lo que somos capaces de hacer.</w:t>
      </w:r>
    </w:p>
    <w:p>
      <w:pPr>
        <w:pStyle w:val="Heading2"/>
      </w:pPr>
      <w:r>
        <w:t xml:space="preserve">III.2 La lección del entrenamiento llevada a la cooperativa</w:t>
      </w:r>
    </w:p>
    <w:p>
      <w:pPr>
        <w:spacing w:after="0" w:line="360"/>
        <w:ind w:firstLine="480"/>
        <w:jc w:val="both"/>
      </w:pPr>
      <w:r>
        <w:t xml:space="preserve">La psicología deportiva ofrece una imagen precisa de cómo se construye la confianza. Ser disciplinado en mi hacer y conseguir resultados en el entrenamiento me hace confiar más en mis habilidades; y el entrenador que me guía, que me ayuda a corregir y que mide mi avance, contribuye todavía más a esa confianza. La secuencia es clara: la disciplina produce resultados, los resultados se vuelven evidencia, y la evidencia sostiene la confianza.</w:t>
      </w:r>
    </w:p>
    <w:p>
      <w:pPr>
        <w:spacing w:after="0" w:line="360"/>
        <w:ind w:firstLine="480"/>
        <w:jc w:val="both"/>
      </w:pPr>
      <w:r>
        <w:t xml:space="preserve">El líder cooperativo cumple el papel del entrenador. No corre por la otra persona, pero guía, corrige y mide el avance. La acción precede a la motivación: quien lidera no entrega confianza, sino que crea las condiciones y diseña las experiencias donde las personas descubren capacidades que no sabían que tenían. Genera el primer paso; no espera a que los demás «estén listos». Como sintetiza el espíritu de este enfoque: no puedo regalarte confianza, pero puedo ayudarte a construirla.</w:t>
      </w:r>
    </w:p>
    <w:p>
      <w:pPr>
        <w:spacing w:after="0" w:line="360"/>
        <w:ind w:firstLine="480"/>
        <w:jc w:val="both"/>
      </w:pPr>
      <w:r>
        <w:t xml:space="preserve">Esto conecta con un hallazgo del capítulo anterior: el aprendizaje vicario —observar a un dirigente experimentado actuar y ver sus resultados— y las experiencias de dominio se combinan en la formación cooperativa. Por eso involucrar a un afiliado o afiliada en una responsabilidad real, acompañándolo, es la forma más sólida de construir su confianza y su criterio.</w:t>
      </w:r>
    </w:p>
    <w:p>
      <w:pPr>
        <w:spacing w:before="360"/>
      </w:pPr>
    </w:p>
    <w:p>
      <w:pPr>
        <w:pStyle w:val="Heading1"/>
      </w:pPr>
      <w:r>
        <w:t xml:space="preserve">Sección IV. La madurez del líder</w:t>
      </w:r>
    </w:p>
    <w:p>
      <w:pPr>
        <w:spacing w:after="0" w:line="360"/>
        <w:jc w:val="both"/>
      </w:pPr>
      <w:r>
        <w:rPr>
          <w:b/>
          <w:bCs/>
        </w:rPr>
        <w:t xml:space="preserve">¿Qué hacemos con lo que descubrimos sobre nosotros mismos?</w:t>
      </w:r>
    </w:p>
    <w:p>
      <w:pPr>
        <w:spacing w:after="0" w:line="360"/>
        <w:ind w:firstLine="480"/>
        <w:jc w:val="both"/>
      </w:pPr>
      <w:r>
        <w:t xml:space="preserve">La madurez del líder no se asocia con la edad, sino con el autoconocimiento. Madurez es saberse capaz y saberse limitado, al mismo tiempo. Vive en un punto de equilibrio entre dos extremos que la distorsionan: la inseguridad, que no actúa por miedo a fallar, y la arrogancia, que no aprende por creer que ya lo sabe todo. No es un punto fijo, sino un equilibrio que se recalibra en cada decisión.</w:t>
      </w:r>
    </w:p>
    <w:p>
      <w:pPr>
        <w:spacing w:after="0" w:line="360"/>
        <w:ind w:firstLine="480"/>
        <w:jc w:val="both"/>
      </w:pPr>
      <w:r>
        <w:t xml:space="preserve">Saber dónde aporto valor y dónde necesito ayuda no debilita el liderazgo: lo vuelve honesto. Esta lucidez sobre las propias capacidades y límites es, en términos de la teoría de Bandura (1997), una forma madura de autoeficacia: ni la sobreestimación temeraria ni la subestimación paralizante.</w:t>
      </w:r>
    </w:p>
    <w:p>
      <w:pPr>
        <w:pStyle w:val="Heading2"/>
      </w:pPr>
      <w:r>
        <w:t xml:space="preserve">IV.1 Líder consentido y líder con sentido</w:t>
      </w:r>
    </w:p>
    <w:p>
      <w:pPr>
        <w:spacing w:after="0" w:line="360"/>
        <w:ind w:firstLine="480"/>
        <w:jc w:val="both"/>
      </w:pPr>
      <w:r>
        <w:t xml:space="preserve">De esa distinción nace una diferencia que cambia todo el ejercicio del liderazgo. El siguiente contraste resume dos formas de ejercer un cargo directivo: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vAlign w:val="center"/>
          </w:tcPr>
          <w:p>
            <w:pPr>
              <w:spacing w:after="0"/>
            </w:pPr>
            <w:r>
              <w:rPr>
                <w:b/>
                <w:bCs/>
                <w:color w:val="FFFFFF"/>
                <w:sz w:val="20"/>
                <w:szCs w:val="20"/>
              </w:rPr>
              <w:t xml:space="preserve">Líder consentido</w:t>
            </w:r>
          </w:p>
        </w:tc>
        <w:tc>
          <w:tcPr>
            <w:tcW w:type="dxa" w:w="4680"/>
            <w:tcBorders>
              <w:top w:val="single" w:color="CCCCCC" w:sz="1"/>
              <w:left w:val="single" w:color="CCCCCC" w:sz="1"/>
              <w:bottom w:val="single" w:color="CCCCCC" w:sz="1"/>
              <w:right w:val="single" w:color="CCCCCC" w:sz="1"/>
            </w:tcBorders>
            <w:shd w:fill="1C6B4A" w:val="clear"/>
            <w:tcMar>
              <w:top w:type="dxa" w:w="80"/>
              <w:left w:type="dxa" w:w="120"/>
              <w:bottom w:type="dxa" w:w="80"/>
              <w:right w:type="dxa" w:w="120"/>
            </w:tcMar>
            <w:vAlign w:val="center"/>
          </w:tcPr>
          <w:p>
            <w:pPr>
              <w:spacing w:after="0"/>
            </w:pPr>
            <w:r>
              <w:rPr>
                <w:b/>
                <w:bCs/>
                <w:color w:val="FFFFFF"/>
                <w:sz w:val="20"/>
                <w:szCs w:val="20"/>
              </w:rPr>
              <w:t xml:space="preserve">Líder con sentido</w:t>
            </w:r>
          </w:p>
        </w:tc>
      </w:tr>
      <w:tr>
        <w:tc>
          <w:tcPr>
            <w:tcW w:type="dxa" w:w="46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spacing w:after="0"/>
            </w:pPr>
            <w:r>
              <w:rPr>
                <w:sz w:val="20"/>
                <w:szCs w:val="20"/>
              </w:rPr>
              <w:t xml:space="preserve">Busca reconocimiento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Busca comprensión</w:t>
            </w:r>
          </w:p>
        </w:tc>
      </w:tr>
      <w:tr>
        <w:tc>
          <w:tcPr>
            <w:tcW w:type="dxa" w:w="46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spacing w:after="0"/>
            </w:pPr>
            <w:r>
              <w:rPr>
                <w:sz w:val="20"/>
                <w:szCs w:val="20"/>
              </w:rPr>
              <w:t xml:space="preserve">Necesita tener la razón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Necesita entender la situación</w:t>
            </w:r>
          </w:p>
        </w:tc>
      </w:tr>
      <w:tr>
        <w:tc>
          <w:tcPr>
            <w:tcW w:type="dxa" w:w="46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spacing w:after="0"/>
            </w:pPr>
            <w:r>
              <w:rPr>
                <w:sz w:val="20"/>
                <w:szCs w:val="20"/>
              </w:rPr>
              <w:t xml:space="preserve">Protege su imagen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Protege el desarrollo de otros</w:t>
            </w:r>
          </w:p>
        </w:tc>
      </w:tr>
      <w:tr>
        <w:tc>
          <w:tcPr>
            <w:tcW w:type="dxa" w:w="46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spacing w:after="0"/>
            </w:pPr>
            <w:r>
              <w:rPr>
                <w:sz w:val="20"/>
                <w:szCs w:val="20"/>
              </w:rPr>
              <w:t xml:space="preserve">Centraliza el mérito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Distribuye la oportunidad</w:t>
            </w:r>
          </w:p>
        </w:tc>
      </w:tr>
      <w:tr>
        <w:tc>
          <w:tcPr>
            <w:tcW w:type="dxa" w:w="4680"/>
            <w:tcBorders>
              <w:top w:val="single" w:color="CCCCCC" w:sz="1"/>
              <w:left w:val="single" w:color="CCCCCC" w:sz="1"/>
              <w:bottom w:val="single" w:color="CCCCCC" w:sz="1"/>
              <w:right w:val="single" w:color="CCCCCC" w:sz="1"/>
            </w:tcBorders>
            <w:shd w:fill="F7F7F5" w:val="clear"/>
            <w:tcMar>
              <w:top w:type="dxa" w:w="80"/>
              <w:left w:type="dxa" w:w="120"/>
              <w:bottom w:type="dxa" w:w="80"/>
              <w:right w:type="dxa" w:w="120"/>
            </w:tcMar>
            <w:vAlign w:val="center"/>
          </w:tcPr>
          <w:p>
            <w:pPr>
              <w:spacing w:after="0"/>
            </w:pPr>
            <w:r>
              <w:rPr>
                <w:sz w:val="20"/>
                <w:szCs w:val="20"/>
              </w:rPr>
              <w:t xml:space="preserve">Reacciona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20"/>
                <w:szCs w:val="20"/>
              </w:rPr>
              <w:t xml:space="preserve">Discierne cuándo actuar</w:t>
            </w:r>
          </w:p>
        </w:tc>
      </w:tr>
    </w:tbl>
    <w:p>
      <w:pPr>
        <w:spacing w:after="0" w:before="80"/>
      </w:pPr>
      <w:r>
        <w:rPr>
          <w:i/>
          <w:iCs/>
          <w:color w:val="6A6A64"/>
          <w:sz w:val="18"/>
          <w:szCs w:val="18"/>
        </w:rPr>
        <w:t xml:space="preserve">Figura 2. Contraste entre el líder consentido y el líder con sentido. Elaboración propia.</w:t>
      </w:r>
    </w:p>
    <w:p>
      <w:pPr>
        <w:spacing w:after="0" w:before="160" w:line="360"/>
        <w:ind w:firstLine="480"/>
        <w:jc w:val="both"/>
      </w:pPr>
      <w:r>
        <w:t xml:space="preserve">La madurez se expresa, finalmente, en el discernimiento sobre el tiempo: la confianza permite actuar, pero la madurez permite saber cuándo actuar, cuándo aprender, cuándo enseñar y cuándo dar un paso al lado. Este discernimiento tiene además un respaldo legal en el cooperativismo hondureño: la responsabilidad de quien dirige una cooperativa exige decidir con criterio y conocer los límites del propio cargo, como se desarrolla en el capítulo siguiente.</w:t>
      </w:r>
    </w:p>
    <w:p>
      <w:pPr>
        <w:spacing w:before="360"/>
      </w:pPr>
    </w:p>
    <w:p>
      <w:pPr>
        <w:pStyle w:val="Heading1"/>
      </w:pPr>
      <w:r>
        <w:t xml:space="preserve">Sección V. El ciclo de vida del líder</w:t>
      </w:r>
    </w:p>
    <w:p>
      <w:pPr>
        <w:spacing w:after="0" w:line="360"/>
        <w:jc w:val="both"/>
      </w:pPr>
      <w:r>
        <w:rPr>
          <w:b/>
          <w:bCs/>
        </w:rPr>
        <w:t xml:space="preserve">¿Para qué sirve todo lo aprendido?</w:t>
      </w:r>
    </w:p>
    <w:p>
      <w:pPr>
        <w:spacing w:after="0" w:line="360"/>
        <w:ind w:firstLine="480"/>
        <w:jc w:val="both"/>
      </w:pPr>
      <w:r>
        <w:t xml:space="preserve">El liderazgo no es una etapa que se alcanza y se conserva: es un ciclo que se sostiene durante toda la vida. En todo momento, quien lidera con sentido debería mantener cerca tres relaciones —no por turnos, sino de manera simultánea y permanente—: alguien mayor de quien aprender, alguien igual con quien caminar y alguien menor a quien enseñar. El liderazgo genera, así, una responsabilidad permanente de aprendizaje y formación.</w:t>
      </w:r>
    </w:p>
    <w:p>
      <w:pPr>
        <w:pStyle w:val="Heading2"/>
      </w:pPr>
      <w:r>
        <w:t xml:space="preserve">V.1 Las tres relaciones del ciclo</w:t>
      </w:r>
    </w:p>
    <w:p>
      <w:pPr>
        <w:pStyle w:val="ListParagraph"/>
        <w:numPr>
          <w:ilvl w:val="0"/>
          <w:numId w:val="2"/>
        </w:numPr>
        <w:spacing w:after="0" w:line="360"/>
        <w:jc w:val="both"/>
      </w:pPr>
      <w:r>
        <w:rPr>
          <w:b/>
          <w:bCs/>
        </w:rPr>
        <w:t xml:space="preserve">Alguien mayor, de quien aprender. </w:t>
      </w:r>
      <w:r>
        <w:t xml:space="preserve">Aun siendo experimentado, el líder conserva a alguien hacia quien mirar. Aprende por observación —aprendizaje vicario, en términos de Bandura (1977)—, viendo cómo otra persona más curtida decide, corrige y enfrenta los conflictos. Nunca deja de ser aprendiz.</w:t>
      </w:r>
    </w:p>
    <w:p>
      <w:pPr>
        <w:pStyle w:val="ListParagraph"/>
        <w:numPr>
          <w:ilvl w:val="0"/>
          <w:numId w:val="2"/>
        </w:numPr>
        <w:spacing w:after="0" w:line="360"/>
        <w:jc w:val="both"/>
      </w:pPr>
      <w:r>
        <w:rPr>
          <w:b/>
          <w:bCs/>
        </w:rPr>
        <w:t xml:space="preserve">Alguien igual, con quien caminar. </w:t>
      </w:r>
      <w:r>
        <w:t xml:space="preserve">Los pares sostienen la motivación y permiten contrastar ideas sin jerarquía: otros dirigentes, otros comités, otras cooperativas. Es el espacio natural de la participación entre iguales.</w:t>
      </w:r>
    </w:p>
    <w:p>
      <w:pPr>
        <w:pStyle w:val="ListParagraph"/>
        <w:numPr>
          <w:ilvl w:val="0"/>
          <w:numId w:val="2"/>
        </w:numPr>
        <w:spacing w:after="0" w:line="360"/>
        <w:jc w:val="both"/>
      </w:pPr>
      <w:r>
        <w:rPr>
          <w:b/>
          <w:bCs/>
        </w:rPr>
        <w:t xml:space="preserve">Alguien menor, a quien enseñar. </w:t>
      </w:r>
      <w:r>
        <w:t xml:space="preserve">Siempre hay alguien que viene detrás. Involucrarlo en actividades reales —comités, asambleas, proyectos— es la forma de formarlo, porque el liderazgo se aprende participando, no observando desde fuera.</w:t>
      </w:r>
    </w:p>
    <w:p>
      <w:pPr>
        <w:pStyle w:val="Heading2"/>
      </w:pPr>
      <w:r>
        <w:t xml:space="preserve">V.2 Lo que sostiene el ciclo</w:t>
      </w:r>
    </w:p>
    <w:p>
      <w:pPr>
        <w:spacing w:after="0" w:line="360"/>
        <w:ind w:firstLine="480"/>
        <w:jc w:val="both"/>
      </w:pPr>
      <w:r>
        <w:t xml:space="preserve">Cuatro elementos mantienen el ciclo en movimiento. La </w:t>
      </w:r>
      <w:r>
        <w:rPr>
          <w:b/>
          <w:bCs/>
        </w:rPr>
        <w:t xml:space="preserve">participación</w:t>
      </w:r>
      <w:r>
        <w:t xml:space="preserve"> es la condición de entrada: el liderazgo se aprende ejerciéndolo. El </w:t>
      </w:r>
      <w:r>
        <w:rPr>
          <w:b/>
          <w:bCs/>
        </w:rPr>
        <w:t xml:space="preserve">involucramiento en actividades</w:t>
      </w:r>
      <w:r>
        <w:t xml:space="preserve"> reales es donde efectivamente se aprende de los mayores y se enseña a los menores. El </w:t>
      </w:r>
      <w:r>
        <w:rPr>
          <w:b/>
          <w:bCs/>
        </w:rPr>
        <w:t xml:space="preserve">aprendizaje vicario</w:t>
      </w:r>
      <w:r>
        <w:t xml:space="preserve"> convierte al líder en modelo, porque enseña incluso cuando no está explicando: las personas aprenden observando su conducta y sus resultados (Bandura, 1977). Y el </w:t>
      </w:r>
      <w:r>
        <w:rPr>
          <w:b/>
          <w:bCs/>
        </w:rPr>
        <w:t xml:space="preserve">comité de educación</w:t>
      </w:r>
      <w:r>
        <w:t xml:space="preserve">, lejos de ser una vía única que «baja» contenidos a la base, debe funcionar en ambas direcciones: forma a la membresía y, al mismo tiempo, aprende de ella.</w:t>
      </w:r>
    </w:p>
    <w:p>
      <w:pPr>
        <w:spacing w:after="0" w:line="360"/>
        <w:ind w:firstLine="480"/>
        <w:jc w:val="both"/>
      </w:pPr>
      <w:r>
        <w:t xml:space="preserve">Formar nuevos líderes no es, por tanto, una actividad adicional al liderazgo: es parte esencial de él. Un liderazgo que no forma a quienes vienen detrás se agota en sí mismo. En síntesis, el liderazgo con sentido no consiste en tener respuestas para todo, sino en comprender mejor la realidad, ayudar a otros a actuar sobre ella, reconocer las propias fortalezas y limitaciones, y asumir la responsabilidad de desarrollar a quienes vienen detrás.</w:t>
      </w:r>
    </w:p>
    <w:p>
      <w:pPr>
        <w:spacing w:before="360"/>
      </w:pPr>
    </w:p>
    <w:p>
      <w:pPr>
        <w:pStyle w:val="Heading1"/>
      </w:pPr>
      <w:r>
        <w:t xml:space="preserve">Sección VI. Marco legal: la formación como mandato cooperativo</w:t>
      </w:r>
    </w:p>
    <w:p>
      <w:pPr>
        <w:spacing w:after="0" w:line="360"/>
        <w:ind w:firstLine="480"/>
        <w:jc w:val="both"/>
      </w:pPr>
      <w:r>
        <w:t xml:space="preserve">El ciclo formativo descrito en el capítulo anterior no es solo una aspiración ética: en el cooperativismo hondureño es un mandato normativo. La Ley de Cooperativas de Honduras (LCH, Decreto 65-87) y su Reglamento (RLCH, Acuerdo 041-2014) sitúan la educación cooperativa en el centro de la vida institucional.</w:t>
      </w:r>
    </w:p>
    <w:p>
      <w:pPr>
        <w:pStyle w:val="Heading2"/>
      </w:pPr>
      <w:r>
        <w:t xml:space="preserve">VI.1 El comité de educación y el fondo de educación</w:t>
      </w:r>
    </w:p>
    <w:p>
      <w:pPr>
        <w:spacing w:after="0" w:line="360"/>
        <w:ind w:firstLine="480"/>
        <w:jc w:val="both"/>
      </w:pPr>
      <w:r>
        <w:t xml:space="preserve">El Reglamento establece la obligatoriedad de tres comités en toda cooperativa —género, juventud y educación—, conforme al artículo 71 del RLCH. La educación no queda librada a la voluntad de cada gestión: el artículo 125 del RLCH impone constituir y ejecutar un Fondo de Educación Cooperativa, destinado a la formación de la membresía. Asimismo, los artículos 72 y 73 del RLCH obligan a la Junta Directiva a proporcionar a los comités obligatorios los recursos necesarios y a coordinar sus actividades, recibir sus informes y recomendaciones y dar respuesta dentro de un plazo razonable. El comité de educación tiene, así, sustento legal para operar en ambas direcciones: forma a la base y eleva a la dirigencia las necesidades y aprendizajes de esa base.</w:t>
      </w:r>
    </w:p>
    <w:p>
      <w:pPr>
        <w:pStyle w:val="Heading2"/>
      </w:pPr>
      <w:r>
        <w:t xml:space="preserve">VI.2 La formación como requisito para dirigir</w:t>
      </w:r>
    </w:p>
    <w:p>
      <w:pPr>
        <w:spacing w:after="0" w:line="360"/>
        <w:ind w:firstLine="480"/>
        <w:jc w:val="both"/>
      </w:pPr>
      <w:r>
        <w:t xml:space="preserve">La normativa hondureña vincula explícitamente la formación con el derecho a ocupar cargos directivos. La Resolución de Normativa Número 09/12/2014 del Consejo Nacional Supervisor de Cooperativas establece que, para inscribir a los cuerpos directivos en el Registro Nacional de Cooperativas, las personas aspirantes deben acreditar —por medio del departamento técnico de formación— haber aprobado procesos formativos en cooperativismo básico, legislación cooperativa, gobernabilidad cooperativa, incidencia política gremial, normas parlamentarias y funciones de los cuerpos directivos. La formación de relevos, en consecuencia, no es opcional: es la vía legal de continuidad de la dirigencia.</w:t>
      </w:r>
    </w:p>
    <w:p>
      <w:pPr>
        <w:pStyle w:val="Heading2"/>
      </w:pPr>
      <w:r>
        <w:t xml:space="preserve">VI.3 Responsabilidad de quien dirige</w:t>
      </w:r>
    </w:p>
    <w:p>
      <w:pPr>
        <w:spacing w:after="0" w:line="360"/>
        <w:ind w:firstLine="480"/>
        <w:jc w:val="both"/>
      </w:pPr>
      <w:r>
        <w:t xml:space="preserve">La madurez para decidir con criterio, abordada en el capítulo 4, tiene también anclaje legal. La responsabilidad solidaria de los directivos (LCH, artículo 29) no admite como excusa el desconocimiento de la normativa: quien dirige y no conoce sus atribuciones y límites se expone legalmente y expone a la cooperativa. Por ello, el deber de formarse y mantenerse actualizado —el vértice de «aprender» del ciclo— es, en el fondo, una salvaguarda de la propia organización.</w:t>
      </w:r>
    </w:p>
    <w:p>
      <w:pPr>
        <w:spacing w:after="0" w:before="200"/>
      </w:pPr>
      <w:r>
        <w:rPr>
          <w:i/>
          <w:iCs/>
          <w:color w:val="6A6A64"/>
          <w:sz w:val="18"/>
          <w:szCs w:val="18"/>
        </w:rPr>
        <w:t xml:space="preserve">Nota. </w:t>
      </w:r>
      <w:r>
        <w:rPr>
          <w:i/>
          <w:iCs/>
          <w:color w:val="6A6A64"/>
          <w:sz w:val="18"/>
          <w:szCs w:val="18"/>
        </w:rPr>
        <w:t xml:space="preserve">Las referencias a la LCH y al RLCH corresponden al Decreto 65-87 y al Acuerdo 041-2014, respectivamente. La interpretación de su alcance formativo se ofrece con fines educativos y no sustituye la asesoría jurídica especializada.</w:t>
      </w:r>
    </w:p>
    <w:p>
      <w:pPr>
        <w:spacing w:before="360"/>
      </w:pPr>
    </w:p>
    <w:p>
      <w:pPr>
        <w:pStyle w:val="Heading1"/>
      </w:pPr>
      <w:r>
        <w:t xml:space="preserve">Síntesis</w:t>
      </w:r>
    </w:p>
    <w:p>
      <w:pPr>
        <w:spacing w:after="0" w:line="360"/>
        <w:ind w:firstLine="480"/>
        <w:jc w:val="both"/>
      </w:pPr>
      <w:r>
        <w:t xml:space="preserve">Los temas de este manual no son ideas sueltas: forman una sola secuencia. Todo comienza en la </w:t>
      </w:r>
      <w:r>
        <w:rPr>
          <w:b/>
          <w:bCs/>
        </w:rPr>
        <w:t xml:space="preserve">comprensión</w:t>
      </w:r>
      <w:r>
        <w:t xml:space="preserve"> —escuchar para entender, leer el estado interno de la persona—; esa comprensión es una forma de </w:t>
      </w:r>
      <w:r>
        <w:rPr>
          <w:b/>
          <w:bCs/>
        </w:rPr>
        <w:t xml:space="preserve">inteligencia</w:t>
      </w:r>
      <w:r>
        <w:t xml:space="preserve"> puesta al servicio de los demás; aplicada, habilita la </w:t>
      </w:r>
      <w:r>
        <w:rPr>
          <w:b/>
          <w:bCs/>
        </w:rPr>
        <w:t xml:space="preserve">acción</w:t>
      </w:r>
      <w:r>
        <w:t xml:space="preserve"> que construye </w:t>
      </w:r>
      <w:r>
        <w:rPr>
          <w:b/>
          <w:bCs/>
        </w:rPr>
        <w:t xml:space="preserve">confianza</w:t>
      </w:r>
      <w:r>
        <w:t xml:space="preserve">; la confianza, gobernada por la </w:t>
      </w:r>
      <w:r>
        <w:rPr>
          <w:b/>
          <w:bCs/>
        </w:rPr>
        <w:t xml:space="preserve">madurez</w:t>
      </w:r>
      <w:r>
        <w:t xml:space="preserve">, discierne cuándo actuar y cuándo dar un paso al lado; y todo ello desemboca en una responsabilidad permanente: formar a quienes vienen detrás, el </w:t>
      </w:r>
      <w:r>
        <w:rPr>
          <w:b/>
          <w:bCs/>
        </w:rPr>
        <w:t xml:space="preserve">legado</w:t>
      </w:r>
      <w:r>
        <w:t xml:space="preserve"> que sostiene la vida de la cooperativa.</w:t>
      </w:r>
    </w:p>
    <w:p>
      <w:pPr>
        <w:spacing w:after="0" w:line="360"/>
        <w:ind w:firstLine="480"/>
        <w:jc w:val="both"/>
      </w:pPr>
      <w:r>
        <w:t xml:space="preserve">Quien creyó en nosotros antes de que creyéramos en nosotros mismos no nos dejó información: nos dejó una experiencia. Liderar con sentido es devolver esa experiencia a otros.</w:t>
      </w:r>
    </w:p>
    <w:p>
      <w:pPr>
        <w:spacing w:before="360"/>
      </w:pPr>
    </w:p>
    <w:p>
      <w:pPr>
        <w:pStyle w:val="Heading1"/>
      </w:pPr>
      <w:r>
        <w:t xml:space="preserve">Referencias</w:t>
      </w:r>
    </w:p>
    <w:p>
      <w:pPr>
        <w:spacing w:after="120" w:line="360"/>
        <w:ind w:left="480" w:hanging="480"/>
      </w:pPr>
      <w:r>
        <w:t xml:space="preserve">Bandura, A. (1977). </w:t>
      </w:r>
      <w:r>
        <w:rPr>
          <w:i/>
          <w:iCs/>
        </w:rPr>
        <w:t xml:space="preserve">Social learning theory</w:t>
      </w:r>
      <w:r>
        <w:t xml:space="preserve">. Prentice Hall.</w:t>
      </w:r>
    </w:p>
    <w:p>
      <w:pPr>
        <w:spacing w:after="120" w:line="360"/>
        <w:ind w:left="480" w:hanging="480"/>
      </w:pPr>
      <w:r>
        <w:t xml:space="preserve">Bandura, A. (1997). </w:t>
      </w:r>
      <w:r>
        <w:rPr>
          <w:i/>
          <w:iCs/>
        </w:rPr>
        <w:t xml:space="preserve">Self-efficacy: The exercise of control</w:t>
      </w:r>
      <w:r>
        <w:t xml:space="preserve">. W. H. Freeman.</w:t>
      </w:r>
    </w:p>
    <w:p>
      <w:pPr>
        <w:spacing w:after="120" w:line="360"/>
        <w:ind w:left="480" w:hanging="480"/>
      </w:pPr>
      <w:r>
        <w:t xml:space="preserve">Cohen, R. J., &amp; Swerdlik, M. E. (2018). </w:t>
      </w:r>
      <w:r>
        <w:rPr>
          <w:i/>
          <w:iCs/>
        </w:rPr>
        <w:t xml:space="preserve">Psychological testing and assessment: An introduction to tests and measurement</w:t>
      </w:r>
      <w:r>
        <w:t xml:space="preserve"> (9.ª ed.). McGraw-Hill.</w:t>
      </w:r>
    </w:p>
    <w:p>
      <w:pPr>
        <w:spacing w:after="120" w:line="360"/>
        <w:ind w:left="480" w:hanging="480"/>
      </w:pPr>
      <w:r>
        <w:t xml:space="preserve">Consejo Nacional Supervisor de Cooperativas. (2014). </w:t>
      </w:r>
      <w:r>
        <w:rPr>
          <w:i/>
          <w:iCs/>
        </w:rPr>
        <w:t xml:space="preserve">Resolución de Normativa N.º 09/12/2014</w:t>
      </w:r>
      <w:r>
        <w:t xml:space="preserve">. Registro Nacional de Cooperativas, Honduras.</w:t>
      </w:r>
    </w:p>
    <w:p>
      <w:pPr>
        <w:spacing w:after="120" w:line="360"/>
        <w:ind w:left="480" w:hanging="480"/>
      </w:pPr>
      <w:r>
        <w:t xml:space="preserve">Congreso Nacional de Honduras. (1987). </w:t>
      </w:r>
      <w:r>
        <w:rPr>
          <w:i/>
          <w:iCs/>
        </w:rPr>
        <w:t xml:space="preserve">Ley de Cooperativas de Honduras</w:t>
      </w:r>
      <w:r>
        <w:t xml:space="preserve"> (Decreto N.º 65-87). La Gaceta.</w:t>
      </w:r>
    </w:p>
    <w:p>
      <w:pPr>
        <w:spacing w:after="120" w:line="360"/>
        <w:ind w:left="480" w:hanging="480"/>
      </w:pPr>
      <w:r>
        <w:t xml:space="preserve">Consejo Nacional Supervisor de Cooperativas. (2014). </w:t>
      </w:r>
      <w:r>
        <w:rPr>
          <w:i/>
          <w:iCs/>
        </w:rPr>
        <w:t xml:space="preserve">Reglamento de la Ley de Cooperativas de Honduras</w:t>
      </w:r>
      <w:r>
        <w:t xml:space="preserve"> (Acuerdo N.º 041-2014). La Gaceta.</w:t>
      </w:r>
    </w:p>
    <w:p>
      <w:pPr>
        <w:spacing w:after="120" w:line="360"/>
        <w:ind w:left="480" w:hanging="480"/>
      </w:pPr>
      <w:r>
        <w:t xml:space="preserve">Morrison, J. (2015). </w:t>
      </w:r>
      <w:r>
        <w:rPr>
          <w:i/>
          <w:iCs/>
        </w:rPr>
        <w:t xml:space="preserve">La entrevista psicológica</w:t>
      </w:r>
      <w:r>
        <w:t xml:space="preserve"> (3.ª ed.). Manual Moderno.</w:t>
      </w:r>
    </w:p>
    <w:p>
      <w:pPr>
        <w:spacing w:after="120" w:line="360"/>
        <w:ind w:left="480" w:hanging="480"/>
      </w:pPr>
      <w:r>
        <w:t xml:space="preserve">Rogers, C. R. (1959). A theory of therapy, personality, and interpersonal relationships, as developed in the client-centered framework. En S. Koch (Ed.), </w:t>
      </w:r>
      <w:r>
        <w:rPr>
          <w:i/>
          <w:iCs/>
        </w:rPr>
        <w:t xml:space="preserve">Psychology: A study of a science</w:t>
      </w:r>
      <w:r>
        <w:t xml:space="preserve"> (Vol. 3, pp. 184–256). McGraw-Hill.</w:t>
      </w:r>
    </w:p>
    <w:sectPr>
      <w:headerReference w:type="default" r:id="rId7"/>
      <w:footerReference w:type="default" r:id="rId8"/>
      <w:type w:val="nextPage"/>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0"/>
      <w:jc w:val="right"/>
    </w:pPr>
    <w:r>
      <w:rPr>
        <w:color w:val="6A6A64"/>
        <w:sz w:val="16"/>
        <w:szCs w:val="16"/>
      </w:rPr>
      <w:t xml:space="preserve">Habilidades de Liderazgo y Comunicación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line="3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C6B4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A1A1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FA3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fa9f1edf6a72a98675e3c3a53d4d8692eacf0d.png"/><Relationship Id="rId10" Type="http://schemas.openxmlformats.org/officeDocument/2006/relationships/image" Target="media/095186535d7aac2ba0708cf20cff0aed7635d56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 Habilidades de Liderazgo y Comunicación</dc:title>
  <dc:creator>Oliver Ayala</dc:creator>
  <cp:lastModifiedBy>Un-named</cp:lastModifiedBy>
  <cp:revision>1</cp:revision>
  <dcterms:created xsi:type="dcterms:W3CDTF">2026-06-11T00:12:30.664Z</dcterms:created>
  <dcterms:modified xsi:type="dcterms:W3CDTF">2026-06-11T00:12:30.664Z</dcterms:modified>
</cp:coreProperties>
</file>

<file path=docProps/custom.xml><?xml version="1.0" encoding="utf-8"?>
<Properties xmlns="http://schemas.openxmlformats.org/officeDocument/2006/custom-properties" xmlns:vt="http://schemas.openxmlformats.org/officeDocument/2006/docPropsVTypes"/>
</file>