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1E8CD" w14:textId="04CACB7A" w:rsidR="008D215E" w:rsidRPr="006025EA" w:rsidRDefault="00E47C06" w:rsidP="008D215E">
      <w:pPr>
        <w:ind w:left="720" w:hanging="360"/>
        <w:rPr>
          <w:rFonts w:ascii="Adobe Garamond Pro" w:hAnsi="Adobe Garamond Pro"/>
          <w:b/>
          <w:bCs/>
          <w:sz w:val="28"/>
          <w:szCs w:val="28"/>
          <w:u w:val="single"/>
        </w:rPr>
      </w:pPr>
      <w:r w:rsidRPr="006025EA">
        <w:rPr>
          <w:rFonts w:ascii="Adobe Garamond Pro" w:hAnsi="Adobe Garamond Pro"/>
          <w:b/>
          <w:bCs/>
          <w:sz w:val="28"/>
          <w:szCs w:val="28"/>
          <w:u w:val="single"/>
        </w:rPr>
        <w:t>Practical Task 1</w:t>
      </w:r>
    </w:p>
    <w:p w14:paraId="10383E7A" w14:textId="2DC32589" w:rsidR="00DA6310" w:rsidRPr="00E47C06" w:rsidRDefault="00DA6310" w:rsidP="008D215E">
      <w:pPr>
        <w:pStyle w:val="ListParagraph"/>
        <w:numPr>
          <w:ilvl w:val="0"/>
          <w:numId w:val="8"/>
        </w:numPr>
        <w:rPr>
          <w:rFonts w:ascii="Adobe Garamond Pro" w:hAnsi="Adobe Garamond Pro"/>
        </w:rPr>
      </w:pPr>
      <w:r w:rsidRPr="00E47C06">
        <w:rPr>
          <w:rFonts w:ascii="Adobe Garamond Pro" w:hAnsi="Adobe Garamond Pro"/>
          <w:noProof/>
        </w:rPr>
        <w:drawing>
          <wp:anchor distT="0" distB="0" distL="114300" distR="114300" simplePos="0" relativeHeight="251658240" behindDoc="0" locked="0" layoutInCell="1" allowOverlap="1" wp14:anchorId="50A0ED82" wp14:editId="38156BA6">
            <wp:simplePos x="0" y="0"/>
            <wp:positionH relativeFrom="column">
              <wp:posOffset>471170</wp:posOffset>
            </wp:positionH>
            <wp:positionV relativeFrom="paragraph">
              <wp:posOffset>1836420</wp:posOffset>
            </wp:positionV>
            <wp:extent cx="5176520" cy="2743200"/>
            <wp:effectExtent l="0" t="0" r="5080" b="0"/>
            <wp:wrapSquare wrapText="bothSides"/>
            <wp:docPr id="1572549837" name="Chart 1">
              <a:extLst xmlns:a="http://schemas.openxmlformats.org/drawingml/2006/main">
                <a:ext uri="{FF2B5EF4-FFF2-40B4-BE49-F238E27FC236}">
                  <a16:creationId xmlns:a16="http://schemas.microsoft.com/office/drawing/2014/main" id="{4D889DDC-2005-D386-2FC2-42834F0A71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sidR="00E62AA6" w:rsidRPr="00E47C06">
        <w:rPr>
          <w:rFonts w:ascii="Adobe Garamond Pro" w:hAnsi="Adobe Garamond Pro"/>
        </w:rPr>
        <w:t>According to the information in graph provided, Costa Rica, Belgium and Denmark had the lowest gender wage gap in 2015 and Korea, Japan and China had the highest gender wage gap.</w:t>
      </w:r>
      <w:r w:rsidR="00161503" w:rsidRPr="00E47C06">
        <w:rPr>
          <w:rFonts w:ascii="Adobe Garamond Pro" w:hAnsi="Adobe Garamond Pro"/>
        </w:rPr>
        <w:t xml:space="preserve"> </w:t>
      </w:r>
      <w:r w:rsidR="00E62AA6" w:rsidRPr="00E47C06">
        <w:rPr>
          <w:rFonts w:ascii="Adobe Garamond Pro" w:hAnsi="Adobe Garamond Pro"/>
        </w:rPr>
        <w:t xml:space="preserve">However, </w:t>
      </w:r>
      <w:r w:rsidR="00161503" w:rsidRPr="00E47C06">
        <w:rPr>
          <w:rFonts w:ascii="Adobe Garamond Pro" w:hAnsi="Adobe Garamond Pro"/>
        </w:rPr>
        <w:t xml:space="preserve">by </w:t>
      </w:r>
      <w:r w:rsidR="007F0647" w:rsidRPr="00E47C06">
        <w:rPr>
          <w:rFonts w:ascii="Adobe Garamond Pro" w:hAnsi="Adobe Garamond Pro"/>
        </w:rPr>
        <w:t xml:space="preserve">comparing </w:t>
      </w:r>
      <w:r w:rsidR="007F2BBF" w:rsidRPr="00E47C06">
        <w:rPr>
          <w:rFonts w:ascii="Adobe Garamond Pro" w:hAnsi="Adobe Garamond Pro"/>
        </w:rPr>
        <w:t xml:space="preserve">the </w:t>
      </w:r>
      <w:hyperlink r:id="rId6" w:history="1">
        <w:r w:rsidR="007F2BBF" w:rsidRPr="00E47C06">
          <w:rPr>
            <w:rStyle w:val="Hyperlink"/>
            <w:rFonts w:ascii="Adobe Garamond Pro" w:hAnsi="Adobe Garamond Pro"/>
          </w:rPr>
          <w:t>source data</w:t>
        </w:r>
      </w:hyperlink>
      <w:r w:rsidR="007F2BBF" w:rsidRPr="00E47C06">
        <w:rPr>
          <w:rFonts w:ascii="Adobe Garamond Pro" w:hAnsi="Adobe Garamond Pro"/>
        </w:rPr>
        <w:t xml:space="preserve"> with the </w:t>
      </w:r>
      <w:hyperlink r:id="rId7" w:history="1">
        <w:r w:rsidR="007F2BBF" w:rsidRPr="00E47C06">
          <w:rPr>
            <w:rStyle w:val="Hyperlink"/>
            <w:rFonts w:ascii="Adobe Garamond Pro" w:hAnsi="Adobe Garamond Pro"/>
          </w:rPr>
          <w:t xml:space="preserve">given table on </w:t>
        </w:r>
        <w:proofErr w:type="spellStart"/>
        <w:r w:rsidR="007F2BBF" w:rsidRPr="00E47C06">
          <w:rPr>
            <w:rStyle w:val="Hyperlink"/>
            <w:rFonts w:ascii="Adobe Garamond Pro" w:hAnsi="Adobe Garamond Pro"/>
          </w:rPr>
          <w:t>Github</w:t>
        </w:r>
        <w:proofErr w:type="spellEnd"/>
      </w:hyperlink>
      <w:r w:rsidR="00161503" w:rsidRPr="00E47C06">
        <w:rPr>
          <w:rFonts w:ascii="Adobe Garamond Pro" w:hAnsi="Adobe Garamond Pro"/>
        </w:rPr>
        <w:t>,</w:t>
      </w:r>
      <w:r w:rsidR="007F0647" w:rsidRPr="00E47C06">
        <w:rPr>
          <w:rFonts w:ascii="Adobe Garamond Pro" w:hAnsi="Adobe Garamond Pro"/>
        </w:rPr>
        <w:t xml:space="preserve"> observe </w:t>
      </w:r>
      <w:r w:rsidR="007F2BBF" w:rsidRPr="00E47C06">
        <w:rPr>
          <w:rFonts w:ascii="Adobe Garamond Pro" w:hAnsi="Adobe Garamond Pro"/>
        </w:rPr>
        <w:t xml:space="preserve">that the author of </w:t>
      </w:r>
      <w:r w:rsidR="007F0647" w:rsidRPr="00E47C06">
        <w:rPr>
          <w:rFonts w:ascii="Adobe Garamond Pro" w:hAnsi="Adobe Garamond Pro"/>
        </w:rPr>
        <w:t xml:space="preserve">that </w:t>
      </w:r>
      <w:r w:rsidR="007F2BBF" w:rsidRPr="00E47C06">
        <w:rPr>
          <w:rFonts w:ascii="Adobe Garamond Pro" w:hAnsi="Adobe Garamond Pro"/>
        </w:rPr>
        <w:t xml:space="preserve">table has made </w:t>
      </w:r>
      <w:r w:rsidR="007F0647" w:rsidRPr="00E47C06">
        <w:rPr>
          <w:rFonts w:ascii="Adobe Garamond Pro" w:hAnsi="Adobe Garamond Pro"/>
        </w:rPr>
        <w:t xml:space="preserve">a number of </w:t>
      </w:r>
      <w:r w:rsidR="007F2BBF" w:rsidRPr="00E47C06">
        <w:rPr>
          <w:rFonts w:ascii="Adobe Garamond Pro" w:hAnsi="Adobe Garamond Pro"/>
        </w:rPr>
        <w:t xml:space="preserve">errors </w:t>
      </w:r>
      <w:r w:rsidR="00161503" w:rsidRPr="00E47C06">
        <w:rPr>
          <w:rFonts w:ascii="Adobe Garamond Pro" w:hAnsi="Adobe Garamond Pro"/>
        </w:rPr>
        <w:t xml:space="preserve">whilst </w:t>
      </w:r>
      <w:r w:rsidR="007F2BBF" w:rsidRPr="00E47C06">
        <w:rPr>
          <w:rFonts w:ascii="Adobe Garamond Pro" w:hAnsi="Adobe Garamond Pro"/>
        </w:rPr>
        <w:t>copying the data. For example,</w:t>
      </w:r>
      <w:r w:rsidR="005B4689" w:rsidRPr="00E47C06">
        <w:rPr>
          <w:rFonts w:ascii="Adobe Garamond Pro" w:hAnsi="Adobe Garamond Pro"/>
        </w:rPr>
        <w:t xml:space="preserve"> the gender wage gap at median for Chile in 2015 is 14.3 but is wrongly recorded on </w:t>
      </w:r>
      <w:proofErr w:type="spellStart"/>
      <w:r w:rsidR="005B4689" w:rsidRPr="00E47C06">
        <w:rPr>
          <w:rFonts w:ascii="Adobe Garamond Pro" w:hAnsi="Adobe Garamond Pro"/>
        </w:rPr>
        <w:t>Github</w:t>
      </w:r>
      <w:proofErr w:type="spellEnd"/>
      <w:r w:rsidR="005B4689" w:rsidRPr="00E47C06">
        <w:rPr>
          <w:rFonts w:ascii="Adobe Garamond Pro" w:hAnsi="Adobe Garamond Pro"/>
        </w:rPr>
        <w:t xml:space="preserve"> as 21.1. Similarly, Colombia’s median gender wage gap for the years 2010 and 2015 are 12.7 and 14.2 respectively but are wrongly recorded as 6.4 and 11.1 respectively.</w:t>
      </w:r>
      <w:r w:rsidR="004D0FB5" w:rsidRPr="00E47C06">
        <w:rPr>
          <w:rFonts w:ascii="Adobe Garamond Pro" w:hAnsi="Adobe Garamond Pro"/>
        </w:rPr>
        <w:t xml:space="preserve"> More significantly</w:t>
      </w:r>
      <w:r w:rsidR="005B4689" w:rsidRPr="00E47C06">
        <w:rPr>
          <w:rFonts w:ascii="Adobe Garamond Pro" w:hAnsi="Adobe Garamond Pro"/>
        </w:rPr>
        <w:t>, Costa Rica’s 2015 median gender wage gap is 9.1 but is recorded incorrectly as 3.7.</w:t>
      </w:r>
      <w:r w:rsidR="007F0647" w:rsidRPr="00E47C06">
        <w:rPr>
          <w:rFonts w:ascii="Adobe Garamond Pro" w:hAnsi="Adobe Garamond Pro"/>
        </w:rPr>
        <w:t xml:space="preserve"> The correct graph should look like this:</w:t>
      </w:r>
      <w:r w:rsidRPr="00E47C06">
        <w:rPr>
          <w:rFonts w:ascii="Adobe Garamond Pro" w:hAnsi="Adobe Garamond Pro"/>
        </w:rPr>
        <w:br/>
      </w:r>
      <w:r w:rsidRPr="00E47C06">
        <w:rPr>
          <w:rFonts w:ascii="Adobe Garamond Pro" w:hAnsi="Adobe Garamond Pro"/>
        </w:rPr>
        <w:br/>
      </w:r>
      <w:r w:rsidR="007F0647" w:rsidRPr="00E47C06">
        <w:rPr>
          <w:rFonts w:ascii="Adobe Garamond Pro" w:hAnsi="Adobe Garamond Pro"/>
        </w:rPr>
        <w:t>Belgium achieved the lowest gender pay gap, most likely because of widespread collective bargaining on wages and</w:t>
      </w:r>
      <w:r w:rsidR="004D0FB5" w:rsidRPr="00E47C06">
        <w:rPr>
          <w:rFonts w:ascii="Adobe Garamond Pro" w:hAnsi="Adobe Garamond Pro"/>
        </w:rPr>
        <w:t xml:space="preserve"> the instruction of</w:t>
      </w:r>
      <w:r w:rsidR="007F0647" w:rsidRPr="00E47C06">
        <w:rPr>
          <w:rFonts w:ascii="Adobe Garamond Pro" w:hAnsi="Adobe Garamond Pro"/>
        </w:rPr>
        <w:t xml:space="preserve"> a new law in 2012 which made it mandatory for the gender pay gap to be specifically </w:t>
      </w:r>
      <w:r w:rsidR="004D0FB5" w:rsidRPr="00E47C06">
        <w:rPr>
          <w:rFonts w:ascii="Adobe Garamond Pro" w:hAnsi="Adobe Garamond Pro"/>
        </w:rPr>
        <w:t>considered</w:t>
      </w:r>
      <w:r w:rsidR="007F0647" w:rsidRPr="00E47C06">
        <w:rPr>
          <w:rFonts w:ascii="Adobe Garamond Pro" w:hAnsi="Adobe Garamond Pro"/>
        </w:rPr>
        <w:t xml:space="preserve"> when unions and employers negotiate their wage agreements.</w:t>
      </w:r>
    </w:p>
    <w:p w14:paraId="164BFA26" w14:textId="3508086E" w:rsidR="00DA6310" w:rsidRPr="00E47C06" w:rsidRDefault="007F0647" w:rsidP="008D215E">
      <w:pPr>
        <w:pStyle w:val="ListParagraph"/>
        <w:rPr>
          <w:rFonts w:ascii="Adobe Garamond Pro" w:hAnsi="Adobe Garamond Pro"/>
        </w:rPr>
      </w:pPr>
      <w:r w:rsidRPr="00E47C06">
        <w:rPr>
          <w:rFonts w:ascii="Adobe Garamond Pro" w:hAnsi="Adobe Garamond Pro"/>
        </w:rPr>
        <w:t xml:space="preserve"> </w:t>
      </w:r>
    </w:p>
    <w:p w14:paraId="56255100" w14:textId="565E342A" w:rsidR="00214560" w:rsidRPr="00E47C06" w:rsidRDefault="00445AD1" w:rsidP="008D215E">
      <w:pPr>
        <w:pStyle w:val="ListParagraph"/>
        <w:numPr>
          <w:ilvl w:val="0"/>
          <w:numId w:val="8"/>
        </w:numPr>
        <w:rPr>
          <w:rFonts w:ascii="Adobe Garamond Pro" w:hAnsi="Adobe Garamond Pro"/>
        </w:rPr>
      </w:pPr>
      <w:r w:rsidRPr="00E47C06">
        <w:rPr>
          <w:rFonts w:ascii="Adobe Garamond Pro" w:hAnsi="Adobe Garamond Pro"/>
        </w:rPr>
        <w:t xml:space="preserve">In March 2020, the sale of isopropanol increases </w:t>
      </w:r>
      <w:r w:rsidR="00285EF0" w:rsidRPr="00E47C06">
        <w:rPr>
          <w:rFonts w:ascii="Adobe Garamond Pro" w:hAnsi="Adobe Garamond Pro"/>
        </w:rPr>
        <w:t>very significantly</w:t>
      </w:r>
      <w:r w:rsidR="004B6B73" w:rsidRPr="00E47C06">
        <w:rPr>
          <w:rFonts w:ascii="Adobe Garamond Pro" w:hAnsi="Adobe Garamond Pro"/>
        </w:rPr>
        <w:t xml:space="preserve"> with sales more than doubling</w:t>
      </w:r>
      <w:r w:rsidR="005709ED" w:rsidRPr="00E47C06">
        <w:rPr>
          <w:rFonts w:ascii="Adobe Garamond Pro" w:hAnsi="Adobe Garamond Pro"/>
        </w:rPr>
        <w:t xml:space="preserve">, suggesting a sudden surge in demand or a squeeze in supply, leading to a higher market price. </w:t>
      </w:r>
      <w:r w:rsidR="00AF07E3" w:rsidRPr="00E47C06">
        <w:rPr>
          <w:rFonts w:ascii="Adobe Garamond Pro" w:hAnsi="Adobe Garamond Pro"/>
        </w:rPr>
        <w:t>A possible reason for the spike in isopropanol sales in March 2020 could be due to increased demand for sanitizing products because of the COVID-19 pandemic. Isopropanol is a key ingredient in hand sanitizers and disinfectants, products that saw a dramatic increase in use as the public and institutions sought to prevent the spread of the virus.</w:t>
      </w:r>
    </w:p>
    <w:p w14:paraId="70A16196" w14:textId="77777777" w:rsidR="00214560" w:rsidRPr="00E47C06" w:rsidRDefault="00214560" w:rsidP="008D215E">
      <w:pPr>
        <w:pStyle w:val="ListParagraph"/>
        <w:rPr>
          <w:rFonts w:ascii="Adobe Garamond Pro" w:hAnsi="Adobe Garamond Pro"/>
        </w:rPr>
      </w:pPr>
    </w:p>
    <w:p w14:paraId="35DFA15F" w14:textId="7EE5A2AA" w:rsidR="00214560" w:rsidRPr="00E47C06" w:rsidRDefault="00B33951" w:rsidP="008D215E">
      <w:pPr>
        <w:pStyle w:val="ListParagraph"/>
        <w:numPr>
          <w:ilvl w:val="0"/>
          <w:numId w:val="8"/>
        </w:numPr>
        <w:rPr>
          <w:rFonts w:ascii="Adobe Garamond Pro" w:hAnsi="Adobe Garamond Pro"/>
        </w:rPr>
      </w:pPr>
      <w:r w:rsidRPr="00E47C06">
        <w:rPr>
          <w:rFonts w:ascii="Adobe Garamond Pro" w:hAnsi="Adobe Garamond Pro"/>
        </w:rPr>
        <w:t xml:space="preserve">For each continent, there is a positive correlation between </w:t>
      </w:r>
      <w:r w:rsidR="00A13D6C" w:rsidRPr="00E47C06">
        <w:rPr>
          <w:rFonts w:ascii="Adobe Garamond Pro" w:hAnsi="Adobe Garamond Pro"/>
        </w:rPr>
        <w:t>CO2 emissions per person and GDP per Capita.</w:t>
      </w:r>
      <w:r w:rsidR="00844286" w:rsidRPr="00E47C06">
        <w:rPr>
          <w:rFonts w:ascii="Adobe Garamond Pro" w:hAnsi="Adobe Garamond Pro"/>
        </w:rPr>
        <w:t xml:space="preserve"> </w:t>
      </w:r>
      <w:r w:rsidR="00384149" w:rsidRPr="00E47C06">
        <w:rPr>
          <w:rFonts w:ascii="Adobe Garamond Pro" w:hAnsi="Adobe Garamond Pro"/>
        </w:rPr>
        <w:t xml:space="preserve">Africa (red points): </w:t>
      </w:r>
      <w:r w:rsidR="004B0E83" w:rsidRPr="00E47C06">
        <w:rPr>
          <w:rFonts w:ascii="Adobe Garamond Pro" w:hAnsi="Adobe Garamond Pro"/>
        </w:rPr>
        <w:t>Most</w:t>
      </w:r>
      <w:r w:rsidR="00384149" w:rsidRPr="00E47C06">
        <w:rPr>
          <w:rFonts w:ascii="Adobe Garamond Pro" w:hAnsi="Adobe Garamond Pro"/>
        </w:rPr>
        <w:t xml:space="preserve"> African countries are clustered in the lower left corner of the graph, which suggests that CO2 emissions per person are relatively low, and the same is true for GDP per capita. This indicates that, on average, African countries have lower economic output per person and are associated with lower levels of CO2 emissions per person.</w:t>
      </w:r>
    </w:p>
    <w:p w14:paraId="5F3E9632" w14:textId="77777777" w:rsidR="00214560" w:rsidRPr="00E47C06" w:rsidRDefault="00214560" w:rsidP="008D215E">
      <w:pPr>
        <w:pStyle w:val="ListParagraph"/>
        <w:rPr>
          <w:rFonts w:ascii="Adobe Garamond Pro" w:hAnsi="Adobe Garamond Pro"/>
        </w:rPr>
      </w:pPr>
    </w:p>
    <w:p w14:paraId="3114A537" w14:textId="03033940" w:rsidR="00214560" w:rsidRPr="00E47C06" w:rsidRDefault="00384149" w:rsidP="008D215E">
      <w:pPr>
        <w:pStyle w:val="ListParagraph"/>
        <w:rPr>
          <w:rFonts w:ascii="Adobe Garamond Pro" w:hAnsi="Adobe Garamond Pro"/>
        </w:rPr>
      </w:pPr>
      <w:r w:rsidRPr="00E47C06">
        <w:rPr>
          <w:rFonts w:ascii="Adobe Garamond Pro" w:hAnsi="Adobe Garamond Pro"/>
        </w:rPr>
        <w:lastRenderedPageBreak/>
        <w:t xml:space="preserve">The points for the Americas are spread across a wide range of the graph, suggesting significant variation among countries in this continent. Some countries in the Americas have low GDP per capita and low CO2 emissions per person, </w:t>
      </w:r>
      <w:r w:rsidR="004B0E83" w:rsidRPr="00E47C06">
        <w:rPr>
          <w:rFonts w:ascii="Adobe Garamond Pro" w:hAnsi="Adobe Garamond Pro"/>
        </w:rPr>
        <w:t>like</w:t>
      </w:r>
      <w:r w:rsidRPr="00E47C06">
        <w:rPr>
          <w:rFonts w:ascii="Adobe Garamond Pro" w:hAnsi="Adobe Garamond Pro"/>
        </w:rPr>
        <w:t xml:space="preserve"> many African countries. However, there are also countries with high GDP per capita and higher CO2 emissions per person, likely including the United States and Canada.</w:t>
      </w:r>
    </w:p>
    <w:p w14:paraId="5A560DA8" w14:textId="77777777" w:rsidR="004B0E83" w:rsidRPr="00E47C06" w:rsidRDefault="004B0E83" w:rsidP="008D215E">
      <w:pPr>
        <w:pStyle w:val="ListParagraph"/>
        <w:rPr>
          <w:rFonts w:ascii="Adobe Garamond Pro" w:hAnsi="Adobe Garamond Pro"/>
        </w:rPr>
      </w:pPr>
    </w:p>
    <w:p w14:paraId="281B50CE" w14:textId="4A9E4340" w:rsidR="00214560" w:rsidRPr="00E47C06" w:rsidRDefault="00384149" w:rsidP="008D215E">
      <w:pPr>
        <w:pStyle w:val="ListParagraph"/>
        <w:rPr>
          <w:rFonts w:ascii="Adobe Garamond Pro" w:hAnsi="Adobe Garamond Pro"/>
        </w:rPr>
      </w:pPr>
      <w:r w:rsidRPr="00E47C06">
        <w:rPr>
          <w:rFonts w:ascii="Adobe Garamond Pro" w:hAnsi="Adobe Garamond Pro"/>
        </w:rPr>
        <w:t>Asian countries also show a wide distribution, with many points concentrated in the middle of the GDP per capita range and a moderate level of CO2 emissions per person. This suggests a mix of developing and developed economies, with corresponding levels of CO2 emissions.</w:t>
      </w:r>
    </w:p>
    <w:p w14:paraId="4D143AF4" w14:textId="77777777" w:rsidR="00214560" w:rsidRPr="00E47C06" w:rsidRDefault="00214560" w:rsidP="008D215E">
      <w:pPr>
        <w:pStyle w:val="ListParagraph"/>
        <w:rPr>
          <w:rFonts w:ascii="Adobe Garamond Pro" w:hAnsi="Adobe Garamond Pro"/>
        </w:rPr>
      </w:pPr>
    </w:p>
    <w:p w14:paraId="682498BC" w14:textId="3486D2E1" w:rsidR="00214560" w:rsidRPr="00E47C06" w:rsidRDefault="00384149" w:rsidP="008D215E">
      <w:pPr>
        <w:pStyle w:val="ListParagraph"/>
        <w:rPr>
          <w:rFonts w:ascii="Adobe Garamond Pro" w:hAnsi="Adobe Garamond Pro"/>
        </w:rPr>
      </w:pPr>
      <w:r w:rsidRPr="00E47C06">
        <w:rPr>
          <w:rFonts w:ascii="Adobe Garamond Pro" w:hAnsi="Adobe Garamond Pro"/>
        </w:rPr>
        <w:t>European countries tend to have higher GDP per capita and a wide range of CO2 emissions per person. The distribution suggests that while economic output is generally high, Europe has a mix of countries with both high and low CO2 emissions per person, which may reflect diverse energy policies and levels of industrialization.</w:t>
      </w:r>
    </w:p>
    <w:p w14:paraId="46739577" w14:textId="77777777" w:rsidR="00214560" w:rsidRPr="00E47C06" w:rsidRDefault="00214560" w:rsidP="008D215E">
      <w:pPr>
        <w:pStyle w:val="ListParagraph"/>
        <w:rPr>
          <w:rFonts w:ascii="Adobe Garamond Pro" w:hAnsi="Adobe Garamond Pro"/>
        </w:rPr>
      </w:pPr>
    </w:p>
    <w:p w14:paraId="6C995733" w14:textId="3354D968" w:rsidR="00214560" w:rsidRPr="00E47C06" w:rsidRDefault="00384149" w:rsidP="008D215E">
      <w:pPr>
        <w:pStyle w:val="ListParagraph"/>
        <w:rPr>
          <w:rFonts w:ascii="Adobe Garamond Pro" w:hAnsi="Adobe Garamond Pro"/>
        </w:rPr>
      </w:pPr>
      <w:r w:rsidRPr="00E47C06">
        <w:rPr>
          <w:rFonts w:ascii="Adobe Garamond Pro" w:hAnsi="Adobe Garamond Pro"/>
        </w:rPr>
        <w:t>There are fewer points representing Oceania, and they tend to have higher GDP per capita and vary in CO2 emissions per person. Given the smaller sample size, it's difficult to generalize, but it can include countries like Australia and New Zealand, which have high living standards and consequently higher emissions.</w:t>
      </w:r>
    </w:p>
    <w:p w14:paraId="6178FF18" w14:textId="77777777" w:rsidR="00214560" w:rsidRPr="00E47C06" w:rsidRDefault="00214560" w:rsidP="008D215E">
      <w:pPr>
        <w:pStyle w:val="ListParagraph"/>
        <w:rPr>
          <w:rFonts w:ascii="Adobe Garamond Pro" w:hAnsi="Adobe Garamond Pro"/>
        </w:rPr>
      </w:pPr>
    </w:p>
    <w:p w14:paraId="6DD610A9" w14:textId="51B32AAD" w:rsidR="00373E25" w:rsidRPr="00E47C06" w:rsidRDefault="00384149" w:rsidP="008D215E">
      <w:pPr>
        <w:pStyle w:val="ListParagraph"/>
        <w:rPr>
          <w:rFonts w:ascii="Adobe Garamond Pro" w:hAnsi="Adobe Garamond Pro"/>
        </w:rPr>
      </w:pPr>
      <w:r w:rsidRPr="00E47C06">
        <w:rPr>
          <w:rFonts w:ascii="Adobe Garamond Pro" w:hAnsi="Adobe Garamond Pro"/>
        </w:rPr>
        <w:t xml:space="preserve">The overall trend suggests that there is a positive correlation between </w:t>
      </w:r>
      <w:proofErr w:type="gramStart"/>
      <w:r w:rsidRPr="00E47C06">
        <w:rPr>
          <w:rFonts w:ascii="Adobe Garamond Pro" w:hAnsi="Adobe Garamond Pro"/>
        </w:rPr>
        <w:t>GDP</w:t>
      </w:r>
      <w:proofErr w:type="gramEnd"/>
      <w:r w:rsidRPr="00E47C06">
        <w:rPr>
          <w:rFonts w:ascii="Adobe Garamond Pro" w:hAnsi="Adobe Garamond Pro"/>
        </w:rPr>
        <w:t xml:space="preserve"> per capita and CO2 emissions per person, meaning that as the economic output of an individual increases, so generally does their carbon footprint. However, this relationship is not uniform across or within continents, reflecting different levels of economic development, industrialization, energy sources, and efficiency technologies.</w:t>
      </w:r>
    </w:p>
    <w:p w14:paraId="2A223366" w14:textId="77777777" w:rsidR="008D215E" w:rsidRDefault="008D215E" w:rsidP="008D215E">
      <w:pPr>
        <w:rPr>
          <w:rFonts w:ascii="Adobe Garamond Pro" w:hAnsi="Adobe Garamond Pro"/>
        </w:rPr>
      </w:pPr>
    </w:p>
    <w:p w14:paraId="78DAF873" w14:textId="1A903A88" w:rsidR="00ED00C5" w:rsidRPr="006025EA" w:rsidRDefault="00E47C06" w:rsidP="008D215E">
      <w:pPr>
        <w:rPr>
          <w:rFonts w:ascii="Adobe Garamond Pro" w:hAnsi="Adobe Garamond Pro"/>
          <w:b/>
          <w:bCs/>
          <w:sz w:val="28"/>
          <w:szCs w:val="28"/>
          <w:u w:val="single"/>
        </w:rPr>
      </w:pPr>
      <w:r w:rsidRPr="006025EA">
        <w:rPr>
          <w:rFonts w:ascii="Adobe Garamond Pro" w:hAnsi="Adobe Garamond Pro"/>
          <w:b/>
          <w:bCs/>
          <w:sz w:val="28"/>
          <w:szCs w:val="28"/>
          <w:u w:val="single"/>
        </w:rPr>
        <w:t>Practical Task 2</w:t>
      </w:r>
    </w:p>
    <w:p w14:paraId="497A8364" w14:textId="51F7854B" w:rsidR="008D215E" w:rsidRDefault="009E2495" w:rsidP="008D215E">
      <w:pPr>
        <w:rPr>
          <w:rFonts w:ascii="Adobe Garamond Pro" w:hAnsi="Adobe Garamond Pro"/>
        </w:rPr>
      </w:pPr>
      <w:r w:rsidRPr="008D215E">
        <w:rPr>
          <w:rFonts w:ascii="Adobe Garamond Pro" w:hAnsi="Adobe Garamond Pro"/>
          <w:b/>
          <w:bCs/>
          <w:u w:val="single"/>
        </w:rPr>
        <w:t>NB:</w:t>
      </w:r>
      <w:r w:rsidRPr="008D215E">
        <w:rPr>
          <w:rFonts w:ascii="Adobe Garamond Pro" w:hAnsi="Adobe Garamond Pro"/>
          <w:b/>
          <w:bCs/>
        </w:rPr>
        <w:t xml:space="preserve"> </w:t>
      </w:r>
      <w:r w:rsidRPr="008D215E">
        <w:rPr>
          <w:rFonts w:ascii="Adobe Garamond Pro" w:hAnsi="Adobe Garamond Pro"/>
        </w:rPr>
        <w:t xml:space="preserve">I </w:t>
      </w:r>
      <w:r w:rsidR="008D215E" w:rsidRPr="008D215E">
        <w:rPr>
          <w:rFonts w:ascii="Adobe Garamond Pro" w:hAnsi="Adobe Garamond Pro"/>
        </w:rPr>
        <w:t>assume</w:t>
      </w:r>
      <w:r w:rsidRPr="008D215E">
        <w:rPr>
          <w:rFonts w:ascii="Adobe Garamond Pro" w:hAnsi="Adobe Garamond Pro"/>
        </w:rPr>
        <w:t xml:space="preserve"> that “Rooms per Dwelling” should </w:t>
      </w:r>
      <w:r w:rsidR="0062276E" w:rsidRPr="008D215E">
        <w:rPr>
          <w:rFonts w:ascii="Adobe Garamond Pro" w:hAnsi="Adobe Garamond Pro"/>
        </w:rPr>
        <w:t xml:space="preserve">read “Average number of rooms per dwelling” given that </w:t>
      </w:r>
      <w:r w:rsidR="0062276E" w:rsidRPr="008D215E">
        <w:rPr>
          <w:rFonts w:ascii="Adobe Garamond Pro" w:hAnsi="Adobe Garamond Pro"/>
        </w:rPr>
        <w:t xml:space="preserve">each point in the scatterplot matrix </w:t>
      </w:r>
      <w:r w:rsidR="0062276E" w:rsidRPr="008D215E">
        <w:rPr>
          <w:rFonts w:ascii="Adobe Garamond Pro" w:hAnsi="Adobe Garamond Pro"/>
        </w:rPr>
        <w:t xml:space="preserve">represents </w:t>
      </w:r>
      <w:r w:rsidR="0062276E" w:rsidRPr="008D215E">
        <w:rPr>
          <w:rFonts w:ascii="Adobe Garamond Pro" w:hAnsi="Adobe Garamond Pro"/>
        </w:rPr>
        <w:t xml:space="preserve">aggregated data for a particular area or </w:t>
      </w:r>
      <w:r w:rsidR="0062276E" w:rsidRPr="008D215E">
        <w:rPr>
          <w:rFonts w:ascii="Adobe Garamond Pro" w:hAnsi="Adobe Garamond Pro"/>
        </w:rPr>
        <w:t>neighbourhood</w:t>
      </w:r>
      <w:r w:rsidR="0062276E" w:rsidRPr="008D215E">
        <w:rPr>
          <w:rFonts w:ascii="Adobe Garamond Pro" w:hAnsi="Adobe Garamond Pro"/>
        </w:rPr>
        <w:t xml:space="preserve"> in the Boston area</w:t>
      </w:r>
      <w:r w:rsidR="0062276E" w:rsidRPr="008D215E">
        <w:rPr>
          <w:rFonts w:ascii="Adobe Garamond Pro" w:hAnsi="Adobe Garamond Pro"/>
        </w:rPr>
        <w:t xml:space="preserve">, not </w:t>
      </w:r>
      <w:r w:rsidR="0062276E" w:rsidRPr="008D215E">
        <w:rPr>
          <w:rFonts w:ascii="Adobe Garamond Pro" w:hAnsi="Adobe Garamond Pro"/>
        </w:rPr>
        <w:t>an individual house</w:t>
      </w:r>
      <w:r w:rsidR="0062276E" w:rsidRPr="008D215E">
        <w:rPr>
          <w:rFonts w:ascii="Adobe Garamond Pro" w:hAnsi="Adobe Garamond Pro"/>
        </w:rPr>
        <w:t>.</w:t>
      </w:r>
      <w:r w:rsidR="008D215E" w:rsidRPr="008D215E">
        <w:rPr>
          <w:rFonts w:ascii="Adobe Garamond Pro" w:hAnsi="Adobe Garamond Pro"/>
        </w:rPr>
        <w:t xml:space="preserve"> Further, I assume that the first question is really asking </w:t>
      </w:r>
      <w:r w:rsidR="001B05C0" w:rsidRPr="008D215E">
        <w:rPr>
          <w:rFonts w:ascii="Adobe Garamond Pro" w:hAnsi="Adobe Garamond Pro"/>
        </w:rPr>
        <w:t xml:space="preserve">which graph best represents the </w:t>
      </w:r>
      <w:r w:rsidR="001B05C0" w:rsidRPr="008D215E">
        <w:rPr>
          <w:rFonts w:ascii="Adobe Garamond Pro" w:hAnsi="Adobe Garamond Pro"/>
          <w:i/>
          <w:iCs/>
        </w:rPr>
        <w:t>crime rate</w:t>
      </w:r>
      <w:r w:rsidR="001B05C0" w:rsidRPr="008D215E">
        <w:rPr>
          <w:rFonts w:ascii="Adobe Garamond Pro" w:hAnsi="Adobe Garamond Pro"/>
        </w:rPr>
        <w:t xml:space="preserve"> of the population of Boston as a whole, since the question which follows presumes that said graph would </w:t>
      </w:r>
      <w:r w:rsidR="001866D1" w:rsidRPr="008D215E">
        <w:rPr>
          <w:rFonts w:ascii="Adobe Garamond Pro" w:hAnsi="Adobe Garamond Pro"/>
        </w:rPr>
        <w:t>be useful in explaining whether Boston has a high or low crime rat</w:t>
      </w:r>
      <w:r w:rsidR="008D215E" w:rsidRPr="008D215E">
        <w:rPr>
          <w:rFonts w:ascii="Adobe Garamond Pro" w:hAnsi="Adobe Garamond Pro"/>
        </w:rPr>
        <w:t>e.</w:t>
      </w:r>
    </w:p>
    <w:p w14:paraId="4F648883" w14:textId="0A3C981C" w:rsidR="008D215E" w:rsidRDefault="0000565F" w:rsidP="008D215E">
      <w:pPr>
        <w:pStyle w:val="ListParagraph"/>
        <w:numPr>
          <w:ilvl w:val="0"/>
          <w:numId w:val="15"/>
        </w:numPr>
        <w:rPr>
          <w:rFonts w:ascii="Adobe Garamond Pro" w:hAnsi="Adobe Garamond Pro"/>
        </w:rPr>
      </w:pPr>
      <w:r w:rsidRPr="008D215E">
        <w:rPr>
          <w:rFonts w:ascii="Adobe Garamond Pro" w:hAnsi="Adobe Garamond Pro"/>
        </w:rPr>
        <w:t>Th</w:t>
      </w:r>
      <w:r w:rsidRPr="008D215E">
        <w:rPr>
          <w:rFonts w:ascii="Adobe Garamond Pro" w:hAnsi="Adobe Garamond Pro"/>
        </w:rPr>
        <w:t xml:space="preserve">at </w:t>
      </w:r>
      <w:r w:rsidRPr="008D215E">
        <w:rPr>
          <w:rFonts w:ascii="Adobe Garamond Pro" w:hAnsi="Adobe Garamond Pro"/>
        </w:rPr>
        <w:t xml:space="preserve">graph would be the histogram located in the </w:t>
      </w:r>
      <w:r w:rsidR="001F7BA0">
        <w:rPr>
          <w:rFonts w:ascii="Adobe Garamond Pro" w:hAnsi="Adobe Garamond Pro"/>
        </w:rPr>
        <w:t>fir</w:t>
      </w:r>
      <w:r w:rsidR="00535489" w:rsidRPr="008D215E">
        <w:rPr>
          <w:rFonts w:ascii="Adobe Garamond Pro" w:hAnsi="Adobe Garamond Pro"/>
        </w:rPr>
        <w:t>st</w:t>
      </w:r>
      <w:r w:rsidRPr="008D215E">
        <w:rPr>
          <w:rFonts w:ascii="Adobe Garamond Pro" w:hAnsi="Adobe Garamond Pro"/>
        </w:rPr>
        <w:t xml:space="preserve"> row, </w:t>
      </w:r>
      <w:r w:rsidR="001F7BA0">
        <w:rPr>
          <w:rFonts w:ascii="Adobe Garamond Pro" w:hAnsi="Adobe Garamond Pro"/>
        </w:rPr>
        <w:t>fir</w:t>
      </w:r>
      <w:r w:rsidR="00535489" w:rsidRPr="008D215E">
        <w:rPr>
          <w:rFonts w:ascii="Adobe Garamond Pro" w:hAnsi="Adobe Garamond Pro"/>
        </w:rPr>
        <w:t>st</w:t>
      </w:r>
      <w:r w:rsidRPr="008D215E">
        <w:rPr>
          <w:rFonts w:ascii="Adobe Garamond Pro" w:hAnsi="Adobe Garamond Pro"/>
        </w:rPr>
        <w:t xml:space="preserve"> column</w:t>
      </w:r>
      <w:r w:rsidRPr="008D215E">
        <w:rPr>
          <w:rFonts w:ascii="Adobe Garamond Pro" w:hAnsi="Adobe Garamond Pro"/>
        </w:rPr>
        <w:t xml:space="preserve"> because t</w:t>
      </w:r>
      <w:r w:rsidRPr="008D215E">
        <w:rPr>
          <w:rFonts w:ascii="Adobe Garamond Pro" w:hAnsi="Adobe Garamond Pro"/>
        </w:rPr>
        <w:t xml:space="preserve">his is a distribution of the </w:t>
      </w:r>
      <w:r w:rsidRPr="008D215E">
        <w:rPr>
          <w:rFonts w:ascii="Adobe Garamond Pro" w:hAnsi="Adobe Garamond Pro"/>
        </w:rPr>
        <w:t xml:space="preserve">crime rate </w:t>
      </w:r>
      <w:r w:rsidRPr="008D215E">
        <w:rPr>
          <w:rFonts w:ascii="Adobe Garamond Pro" w:hAnsi="Adobe Garamond Pro"/>
        </w:rPr>
        <w:t>variable alone. From this graph, it appears that Boston has a generally low crime rate for most areas, as indicated by the high frequency of areas with near-zero crime rates. However, there is a long tail to the right, which indicates that there are a few areas with a very high crime rate.</w:t>
      </w:r>
    </w:p>
    <w:p w14:paraId="57CB0070" w14:textId="77777777" w:rsidR="006025EA" w:rsidRPr="008D215E" w:rsidRDefault="006025EA" w:rsidP="006025EA">
      <w:pPr>
        <w:pStyle w:val="ListParagraph"/>
        <w:rPr>
          <w:rFonts w:ascii="Adobe Garamond Pro" w:hAnsi="Adobe Garamond Pro"/>
        </w:rPr>
      </w:pPr>
    </w:p>
    <w:p w14:paraId="7D5008A8" w14:textId="77777777" w:rsidR="006025EA" w:rsidRDefault="00A325AB" w:rsidP="006025EA">
      <w:pPr>
        <w:pStyle w:val="ListParagraph"/>
        <w:numPr>
          <w:ilvl w:val="0"/>
          <w:numId w:val="15"/>
        </w:numPr>
        <w:rPr>
          <w:rFonts w:ascii="Adobe Garamond Pro" w:hAnsi="Adobe Garamond Pro"/>
        </w:rPr>
      </w:pPr>
      <w:r w:rsidRPr="008D215E">
        <w:rPr>
          <w:rFonts w:ascii="Adobe Garamond Pro" w:hAnsi="Adobe Garamond Pro"/>
        </w:rPr>
        <w:t xml:space="preserve">I cannot provide an accurate answer to the question of what the average number of rooms per dwelling in Boston is because I only have access to a small histogram, not the original dataset. However, from </w:t>
      </w:r>
      <w:r w:rsidR="008A25C9" w:rsidRPr="008D215E">
        <w:rPr>
          <w:rFonts w:ascii="Adobe Garamond Pro" w:hAnsi="Adobe Garamond Pro"/>
        </w:rPr>
        <w:t xml:space="preserve">a cursory observation of the histogram, </w:t>
      </w:r>
      <w:r w:rsidR="008D215E" w:rsidRPr="008D215E">
        <w:rPr>
          <w:rFonts w:ascii="Adobe Garamond Pro" w:hAnsi="Adobe Garamond Pro"/>
        </w:rPr>
        <w:t>the</w:t>
      </w:r>
      <w:r w:rsidR="008A25C9" w:rsidRPr="008D215E">
        <w:rPr>
          <w:rFonts w:ascii="Adobe Garamond Pro" w:hAnsi="Adobe Garamond Pro"/>
        </w:rPr>
        <w:t xml:space="preserve"> average number of rooms per dwelling in Boston is approximately </w:t>
      </w:r>
      <w:r w:rsidR="001F7BA0">
        <w:rPr>
          <w:rFonts w:ascii="Adobe Garamond Pro" w:hAnsi="Adobe Garamond Pro"/>
        </w:rPr>
        <w:t>six</w:t>
      </w:r>
      <w:r w:rsidR="008A25C9" w:rsidRPr="008D215E">
        <w:rPr>
          <w:rFonts w:ascii="Adobe Garamond Pro" w:hAnsi="Adobe Garamond Pro"/>
        </w:rPr>
        <w:t>.</w:t>
      </w:r>
    </w:p>
    <w:p w14:paraId="026921D3" w14:textId="77777777" w:rsidR="006025EA" w:rsidRPr="006025EA" w:rsidRDefault="006025EA" w:rsidP="006025EA">
      <w:pPr>
        <w:pStyle w:val="ListParagraph"/>
        <w:rPr>
          <w:rFonts w:ascii="Adobe Garamond Pro" w:hAnsi="Adobe Garamond Pro"/>
        </w:rPr>
      </w:pPr>
    </w:p>
    <w:p w14:paraId="712317B5" w14:textId="52AACB8F" w:rsidR="00D5752E" w:rsidRPr="006025EA" w:rsidRDefault="00D5752E" w:rsidP="006025EA">
      <w:pPr>
        <w:pStyle w:val="ListParagraph"/>
        <w:numPr>
          <w:ilvl w:val="0"/>
          <w:numId w:val="15"/>
        </w:numPr>
        <w:rPr>
          <w:rFonts w:ascii="Adobe Garamond Pro" w:hAnsi="Adobe Garamond Pro"/>
        </w:rPr>
      </w:pPr>
      <w:r w:rsidRPr="006025EA">
        <w:rPr>
          <w:rFonts w:ascii="Adobe Garamond Pro" w:hAnsi="Adobe Garamond Pro"/>
        </w:rPr>
        <w:t>The correlation between Rooms per Dwelling and Median House Value is, as one would expect, a positive correlation.</w:t>
      </w:r>
    </w:p>
    <w:p w14:paraId="2C2AFA7D" w14:textId="77777777" w:rsidR="006025EA" w:rsidRPr="008D215E" w:rsidRDefault="006025EA" w:rsidP="006025EA">
      <w:pPr>
        <w:pStyle w:val="ListParagraph"/>
        <w:rPr>
          <w:rFonts w:ascii="Adobe Garamond Pro" w:hAnsi="Adobe Garamond Pro"/>
        </w:rPr>
      </w:pPr>
    </w:p>
    <w:p w14:paraId="2D1AD80F" w14:textId="5ABC7C8D" w:rsidR="006025EA" w:rsidRPr="006025EA" w:rsidRDefault="00E62B87" w:rsidP="006025EA">
      <w:pPr>
        <w:pStyle w:val="ListParagraph"/>
        <w:numPr>
          <w:ilvl w:val="0"/>
          <w:numId w:val="15"/>
        </w:numPr>
        <w:rPr>
          <w:rFonts w:ascii="Adobe Garamond Pro" w:hAnsi="Adobe Garamond Pro"/>
        </w:rPr>
      </w:pPr>
      <w:r w:rsidRPr="008D215E">
        <w:rPr>
          <w:rFonts w:ascii="Adobe Garamond Pro" w:hAnsi="Adobe Garamond Pro"/>
        </w:rPr>
        <w:t xml:space="preserve">The histogram in the </w:t>
      </w:r>
      <w:r w:rsidR="001F7BA0">
        <w:rPr>
          <w:rFonts w:ascii="Adobe Garamond Pro" w:hAnsi="Adobe Garamond Pro"/>
        </w:rPr>
        <w:t>third</w:t>
      </w:r>
      <w:r w:rsidR="00535489" w:rsidRPr="008D215E">
        <w:rPr>
          <w:rFonts w:ascii="Adobe Garamond Pro" w:hAnsi="Adobe Garamond Pro"/>
        </w:rPr>
        <w:t xml:space="preserve"> </w:t>
      </w:r>
      <w:r w:rsidRPr="008D215E">
        <w:rPr>
          <w:rFonts w:ascii="Adobe Garamond Pro" w:hAnsi="Adobe Garamond Pro"/>
        </w:rPr>
        <w:t xml:space="preserve">row, </w:t>
      </w:r>
      <w:r w:rsidR="001F7BA0">
        <w:rPr>
          <w:rFonts w:ascii="Adobe Garamond Pro" w:hAnsi="Adobe Garamond Pro"/>
        </w:rPr>
        <w:t>third</w:t>
      </w:r>
      <w:r w:rsidR="00535489" w:rsidRPr="008D215E">
        <w:rPr>
          <w:rFonts w:ascii="Adobe Garamond Pro" w:hAnsi="Adobe Garamond Pro"/>
        </w:rPr>
        <w:t xml:space="preserve"> </w:t>
      </w:r>
      <w:r w:rsidRPr="008D215E">
        <w:rPr>
          <w:rFonts w:ascii="Adobe Garamond Pro" w:hAnsi="Adobe Garamond Pro"/>
        </w:rPr>
        <w:t xml:space="preserve">column shows the distribution of the percentage of units built before 1940. A significant number of units have a high percentage (close to 100%), which suggests that </w:t>
      </w:r>
      <w:proofErr w:type="gramStart"/>
      <w:r w:rsidRPr="008D215E">
        <w:rPr>
          <w:rFonts w:ascii="Adobe Garamond Pro" w:hAnsi="Adobe Garamond Pro"/>
        </w:rPr>
        <w:t>the majority of</w:t>
      </w:r>
      <w:proofErr w:type="gramEnd"/>
      <w:r w:rsidRPr="008D215E">
        <w:rPr>
          <w:rFonts w:ascii="Adobe Garamond Pro" w:hAnsi="Adobe Garamond Pro"/>
        </w:rPr>
        <w:t xml:space="preserve"> the houses are relatively old.</w:t>
      </w:r>
    </w:p>
    <w:p w14:paraId="5C907665" w14:textId="77777777" w:rsidR="006025EA" w:rsidRPr="006025EA" w:rsidRDefault="006025EA" w:rsidP="006025EA">
      <w:pPr>
        <w:pStyle w:val="ListParagraph"/>
        <w:rPr>
          <w:rFonts w:ascii="Adobe Garamond Pro" w:hAnsi="Adobe Garamond Pro"/>
        </w:rPr>
      </w:pPr>
    </w:p>
    <w:p w14:paraId="6913B071" w14:textId="4675B965" w:rsidR="00E62B87" w:rsidRPr="008D215E" w:rsidRDefault="00E62B87" w:rsidP="008D215E">
      <w:pPr>
        <w:pStyle w:val="ListParagraph"/>
        <w:numPr>
          <w:ilvl w:val="0"/>
          <w:numId w:val="15"/>
        </w:numPr>
        <w:rPr>
          <w:rFonts w:ascii="Adobe Garamond Pro" w:hAnsi="Adobe Garamond Pro"/>
        </w:rPr>
      </w:pPr>
      <w:r w:rsidRPr="008D215E">
        <w:rPr>
          <w:rFonts w:ascii="Adobe Garamond Pro" w:hAnsi="Adobe Garamond Pro"/>
        </w:rPr>
        <w:t xml:space="preserve">There is </w:t>
      </w:r>
      <w:r w:rsidR="00EB6A67" w:rsidRPr="008D215E">
        <w:rPr>
          <w:rFonts w:ascii="Adobe Garamond Pro" w:hAnsi="Adobe Garamond Pro"/>
        </w:rPr>
        <w:t xml:space="preserve">a very weak negative correlation between the Percentage of Units built before 1940 and the Median House Value. </w:t>
      </w:r>
      <w:r w:rsidR="001F7BA0" w:rsidRPr="001F7BA0">
        <w:rPr>
          <w:rFonts w:ascii="Adobe Garamond Pro" w:hAnsi="Adobe Garamond Pro"/>
        </w:rPr>
        <w:t>The scatterplot in the third row, last column illustrates the relationship between the Percentage of Units built before 1940 and the Median House Value. The correlation appears to be slightly negative, indicating that areas with a higher percentage of older units tend to have a lower median house value, although this trend is not very strong.</w:t>
      </w:r>
    </w:p>
    <w:sectPr w:rsidR="00E62B87" w:rsidRPr="008D21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dobe Garamond Pro">
    <w:panose1 w:val="02020502060506020403"/>
    <w:charset w:val="00"/>
    <w:family w:val="roman"/>
    <w:notTrueType/>
    <w:pitch w:val="variable"/>
    <w:sig w:usb0="800000AF" w:usb1="5000205B" w:usb2="00000000" w:usb3="00000000" w:csb0="0000009B"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7F21"/>
    <w:multiLevelType w:val="hybridMultilevel"/>
    <w:tmpl w:val="B08A26AC"/>
    <w:lvl w:ilvl="0" w:tplc="14324554">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6A0DF3"/>
    <w:multiLevelType w:val="hybridMultilevel"/>
    <w:tmpl w:val="C1D4985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A123A7"/>
    <w:multiLevelType w:val="hybridMultilevel"/>
    <w:tmpl w:val="790E69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A87CAE"/>
    <w:multiLevelType w:val="hybridMultilevel"/>
    <w:tmpl w:val="C220D65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012540"/>
    <w:multiLevelType w:val="hybridMultilevel"/>
    <w:tmpl w:val="81425D70"/>
    <w:lvl w:ilvl="0" w:tplc="14324554">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C74205"/>
    <w:multiLevelType w:val="hybridMultilevel"/>
    <w:tmpl w:val="FCE2FAAC"/>
    <w:lvl w:ilvl="0" w:tplc="14324554">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6" w15:restartNumberingAfterBreak="0">
    <w:nsid w:val="206A3DE9"/>
    <w:multiLevelType w:val="hybridMultilevel"/>
    <w:tmpl w:val="CD024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9521CB"/>
    <w:multiLevelType w:val="hybridMultilevel"/>
    <w:tmpl w:val="35E4FE4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25881E6E"/>
    <w:multiLevelType w:val="hybridMultilevel"/>
    <w:tmpl w:val="4CB2D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18199C"/>
    <w:multiLevelType w:val="hybridMultilevel"/>
    <w:tmpl w:val="74EAA6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6E688C"/>
    <w:multiLevelType w:val="hybridMultilevel"/>
    <w:tmpl w:val="79181B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CB960E8"/>
    <w:multiLevelType w:val="hybridMultilevel"/>
    <w:tmpl w:val="3360308A"/>
    <w:lvl w:ilvl="0" w:tplc="1432455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3C42715"/>
    <w:multiLevelType w:val="hybridMultilevel"/>
    <w:tmpl w:val="E164685E"/>
    <w:lvl w:ilvl="0" w:tplc="E6BC7E46">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8DB6042"/>
    <w:multiLevelType w:val="hybridMultilevel"/>
    <w:tmpl w:val="8DA46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F00075B"/>
    <w:multiLevelType w:val="hybridMultilevel"/>
    <w:tmpl w:val="B71E99E2"/>
    <w:lvl w:ilvl="0" w:tplc="14324554">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0787247">
    <w:abstractNumId w:val="2"/>
  </w:num>
  <w:num w:numId="2" w16cid:durableId="2013952507">
    <w:abstractNumId w:val="1"/>
  </w:num>
  <w:num w:numId="3" w16cid:durableId="303047615">
    <w:abstractNumId w:val="3"/>
  </w:num>
  <w:num w:numId="4" w16cid:durableId="1865711491">
    <w:abstractNumId w:val="7"/>
  </w:num>
  <w:num w:numId="5" w16cid:durableId="1931543156">
    <w:abstractNumId w:val="13"/>
  </w:num>
  <w:num w:numId="6" w16cid:durableId="225183580">
    <w:abstractNumId w:val="12"/>
  </w:num>
  <w:num w:numId="7" w16cid:durableId="149104523">
    <w:abstractNumId w:val="10"/>
  </w:num>
  <w:num w:numId="8" w16cid:durableId="1335914737">
    <w:abstractNumId w:val="8"/>
  </w:num>
  <w:num w:numId="9" w16cid:durableId="1057970121">
    <w:abstractNumId w:val="11"/>
  </w:num>
  <w:num w:numId="10" w16cid:durableId="1533573615">
    <w:abstractNumId w:val="4"/>
  </w:num>
  <w:num w:numId="11" w16cid:durableId="272246195">
    <w:abstractNumId w:val="14"/>
  </w:num>
  <w:num w:numId="12" w16cid:durableId="1552962479">
    <w:abstractNumId w:val="5"/>
  </w:num>
  <w:num w:numId="13" w16cid:durableId="31655455">
    <w:abstractNumId w:val="0"/>
  </w:num>
  <w:num w:numId="14" w16cid:durableId="360478121">
    <w:abstractNumId w:val="6"/>
  </w:num>
  <w:num w:numId="15" w16cid:durableId="9337876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6B7"/>
    <w:rsid w:val="0000401D"/>
    <w:rsid w:val="0000565F"/>
    <w:rsid w:val="000275F0"/>
    <w:rsid w:val="00035A71"/>
    <w:rsid w:val="00041B61"/>
    <w:rsid w:val="0005102C"/>
    <w:rsid w:val="00072B42"/>
    <w:rsid w:val="00082AF7"/>
    <w:rsid w:val="00085F24"/>
    <w:rsid w:val="000A2222"/>
    <w:rsid w:val="000B1805"/>
    <w:rsid w:val="000F70FA"/>
    <w:rsid w:val="00131902"/>
    <w:rsid w:val="00161503"/>
    <w:rsid w:val="00176E88"/>
    <w:rsid w:val="00185E9A"/>
    <w:rsid w:val="001866D1"/>
    <w:rsid w:val="00192FBC"/>
    <w:rsid w:val="001B05C0"/>
    <w:rsid w:val="001B2C72"/>
    <w:rsid w:val="001B375E"/>
    <w:rsid w:val="001D14B3"/>
    <w:rsid w:val="001F7BA0"/>
    <w:rsid w:val="00214560"/>
    <w:rsid w:val="00260091"/>
    <w:rsid w:val="002609D8"/>
    <w:rsid w:val="00270ED1"/>
    <w:rsid w:val="0027162A"/>
    <w:rsid w:val="00285EF0"/>
    <w:rsid w:val="002A3928"/>
    <w:rsid w:val="002B5E7B"/>
    <w:rsid w:val="002B60FB"/>
    <w:rsid w:val="002B6E9F"/>
    <w:rsid w:val="00315C83"/>
    <w:rsid w:val="00334D58"/>
    <w:rsid w:val="00367588"/>
    <w:rsid w:val="00367B2C"/>
    <w:rsid w:val="00373E25"/>
    <w:rsid w:val="00374055"/>
    <w:rsid w:val="00384149"/>
    <w:rsid w:val="00397E25"/>
    <w:rsid w:val="003F114A"/>
    <w:rsid w:val="004012C5"/>
    <w:rsid w:val="004034E0"/>
    <w:rsid w:val="0043311A"/>
    <w:rsid w:val="004438DC"/>
    <w:rsid w:val="00445AD1"/>
    <w:rsid w:val="004A27D3"/>
    <w:rsid w:val="004B0E83"/>
    <w:rsid w:val="004B1A4A"/>
    <w:rsid w:val="004B5DAB"/>
    <w:rsid w:val="004B6B73"/>
    <w:rsid w:val="004D0FB5"/>
    <w:rsid w:val="004E36E1"/>
    <w:rsid w:val="00520F1C"/>
    <w:rsid w:val="00526A0E"/>
    <w:rsid w:val="00532858"/>
    <w:rsid w:val="00535107"/>
    <w:rsid w:val="00535489"/>
    <w:rsid w:val="00536F16"/>
    <w:rsid w:val="005709ED"/>
    <w:rsid w:val="00570C30"/>
    <w:rsid w:val="00574955"/>
    <w:rsid w:val="00584889"/>
    <w:rsid w:val="005A718B"/>
    <w:rsid w:val="005B1A6E"/>
    <w:rsid w:val="005B4689"/>
    <w:rsid w:val="005B58FA"/>
    <w:rsid w:val="005D6FF4"/>
    <w:rsid w:val="005E0637"/>
    <w:rsid w:val="005F2BA1"/>
    <w:rsid w:val="006025EA"/>
    <w:rsid w:val="006204A4"/>
    <w:rsid w:val="0062276E"/>
    <w:rsid w:val="006305C3"/>
    <w:rsid w:val="0065021D"/>
    <w:rsid w:val="00650411"/>
    <w:rsid w:val="006558F3"/>
    <w:rsid w:val="006A1C8C"/>
    <w:rsid w:val="006A3A13"/>
    <w:rsid w:val="006C1C94"/>
    <w:rsid w:val="006C28E6"/>
    <w:rsid w:val="006D1CE0"/>
    <w:rsid w:val="006D4A72"/>
    <w:rsid w:val="0072163B"/>
    <w:rsid w:val="0072287F"/>
    <w:rsid w:val="007461CC"/>
    <w:rsid w:val="0074691E"/>
    <w:rsid w:val="00755375"/>
    <w:rsid w:val="007624E5"/>
    <w:rsid w:val="007637C6"/>
    <w:rsid w:val="00764751"/>
    <w:rsid w:val="007730EC"/>
    <w:rsid w:val="00797DF1"/>
    <w:rsid w:val="007F0647"/>
    <w:rsid w:val="007F2BBF"/>
    <w:rsid w:val="00800CFB"/>
    <w:rsid w:val="00844286"/>
    <w:rsid w:val="00875234"/>
    <w:rsid w:val="00895070"/>
    <w:rsid w:val="008A25C9"/>
    <w:rsid w:val="008C3A8E"/>
    <w:rsid w:val="008C7C92"/>
    <w:rsid w:val="008D0BDC"/>
    <w:rsid w:val="008D10CE"/>
    <w:rsid w:val="008D215E"/>
    <w:rsid w:val="008F322F"/>
    <w:rsid w:val="009073EB"/>
    <w:rsid w:val="0094443E"/>
    <w:rsid w:val="00953B16"/>
    <w:rsid w:val="009738A4"/>
    <w:rsid w:val="009A74F0"/>
    <w:rsid w:val="009C0883"/>
    <w:rsid w:val="009E2495"/>
    <w:rsid w:val="009F4752"/>
    <w:rsid w:val="00A070EE"/>
    <w:rsid w:val="00A13D6C"/>
    <w:rsid w:val="00A255A9"/>
    <w:rsid w:val="00A325AB"/>
    <w:rsid w:val="00A81636"/>
    <w:rsid w:val="00A908BC"/>
    <w:rsid w:val="00AB2336"/>
    <w:rsid w:val="00AE5F8C"/>
    <w:rsid w:val="00AF07E3"/>
    <w:rsid w:val="00B15606"/>
    <w:rsid w:val="00B26750"/>
    <w:rsid w:val="00B33951"/>
    <w:rsid w:val="00B54AA9"/>
    <w:rsid w:val="00B75BF7"/>
    <w:rsid w:val="00B938DD"/>
    <w:rsid w:val="00C02AB7"/>
    <w:rsid w:val="00C2792B"/>
    <w:rsid w:val="00C51482"/>
    <w:rsid w:val="00C64990"/>
    <w:rsid w:val="00C65783"/>
    <w:rsid w:val="00CD1262"/>
    <w:rsid w:val="00D23B3C"/>
    <w:rsid w:val="00D5752E"/>
    <w:rsid w:val="00D62B44"/>
    <w:rsid w:val="00D9193C"/>
    <w:rsid w:val="00DA39C8"/>
    <w:rsid w:val="00DA6310"/>
    <w:rsid w:val="00DC7633"/>
    <w:rsid w:val="00DD5E29"/>
    <w:rsid w:val="00E01645"/>
    <w:rsid w:val="00E14266"/>
    <w:rsid w:val="00E174A0"/>
    <w:rsid w:val="00E348BD"/>
    <w:rsid w:val="00E37369"/>
    <w:rsid w:val="00E47C06"/>
    <w:rsid w:val="00E526EB"/>
    <w:rsid w:val="00E616F3"/>
    <w:rsid w:val="00E62AA6"/>
    <w:rsid w:val="00E62B87"/>
    <w:rsid w:val="00E7126E"/>
    <w:rsid w:val="00E92976"/>
    <w:rsid w:val="00E95603"/>
    <w:rsid w:val="00E97CE0"/>
    <w:rsid w:val="00EB6A67"/>
    <w:rsid w:val="00ED00C5"/>
    <w:rsid w:val="00EE7257"/>
    <w:rsid w:val="00F026B7"/>
    <w:rsid w:val="00F370F1"/>
    <w:rsid w:val="00F457CA"/>
    <w:rsid w:val="00F5147A"/>
    <w:rsid w:val="00F84F7B"/>
    <w:rsid w:val="00F9673E"/>
    <w:rsid w:val="00FD2206"/>
    <w:rsid w:val="00FE31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EEB0C"/>
  <w15:chartTrackingRefBased/>
  <w15:docId w15:val="{86F69DD8-912F-40FC-A945-4A7CA3BA6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6B7"/>
    <w:pPr>
      <w:ind w:left="720"/>
      <w:contextualSpacing/>
    </w:pPr>
  </w:style>
  <w:style w:type="character" w:styleId="Hyperlink">
    <w:name w:val="Hyperlink"/>
    <w:basedOn w:val="DefaultParagraphFont"/>
    <w:uiPriority w:val="99"/>
    <w:unhideWhenUsed/>
    <w:rsid w:val="007F2BBF"/>
    <w:rPr>
      <w:color w:val="0563C1" w:themeColor="hyperlink"/>
      <w:u w:val="single"/>
    </w:rPr>
  </w:style>
  <w:style w:type="character" w:styleId="UnresolvedMention">
    <w:name w:val="Unresolved Mention"/>
    <w:basedOn w:val="DefaultParagraphFont"/>
    <w:uiPriority w:val="99"/>
    <w:semiHidden/>
    <w:unhideWhenUsed/>
    <w:rsid w:val="007F2B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04277">
      <w:bodyDiv w:val="1"/>
      <w:marLeft w:val="0"/>
      <w:marRight w:val="0"/>
      <w:marTop w:val="0"/>
      <w:marBottom w:val="0"/>
      <w:divBdr>
        <w:top w:val="none" w:sz="0" w:space="0" w:color="auto"/>
        <w:left w:val="none" w:sz="0" w:space="0" w:color="auto"/>
        <w:bottom w:val="none" w:sz="0" w:space="0" w:color="auto"/>
        <w:right w:val="none" w:sz="0" w:space="0" w:color="auto"/>
      </w:divBdr>
    </w:div>
    <w:div w:id="979455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oltzy/data_to_viz/blob/master/Example_dataset/9_OneNumSevCatSubgroupOneOb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s.oecd.org/index.aspx?queryid=54751" TargetMode="Externa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olive\Downloads\4618b18c-bd25-4ac9-b1fc-e7b9f033d8f5.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dobe Garamond Pro" panose="02020502060506020403" pitchFamily="18" charset="0"/>
                <a:ea typeface="+mn-ea"/>
                <a:cs typeface="+mn-cs"/>
              </a:defRPr>
            </a:pPr>
            <a:r>
              <a:rPr lang="en-US">
                <a:latin typeface="Adobe Garamond Pro" panose="02020502060506020403" pitchFamily="18" charset="0"/>
              </a:rPr>
              <a:t>OECD</a:t>
            </a:r>
            <a:r>
              <a:rPr lang="en-US" baseline="0">
                <a:latin typeface="Adobe Garamond Pro" panose="02020502060506020403" pitchFamily="18" charset="0"/>
              </a:rPr>
              <a:t> Gender Wage Gap at Median, 2015</a:t>
            </a:r>
            <a:endParaRPr lang="en-US">
              <a:latin typeface="Adobe Garamond Pro" panose="02020502060506020403"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dobe Garamond Pro" panose="02020502060506020403" pitchFamily="18" charset="0"/>
              <a:ea typeface="+mn-ea"/>
              <a:cs typeface="+mn-cs"/>
            </a:defRPr>
          </a:pPr>
          <a:endParaRPr lang="en-US"/>
        </a:p>
      </c:txPr>
    </c:title>
    <c:autoTitleDeleted val="0"/>
    <c:plotArea>
      <c:layout/>
      <c:barChart>
        <c:barDir val="col"/>
        <c:grouping val="clustered"/>
        <c:varyColors val="0"/>
        <c:ser>
          <c:idx val="0"/>
          <c:order val="0"/>
          <c:tx>
            <c:strRef>
              <c:f>'9_OneNumSevCatSubgroupOneObs'!$P$1</c:f>
              <c:strCache>
                <c:ptCount val="1"/>
                <c:pt idx="0">
                  <c:v>2015 OECD</c:v>
                </c:pt>
              </c:strCache>
            </c:strRef>
          </c:tx>
          <c:spPr>
            <a:solidFill>
              <a:schemeClr val="accent1"/>
            </a:solidFill>
            <a:ln>
              <a:noFill/>
            </a:ln>
            <a:effectLst/>
          </c:spPr>
          <c:invertIfNegative val="0"/>
          <c:cat>
            <c:strRef>
              <c:f>'9_OneNumSevCatSubgroupOneObs'!$O$2:$O$23</c:f>
              <c:strCache>
                <c:ptCount val="22"/>
                <c:pt idx="0">
                  <c:v>Belgium</c:v>
                </c:pt>
                <c:pt idx="1">
                  <c:v>Denmark</c:v>
                </c:pt>
                <c:pt idx="2">
                  <c:v>Norway</c:v>
                </c:pt>
                <c:pt idx="3">
                  <c:v>New Zealand</c:v>
                </c:pt>
                <c:pt idx="4">
                  <c:v>Costa Rica</c:v>
                </c:pt>
                <c:pt idx="5">
                  <c:v>Hungary</c:v>
                </c:pt>
                <c:pt idx="6">
                  <c:v>Australia</c:v>
                </c:pt>
                <c:pt idx="7">
                  <c:v>Slovak Republic</c:v>
                </c:pt>
                <c:pt idx="8">
                  <c:v>OECD - Average</c:v>
                </c:pt>
                <c:pt idx="9">
                  <c:v>Colombia</c:v>
                </c:pt>
                <c:pt idx="10">
                  <c:v>Chile</c:v>
                </c:pt>
                <c:pt idx="11">
                  <c:v>Germany</c:v>
                </c:pt>
                <c:pt idx="12">
                  <c:v>Czech Republic</c:v>
                </c:pt>
                <c:pt idx="13">
                  <c:v>Mexico</c:v>
                </c:pt>
                <c:pt idx="14">
                  <c:v>Austria</c:v>
                </c:pt>
                <c:pt idx="15">
                  <c:v>United Kingdom</c:v>
                </c:pt>
                <c:pt idx="16">
                  <c:v>Finland</c:v>
                </c:pt>
                <c:pt idx="17">
                  <c:v>Canada</c:v>
                </c:pt>
                <c:pt idx="18">
                  <c:v>United States</c:v>
                </c:pt>
                <c:pt idx="19">
                  <c:v>Israel</c:v>
                </c:pt>
                <c:pt idx="20">
                  <c:v>Japan</c:v>
                </c:pt>
                <c:pt idx="21">
                  <c:v>Korea</c:v>
                </c:pt>
              </c:strCache>
            </c:strRef>
          </c:cat>
          <c:val>
            <c:numRef>
              <c:f>'9_OneNumSevCatSubgroupOneObs'!$P$2:$P$23</c:f>
              <c:numCache>
                <c:formatCode>General</c:formatCode>
                <c:ptCount val="22"/>
                <c:pt idx="0">
                  <c:v>4.7</c:v>
                </c:pt>
                <c:pt idx="1">
                  <c:v>5.8</c:v>
                </c:pt>
                <c:pt idx="2">
                  <c:v>7</c:v>
                </c:pt>
                <c:pt idx="3">
                  <c:v>7.9</c:v>
                </c:pt>
                <c:pt idx="4">
                  <c:v>9.1</c:v>
                </c:pt>
                <c:pt idx="5">
                  <c:v>9.5</c:v>
                </c:pt>
                <c:pt idx="6">
                  <c:v>13.3</c:v>
                </c:pt>
                <c:pt idx="7">
                  <c:v>13.4</c:v>
                </c:pt>
                <c:pt idx="8">
                  <c:v>13.9</c:v>
                </c:pt>
                <c:pt idx="9">
                  <c:v>14.2</c:v>
                </c:pt>
                <c:pt idx="10">
                  <c:v>14.3</c:v>
                </c:pt>
                <c:pt idx="11">
                  <c:v>16.100000000000001</c:v>
                </c:pt>
                <c:pt idx="12">
                  <c:v>16.5</c:v>
                </c:pt>
                <c:pt idx="13">
                  <c:v>16.7</c:v>
                </c:pt>
                <c:pt idx="14">
                  <c:v>17</c:v>
                </c:pt>
                <c:pt idx="15">
                  <c:v>17.100000000000001</c:v>
                </c:pt>
                <c:pt idx="16">
                  <c:v>18.100000000000001</c:v>
                </c:pt>
                <c:pt idx="17">
                  <c:v>18.7</c:v>
                </c:pt>
                <c:pt idx="18">
                  <c:v>18.899999999999999</c:v>
                </c:pt>
                <c:pt idx="19">
                  <c:v>20.399999999999999</c:v>
                </c:pt>
                <c:pt idx="20">
                  <c:v>25.7</c:v>
                </c:pt>
                <c:pt idx="21">
                  <c:v>37.200000000000003</c:v>
                </c:pt>
              </c:numCache>
            </c:numRef>
          </c:val>
          <c:extLst>
            <c:ext xmlns:c16="http://schemas.microsoft.com/office/drawing/2014/chart" uri="{C3380CC4-5D6E-409C-BE32-E72D297353CC}">
              <c16:uniqueId val="{00000000-E6E1-49BD-8A73-9496D892364D}"/>
            </c:ext>
          </c:extLst>
        </c:ser>
        <c:dLbls>
          <c:showLegendKey val="0"/>
          <c:showVal val="0"/>
          <c:showCatName val="0"/>
          <c:showSerName val="0"/>
          <c:showPercent val="0"/>
          <c:showBubbleSize val="0"/>
        </c:dLbls>
        <c:gapWidth val="219"/>
        <c:overlap val="-27"/>
        <c:axId val="1812207743"/>
        <c:axId val="795846063"/>
      </c:barChart>
      <c:catAx>
        <c:axId val="18122077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dobe Garamond Pro" panose="02020502060506020403" pitchFamily="18" charset="0"/>
                <a:ea typeface="+mn-ea"/>
                <a:cs typeface="+mn-cs"/>
              </a:defRPr>
            </a:pPr>
            <a:endParaRPr lang="en-US"/>
          </a:p>
        </c:txPr>
        <c:crossAx val="795846063"/>
        <c:crosses val="autoZero"/>
        <c:auto val="1"/>
        <c:lblAlgn val="ctr"/>
        <c:lblOffset val="100"/>
        <c:noMultiLvlLbl val="0"/>
      </c:catAx>
      <c:valAx>
        <c:axId val="7958460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22077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3</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Boyd</dc:creator>
  <cp:keywords/>
  <dc:description/>
  <cp:lastModifiedBy>Oliver Boyd</cp:lastModifiedBy>
  <cp:revision>47</cp:revision>
  <dcterms:created xsi:type="dcterms:W3CDTF">2024-01-30T03:44:00Z</dcterms:created>
  <dcterms:modified xsi:type="dcterms:W3CDTF">2024-02-06T05:43:00Z</dcterms:modified>
</cp:coreProperties>
</file>