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 (по истории 12.06-21.09). </w:t>
      </w:r>
      <w:r>
        <w:t xml:space="preserve">Участие в акциях до 23.09 не записывалось, поэтому взяли резкие скачки цены для покупателя у товаров без рекламы (около половины из них - вход или выход из акции, остальное - наша цена или доплата OZON). Снижение цены для покупателя примерно на 14% (907 случаев) давало на один товар в неделю около +107 показов в поиске (база 512) и +0,5 корзины (база 1,8) сверх магазина; заказов прибавка почти не видна (0,13 -&gt; 0,15 в неделю, и до скачка заказы падали). Рост цены примерно на 35% (685 случаев): -91 показ и -1 корзина в неделю на товар, заказы падали заметно. Позиция в поиске в обоих случаях не менялась. Для сравнения: дешёвая реклама за клик в тесте 1 давала около +2 400 показов в неделю на товар. Акция работает прежде всего через цену для покупателя, показов она прибавляет немного [ГИПОТЕЗА: восстановлено косвенно, проверим по ежедневным снимкам].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2026-10-12T12:08:32.879Z</dcterms:created>
  <dcterms:modified xsi:type="dcterms:W3CDTF">2026-10-12T12:08:32.879Z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