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Data Protection Impact Assessment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Article 35 GDPR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 Activity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DPIA-YYYY-NNN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</w:tr>
    </w:tbl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with DPIA Sentinel — Not legal advice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24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Disclaimer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This Data Protection Impact Assessment was prepared with AI-assisted guidance (DPIA Sentinel). It does not constitute legal advice. All assessments, decisions, and sign-offs are the responsibility of the individuals identified herein. Involve your Data Protection Officer (Art. 35(2) GDPR) and qualified legal counsel for all final decisions.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pStyle w:val="Heading2"/>
      </w:pPr>
      <w:r>
        <w:rPr>
          <w:rFonts w:ascii="Arial" w:cs="Arial" w:eastAsia="Arial" w:hAnsi="Arial"/>
        </w:rPr>
        <w:t xml:space="preserve">1.1 Processing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[2–3 paragraph plain-language description of the processing activity]</w:t>
      </w:r>
    </w:p>
    <w:p>
      <w:pPr>
        <w:pStyle w:val="Heading2"/>
      </w:pPr>
      <w:r>
        <w:rPr>
          <w:rFonts w:ascii="Arial" w:cs="Arial" w:eastAsia="Arial" w:hAnsi="Arial"/>
        </w:rPr>
        <w:t xml:space="preserve">1.2 Key Findings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[Top risks identified and overall risk position]</w:t>
      </w:r>
    </w:p>
    <w:p>
      <w:pPr>
        <w:pStyle w:val="Heading2"/>
      </w:pPr>
      <w:r>
        <w:rPr>
          <w:rFonts w:ascii="Arial" w:cs="Arial" w:eastAsia="Arial" w:hAnsi="Arial"/>
        </w:rPr>
        <w:t xml:space="preserve">1.3 Recommendation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Verdict options: APPROVED / CONDITIONALLY APPROVED / CONSULT SA / REJECTED</w:t>
      </w:r>
    </w:p>
    <w:p>
      <w:pPr>
        <w:pStyle w:val="Heading2"/>
      </w:pPr>
      <w:r>
        <w:rPr>
          <w:rFonts w:ascii="Arial" w:cs="Arial" w:eastAsia="Arial" w:hAnsi="Arial"/>
        </w:rPr>
        <w:t xml:space="preserve">1.4 DPO Opinion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[DPO recommendation summary]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Threshold Assessment</w:t>
      </w:r>
    </w:p>
    <w:p>
      <w:pPr>
        <w:pStyle w:val="Heading2"/>
      </w:pPr>
      <w:r>
        <w:rPr>
          <w:rFonts w:ascii="Arial" w:cs="Arial" w:eastAsia="Arial" w:hAnsi="Arial"/>
        </w:rPr>
        <w:t xml:space="preserve">2.1 Art. 35(3) Mandatory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326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Applies?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(a) Systematic/extensive automated evaluation with legal/significant effect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(b) Large-scale processing of special categories (Art. 9) or criminal data (Art. 10)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(c) Systematic monitoring of publicly accessible area on large scale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EDPB Nine-Criteria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000"/>
        <w:gridCol w:w="4826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Met?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 or scoring (incl. profiling and predicting)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Automated decision-making with legal/significant effect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Systematic monitoring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Sensitive data or data of highly personal nature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processed on a large scale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Matching or combining datasets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concerning vulnerable data subjects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Innovative use or applying new technological/organisational solutions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 prevents data subjects from exercising a right/using a service/contract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Criteria met: ____ / 9</w:t>
      </w:r>
    </w:p>
    <w:p>
      <w:pPr>
        <w:pStyle w:val="Heading2"/>
      </w:pPr>
      <w:r>
        <w:rPr>
          <w:rFonts w:ascii="Arial" w:cs="Arial" w:eastAsia="Arial" w:hAnsi="Arial"/>
        </w:rPr>
        <w:t xml:space="preserve">2.3 Jurisdictional Scope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1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Relevant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Blacklist Checked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Match?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Reference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Consolidated Threshold Conclusion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[Why DPIA was conducted; which jurisdictional triggers apply]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Systematic Description (Art. 35(7)(a))</w:t>
      </w:r>
    </w:p>
    <w:p>
      <w:pPr>
        <w:pStyle w:val="Heading2"/>
      </w:pPr>
      <w:r>
        <w:rPr>
          <w:rFonts w:ascii="Arial" w:cs="Arial" w:eastAsia="Arial" w:hAnsi="Arial"/>
        </w:rPr>
        <w:t xml:space="preserve">3.1 Controller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 name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DPO name / contact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Representative (if applicable)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Purposes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[Processing purposes]</w:t>
      </w:r>
    </w:p>
    <w:p>
      <w:pPr>
        <w:pStyle w:val="Heading2"/>
      </w:pPr>
      <w:r>
        <w:rPr>
          <w:rFonts w:ascii="Arial" w:cs="Arial" w:eastAsia="Arial" w:hAnsi="Arial"/>
        </w:rPr>
        <w:t xml:space="preserve">3.3 Legal Basis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Art. 6 Basis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Art. 9(2) exception (if applicable): ____</w:t>
      </w:r>
    </w:p>
    <w:p>
      <w:pPr>
        <w:pStyle w:val="Heading2"/>
      </w:pPr>
      <w:r>
        <w:rPr>
          <w:rFonts w:ascii="Arial" w:cs="Arial" w:eastAsia="Arial" w:hAnsi="Arial"/>
        </w:rPr>
        <w:t xml:space="preserve">3.4 Data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(Art. 9)?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3.5 Data Subjects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Vulnerable?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Approximate Number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3.6 Data Sources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[Where data is collected from]</w:t>
      </w:r>
    </w:p>
    <w:p>
      <w:pPr>
        <w:pStyle w:val="Heading2"/>
      </w:pPr>
      <w:r>
        <w:rPr>
          <w:rFonts w:ascii="Arial" w:cs="Arial" w:eastAsia="Arial" w:hAnsi="Arial"/>
        </w:rPr>
        <w:t xml:space="preserve">3.7 Data Flow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[Collection → Storage → Processing → Sharing → Deletion]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[[Data flow diagram placeholder — insert or attach]]</w:t>
      </w:r>
    </w:p>
    <w:p>
      <w:pPr>
        <w:pStyle w:val="Heading2"/>
      </w:pPr>
      <w:r>
        <w:rPr>
          <w:rFonts w:ascii="Arial" w:cs="Arial" w:eastAsia="Arial" w:hAnsi="Arial"/>
        </w:rPr>
        <w:t xml:space="preserve">3.8 Technology and Systems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[Systems, platforms, algorithms involved]</w:t>
      </w:r>
    </w:p>
    <w:p>
      <w:pPr>
        <w:pStyle w:val="Heading2"/>
      </w:pPr>
      <w:r>
        <w:rPr>
          <w:rFonts w:ascii="Arial" w:cs="Arial" w:eastAsia="Arial" w:hAnsi="Arial"/>
        </w:rPr>
        <w:t xml:space="preserve">3.9 Recipients, Processors, Sub-processors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Transfer Mechanism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3.10 International Transfers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[Transfer mechanisms, adequacy decisions, supplementary measures]</w:t>
      </w:r>
    </w:p>
    <w:p>
      <w:pPr>
        <w:pStyle w:val="Heading2"/>
      </w:pPr>
      <w:r>
        <w:rPr>
          <w:rFonts w:ascii="Arial" w:cs="Arial" w:eastAsia="Arial" w:hAnsi="Arial"/>
        </w:rPr>
        <w:t xml:space="preserve">3.11 Retention Periods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3.12 Data Subject Rights Implementation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[How Arts. 12–22 rights are facilitated]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Necessity and Proportionality (Art. 35(7)(b))</w:t>
      </w:r>
    </w:p>
    <w:p>
      <w:pPr>
        <w:pStyle w:val="Heading2"/>
      </w:pPr>
      <w:r>
        <w:rPr>
          <w:rFonts w:ascii="Arial" w:cs="Arial" w:eastAsia="Arial" w:hAnsi="Arial"/>
        </w:rPr>
        <w:t xml:space="preserve">4.1 Necessity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[Is each data element necessary? Is processing effective for stated purpose?]</w:t>
      </w:r>
    </w:p>
    <w:p>
      <w:pPr>
        <w:pStyle w:val="Heading2"/>
      </w:pPr>
      <w:r>
        <w:rPr>
          <w:rFonts w:ascii="Arial" w:cs="Arial" w:eastAsia="Arial" w:hAnsi="Arial"/>
        </w:rPr>
        <w:t xml:space="preserve">4.2 Proportionality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[Benefits vs. intrusion analysis; less invasive alternatives considered?]</w:t>
      </w:r>
    </w:p>
    <w:p>
      <w:pPr>
        <w:pStyle w:val="Heading2"/>
      </w:pPr>
      <w:r>
        <w:rPr>
          <w:rFonts w:ascii="Arial" w:cs="Arial" w:eastAsia="Arial" w:hAnsi="Arial"/>
        </w:rPr>
        <w:t xml:space="preserve">4.3 Legal Basis Adequacy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[LIA balancing test (if legitimate interest); consent validity (if consent)]</w:t>
      </w:r>
    </w:p>
    <w:p>
      <w:pPr>
        <w:pStyle w:val="Heading2"/>
      </w:pPr>
      <w:r>
        <w:rPr>
          <w:rFonts w:ascii="Arial" w:cs="Arial" w:eastAsia="Arial" w:hAnsi="Arial"/>
        </w:rPr>
        <w:t xml:space="preserve">4.4 Data Minimisation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[Assessment of data minimisation compliance]</w:t>
      </w:r>
    </w:p>
    <w:p>
      <w:pPr>
        <w:pStyle w:val="Heading2"/>
      </w:pPr>
      <w:r>
        <w:rPr>
          <w:rFonts w:ascii="Arial" w:cs="Arial" w:eastAsia="Arial" w:hAnsi="Arial"/>
        </w:rPr>
        <w:t xml:space="preserve">4.5 Conclusion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[Necessity and proportionality verdict — must pass before proceeding to risk assessment]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Risk Assessment (Art. 35(7)(c))</w:t>
      </w:r>
    </w:p>
    <w:p>
      <w:pPr>
        <w:pStyle w:val="Heading2"/>
      </w:pPr>
      <w:r>
        <w:rPr>
          <w:rFonts w:ascii="Arial" w:cs="Arial" w:eastAsia="Arial" w:hAnsi="Arial"/>
        </w:rPr>
        <w:t xml:space="preserve">5.1 Methodology Statement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assessment uses a 5×5 likelihood × severity matrix, scored from the data subject's perspective per EDPB WP 248 rev.01. Risks are classified into two tracks: Track A (inherent-by-design — risks from processing working as intended) and Track B (operational — risks from accidental, unlawful, or abnormal events). Modulating factors may adjust the raw risk level ±1 tier with documented justification.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Risk levels: Low (1–4), Medium (5–9), High (10–16), Very High (17–25).</w:t>
      </w:r>
    </w:p>
    <w:p>
      <w:pPr>
        <w:pStyle w:val="Heading2"/>
      </w:pPr>
      <w:r>
        <w:rPr>
          <w:rFonts w:ascii="Arial" w:cs="Arial" w:eastAsia="Arial" w:hAnsi="Arial"/>
        </w:rPr>
        <w:t xml:space="preserve">5.2 Inherent Risk Register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2200"/>
        <w:gridCol w:w="1200"/>
        <w:gridCol w:w="400"/>
        <w:gridCol w:w="400"/>
        <w:gridCol w:w="500"/>
        <w:gridCol w:w="1826"/>
        <w:gridCol w:w="13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Rights Category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Modulating Factors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Adjusted Level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Risk Heat 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6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\ 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– Negligible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– Limited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– Significant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– Severe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– Maximum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[[Plot Risk IDs into cells matching their L×S coordinates]]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Mitigation Measures (Art. 35(7)(d))</w:t>
      </w:r>
    </w:p>
    <w:p>
      <w:pPr>
        <w:pStyle w:val="Heading2"/>
      </w:pPr>
      <w:r>
        <w:rPr>
          <w:rFonts w:ascii="Arial" w:cs="Arial" w:eastAsia="Arial" w:hAnsi="Arial"/>
        </w:rPr>
        <w:t xml:space="preserve">6.1 Measures by Risk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900"/>
        <w:gridCol w:w="650"/>
        <w:gridCol w:w="1800"/>
        <w:gridCol w:w="700"/>
        <w:gridCol w:w="800"/>
        <w:gridCol w:w="500"/>
        <w:gridCol w:w="500"/>
        <w:gridCol w:w="650"/>
        <w:gridCol w:w="876"/>
      </w:tblGrid>
      <w:tr>
        <w:trPr>
          <w:tblHeader/>
        </w:trPr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Inherent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Res. L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Res. S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Res. Score</w:t>
            </w:r>
          </w:p>
        </w:tc>
        <w:tc>
          <w:tcPr>
            <w:tcW w:type="dxa" w:w="8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Res. Level</w:t>
            </w:r>
          </w:p>
        </w:tc>
      </w:tr>
      <w:tr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8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Type: Tech = Technical, Org = Organisational, Legal = Legal/Contractual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Status: Planned / Partially Implemented / Implemented</w:t>
      </w:r>
    </w:p>
    <w:p>
      <w:pPr>
        <w:pStyle w:val="Heading2"/>
      </w:pPr>
      <w:r>
        <w:rPr>
          <w:rFonts w:ascii="Arial" w:cs="Arial" w:eastAsia="Arial" w:hAnsi="Arial"/>
        </w:rPr>
        <w:t xml:space="preserve">6.2 Technical Measures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[Detailed description of technical measures]</w:t>
      </w:r>
    </w:p>
    <w:p>
      <w:pPr>
        <w:pStyle w:val="Heading2"/>
      </w:pPr>
      <w:r>
        <w:rPr>
          <w:rFonts w:ascii="Arial" w:cs="Arial" w:eastAsia="Arial" w:hAnsi="Arial"/>
        </w:rPr>
        <w:t xml:space="preserve">6.3 Organisational Measures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[Detailed description of organisational measures]</w:t>
      </w:r>
    </w:p>
    <w:p>
      <w:pPr>
        <w:pStyle w:val="Heading2"/>
      </w:pPr>
      <w:r>
        <w:rPr>
          <w:rFonts w:ascii="Arial" w:cs="Arial" w:eastAsia="Arial" w:hAnsi="Arial"/>
        </w:rPr>
        <w:t xml:space="preserve">6.4 Legal/Contractual Measures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[Detailed description of legal/contractual measures]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Residual Risk</w:t>
      </w:r>
    </w:p>
    <w:p>
      <w:pPr>
        <w:pStyle w:val="Heading2"/>
      </w:pPr>
      <w:r>
        <w:rPr>
          <w:rFonts w:ascii="Arial" w:cs="Arial" w:eastAsia="Arial" w:hAnsi="Arial"/>
        </w:rPr>
        <w:t xml:space="preserve">7.1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Residual Risk Heat 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6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\ 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– Negligible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– Limited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– Significant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– Severe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– Maximum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[[Plot residual Risk IDs into cells matching their residual L×S coordinates]]</w:t>
      </w:r>
    </w:p>
    <w:p>
      <w:pPr>
        <w:pStyle w:val="Heading2"/>
      </w:pPr>
      <w:r>
        <w:rPr>
          <w:rFonts w:ascii="Arial" w:cs="Arial" w:eastAsia="Arial" w:hAnsi="Arial"/>
        </w:rPr>
        <w:t xml:space="preserve">7.3 Overall 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 Justification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[Detailed justification for the overall residual risk position]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Art. 36 Prior Consultation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[Decision: Prior consultation required? YES / NO]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[If YES: Which residual risks require consultation? What is the Art. 36(3) submission?]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[If NO: Justification for why residual risk is acceptable without SA consultation]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DPO Opinion (Art. 35(2))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DPO Name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DPO Recommendation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Concerns Raised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 Response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Divergence from DPO Advice?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Data Subject Consultation (Art. 35(9))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[Decision: Consultation conducted? YES / NO]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[If YES: Methodology and findings]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[If NO: Justification for why consultation was not appropriate]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Review and Monitoring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Owner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Mandatory review triggers: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[Material change in processing / New technology / Security incident / New legislation / 12 months elapsed]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Approval and Sign-Off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DPIA Author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Protection Officer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 Owner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Management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Annexes</w:t>
      </w:r>
    </w:p>
    <w:p>
      <w:pPr>
        <w:pStyle w:val="Heading2"/>
      </w:pPr>
      <w:r>
        <w:rPr>
          <w:rFonts w:ascii="Arial" w:cs="Arial" w:eastAsia="Arial" w:hAnsi="Arial"/>
        </w:rPr>
        <w:t xml:space="preserve">Annex A: Data Flow Diagram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[[Insert or attach data flow diagram]]</w:t>
      </w:r>
    </w:p>
    <w:p>
      <w:pPr>
        <w:pStyle w:val="Heading2"/>
      </w:pPr>
      <w:r>
        <w:rPr>
          <w:rFonts w:ascii="Arial" w:cs="Arial" w:eastAsia="Arial" w:hAnsi="Arial"/>
        </w:rPr>
        <w:t xml:space="preserve">Annex B: ROPA Extract (Art. 30)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[[Insert relevant Record of Processing Activities extract]]</w:t>
      </w:r>
    </w:p>
    <w:p>
      <w:pPr>
        <w:pStyle w:val="Heading2"/>
      </w:pPr>
      <w:r>
        <w:rPr>
          <w:rFonts w:ascii="Arial" w:cs="Arial" w:eastAsia="Arial" w:hAnsi="Arial"/>
        </w:rPr>
        <w:t xml:space="preserve">Annex C: Legal Basis Documentation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[[LIA balancing test, consent records, or other legal basis documentation]]</w:t>
      </w:r>
    </w:p>
    <w:p>
      <w:pPr>
        <w:pStyle w:val="Heading2"/>
      </w:pPr>
      <w:r>
        <w:rPr>
          <w:rFonts w:ascii="Arial" w:cs="Arial" w:eastAsia="Arial" w:hAnsi="Arial"/>
        </w:rPr>
        <w:t xml:space="preserve">Annex D: Reference Documents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[[Art. 35 GDPR, WP 248 rev.01, applicable national SA lists, relevant EDPB opinions/guidelines]]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Generated with DPIA Sentinel — Not legal advice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____ — DPIA-YYYY-NNN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2026-04-21T19:30:34.893Z</dcterms:created>
  <dcterms:modified xsi:type="dcterms:W3CDTF">2026-04-21T19:30:34.901Z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