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3399"/>
          <w:sz w:val="52"/>
          <w:szCs w:val="52"/>
        </w:rPr>
        <w:t xml:space="preserve">Data Protection Impact Assessment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0055AA"/>
          <w:sz w:val="28"/>
          <w:szCs w:val="28"/>
        </w:rPr>
        <w:t xml:space="preserve">EDPB Template v1.0 (March 2026) Format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Sections 0–6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Processing Activity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Reference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DPIA-YYYY-NNN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before="20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Generated with DPIA Sentinel — Following EDPB harmonised template structure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Version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0 — Overview of the Processing</w:t>
      </w:r>
    </w:p>
    <w:p>
      <w:pPr>
        <w:pStyle w:val="Heading2"/>
      </w:pPr>
      <w:r>
        <w:rPr>
          <w:rFonts w:ascii="Arial" w:cs="Arial" w:eastAsia="Arial" w:hAnsi="Arial"/>
        </w:rPr>
        <w:t xml:space="preserve">0.1 Controller(s)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For joint controllers: specify respective obligations and tasks.</w:t>
      </w:r>
    </w:p>
    <w:p>
      <w:pPr>
        <w:pStyle w:val="Heading2"/>
      </w:pPr>
      <w:r>
        <w:rPr>
          <w:rFonts w:ascii="Arial" w:cs="Arial" w:eastAsia="Arial" w:hAnsi="Arial"/>
        </w:rPr>
        <w:t xml:space="preserve">0.2 Processor(s) and Sub-processor(s)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226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Processor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obligations and tasks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0.3 Name of the Processing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Processing name (from ROPA)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history / notes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0.4 Planning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launch date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end date / expiration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0.5 DPIA Technical Sheet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Version log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Team composition (RACI)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Reference materials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DPIA trigger / justification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Scope of assessment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Validation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Publication intent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1 — Systematic Description of the Processing</w:t>
      </w:r>
    </w:p>
    <w:p>
      <w:pPr>
        <w:pStyle w:val="Heading2"/>
      </w:pPr>
      <w:r>
        <w:rPr>
          <w:rFonts w:ascii="Arial" w:cs="Arial" w:eastAsia="Arial" w:hAnsi="Arial"/>
        </w:rPr>
        <w:t xml:space="preserve">1.1.a Processed Personal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726"/>
        <w:gridCol w:w="200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Personal data item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Explanation (type, subjects, additional detail)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 category (Art. 9)?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1.1.b Purposes Linked to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26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(specific and explicit)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Personal data involved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1.1.c Secondary or Compatible Uses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26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/ compatible use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Personal data involved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If no secondary uses, state 'None' in first row.</w:t>
      </w:r>
    </w:p>
    <w:p>
      <w:pPr>
        <w:pStyle w:val="Heading2"/>
      </w:pPr>
      <w:r>
        <w:rPr>
          <w:rFonts w:ascii="Arial" w:cs="Arial" w:eastAsia="Arial" w:hAnsi="Arial"/>
        </w:rPr>
        <w:t xml:space="preserve">1.1.d Nature, Scope, and Context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Nature of the processing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Additional context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Scope (subjects, volume, duration, geography)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Context (power imbalance, expectations, sensitivity)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Cross-border processing: YES / NO  |  International transfer: YES / NO</w:t>
      </w:r>
    </w:p>
    <w:p>
      <w:pPr>
        <w:pStyle w:val="Heading2"/>
      </w:pPr>
      <w:r>
        <w:rPr>
          <w:rFonts w:ascii="Arial" w:cs="Arial" w:eastAsia="Arial" w:hAnsi="Arial"/>
        </w:rPr>
        <w:t xml:space="preserve">1.2 Functional Description (Data Lifecycle)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200"/>
        <w:gridCol w:w="4326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Processing phase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of operations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 / Processing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Sharing / Disclosure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Deletion / Anonymisation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[Data flow diagram — insert or attach as annex]</w:t>
      </w:r>
    </w:p>
    <w:p>
      <w:pPr>
        <w:pStyle w:val="Heading2"/>
      </w:pPr>
      <w:r>
        <w:rPr>
          <w:rFonts w:ascii="Arial" w:cs="Arial" w:eastAsia="Arial" w:hAnsi="Arial"/>
        </w:rPr>
        <w:t xml:space="preserve">1.3 Assets and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Processing phase / layer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Means of processing and assets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Asset types: hardware, software, APIs/models, personnel, premises, organisational.</w:t>
      </w:r>
    </w:p>
    <w:p>
      <w:pPr>
        <w:pStyle w:val="Heading2"/>
      </w:pPr>
      <w:r>
        <w:rPr>
          <w:rFonts w:ascii="Arial" w:cs="Arial" w:eastAsia="Arial" w:hAnsi="Arial"/>
        </w:rPr>
        <w:t xml:space="preserve">1.4 Codes of Conduct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26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of conduct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If none applicable, state 'N/A'.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2 — Analysis of Compliance Measures</w:t>
      </w:r>
    </w:p>
    <w:p>
      <w:pPr>
        <w:pStyle w:val="Heading2"/>
      </w:pPr>
      <w:r>
        <w:rPr>
          <w:rFonts w:ascii="Arial" w:cs="Arial" w:eastAsia="Arial" w:hAnsi="Arial"/>
        </w:rPr>
        <w:t xml:space="preserve">2.1.a Legal Basis per Purpose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(from 1.1.b)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Legal basis (Art. 6(1) GDPR)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2.1.b Lifting of Art. 9 Prohibition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 category data (from 1.1.a)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Art. 9(2) exception (a–j)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If no Art. 9 data: state 'Not applicable'.</w:t>
      </w:r>
    </w:p>
    <w:p>
      <w:pPr>
        <w:pStyle w:val="Heading2"/>
      </w:pPr>
      <w:r>
        <w:rPr>
          <w:rFonts w:ascii="Arial" w:cs="Arial" w:eastAsia="Arial" w:hAnsi="Arial"/>
        </w:rPr>
        <w:t xml:space="preserve">2.2.a Data Minimisation and Retention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00"/>
        <w:gridCol w:w="1800"/>
        <w:gridCol w:w="19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Personal data item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 of need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 period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2.2.b Data Quality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Personal data item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 metrics / thresholds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2.3.a Compliance with Art. 5 Principles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26"/>
        <w:gridCol w:w="180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measures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Appropriateness and effectiveness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status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(a) Lawfulness, fairness, transparency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(b) Purpose limitation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(c) Data minimisation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(d) Accuracy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(e) Storage limitation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(f) Integrity and confidentiality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Accountability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Lawfulness of processing (for each legal basis)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2.3.b Data Subject Rights (Arts. 12–22)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26"/>
        <w:gridCol w:w="180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measures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Appropriateness and effectiveness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status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Right of access (Art. 15)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Right to rectification (Art. 16)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Right to erasure (Art. 17)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Right to object (Art. 21)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Automated decision-making (Art. 22)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2.3.c Other GDPR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26"/>
        <w:gridCol w:w="180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measures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Appropriateness and effectiveness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status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Processor obligations (Art. 28)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International transfers (Ch. V)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Breach notification (Arts. 33–34)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2.3.d Data Protection by Design and Default (Art. 25)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26"/>
        <w:gridCol w:w="180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measures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Appropriateness and effectiveness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status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Privacy by design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Privacy by default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2.3.e Security of Processing (Art. 32)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26"/>
        <w:gridCol w:w="180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measures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Appropriateness and effectiveness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status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Encryption and pseudonymisation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Access control and authentication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3 — Necessity and Proportionality</w:t>
      </w:r>
    </w:p>
    <w:p>
      <w:pPr>
        <w:pStyle w:val="Heading2"/>
      </w:pPr>
      <w:r>
        <w:rPr>
          <w:rFonts w:ascii="Arial" w:cs="Arial" w:eastAsia="Arial" w:hAnsi="Arial"/>
        </w:rPr>
        <w:t xml:space="preserve">3.1 Inherent-by-Design Impacts (Track A)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Threats arising from the processing working as designed.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2226"/>
        <w:gridCol w:w="200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 (by-design)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materialised?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sources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on rights and freedoms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Necessity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[Assess whether the processing is effective for achieving its purposes and whether it is the least intrusive option. Consider alternatives.]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Proportionality Balancing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[Discuss the importance of the processing and its proportionality. Balance benefits against impacts on data subjects' rights and freedoms.]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4 — Risk Assessment and Management</w:t>
      </w:r>
    </w:p>
    <w:p>
      <w:pPr>
        <w:pStyle w:val="Heading2"/>
      </w:pPr>
      <w:r>
        <w:rPr>
          <w:rFonts w:ascii="Arial" w:cs="Arial" w:eastAsia="Arial" w:hAnsi="Arial"/>
        </w:rPr>
        <w:t xml:space="preserve">4.1.a Operational Risk Impacts (Track B)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Threats from malfunctions, deviations, and abnormal events.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26"/>
        <w:gridCol w:w="23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 (operational)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materialised?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sources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on rights and freedoms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Illegitimate access / disclosure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Undesired modification / corruption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Data disappearance / unavailability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4.1.b Method Declaration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[Define likelihood and severity scales, metrics, acceptance thresholds. State methodology (e.g., 5x5 L x S matrix, risk levels, modulating factors approach).]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4.1.c Inherent Risk Assessment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All risks from Sections 3.1 (Track A) and 4.1.a (Track B), scored before additional mitigations.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700"/>
        <w:gridCol w:w="700"/>
        <w:gridCol w:w="1526"/>
        <w:gridCol w:w="1500"/>
        <w:gridCol w:w="180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description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Modulating factors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Acceptability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4.2.a Additional Mitigating Measures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026"/>
        <w:gridCol w:w="180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(technical, legal, organisational)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Mitigated risks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Appropriateness and effectiveness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status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4.2.b Residual Risk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800"/>
        <w:gridCol w:w="700"/>
        <w:gridCol w:w="700"/>
        <w:gridCol w:w="1426"/>
        <w:gridCol w:w="180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description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Additional measures applied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Res. L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Res. S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Residual level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3399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Acceptability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4.2.c Implementation Plan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[Specific activities, responsible team, timelines, monitoring approach for all planned and partially implemented measures.]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5 — Involvement of Interested Parties</w:t>
      </w:r>
    </w:p>
    <w:p>
      <w:pPr>
        <w:pStyle w:val="Heading2"/>
      </w:pPr>
      <w:r>
        <w:rPr>
          <w:rFonts w:ascii="Arial" w:cs="Arial" w:eastAsia="Arial" w:hAnsi="Arial"/>
        </w:rPr>
        <w:t xml:space="preserve">5.1 DPO Advice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[DPO (or similar function) advice on the DPIA, and how it was implemented by the controller.]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Data Subjects' Views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[Data subjects' or representatives' views on the processing. If not consulted, explain why and document barriers.]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6 — Conclusion and Decision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DPIA Verdict (select one):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 ] REJECTED — The processing must be abandoned or fundamentally redesigned.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 ] CONSULT SA — Residual risks remain high; prior consultation required under Art. 36.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 ] APPROVED — All residual risks are acceptable.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 ] CONDITIONALLY APPROVED — Acceptable once specified measures are implemented.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Justification: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Generated with DPIA Sentinel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DPIA — EDPB 2026 Format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339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55A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2026-04-23T05:23:51.186Z</dcterms:created>
  <dcterms:modified xsi:type="dcterms:W3CDTF">2026-04-23T05:23:51.205Z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