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3"/>
        <w:pBdr/>
        <w:spacing/>
        <w:ind/>
        <w:rPr/>
      </w:pPr>
      <w:r/>
      <w:bookmarkStart w:id="25" w:name="專案開發紀錄個人伺服器架構homelab"/>
      <w:r>
        <w:t xml:space="preserve">專案開發紀錄：個人伺服器架構（Homelab）</w:t>
      </w:r>
      <w:r/>
    </w:p>
    <w:p>
      <w:pPr>
        <w:pStyle w:val="704"/>
        <w:pBdr/>
        <w:spacing/>
        <w:ind/>
        <w:rPr/>
      </w:pPr>
      <w:r/>
      <w:bookmarkStart w:id="20" w:name="背景資訊"/>
      <w:r>
        <w:t xml:space="preserve">背景資訊</w:t>
      </w:r>
      <w:r/>
    </w:p>
    <w:p>
      <w:pPr>
        <w:pStyle w:val="694"/>
        <w:pBdr/>
        <w:spacing/>
        <w:ind/>
        <w:rPr/>
      </w:pPr>
      <w:r>
        <w:t xml:space="preserve">在開發 yt.py 自動下載 YouTube 播放清單之後，我需要一個能在所有裝置上串流播放這些音樂的方案，於是架起了 Navidrome 音樂伺服器，這也是我第一次接觸 Docker 容器化部署。自架一個容器後再也停不下自架的樂趣。Immich 讓我不用再把所有照片交給 Google Photos 管理，ConvertX 讓我不用等線上轉檔網站的廣告跑完就能批次處理檔案，AdGuard Home 讓全家的裝置都不再看到廣告。一項一項疊上去，最終變成了十餘個 Docker 容器同時運行的個人伺服器。</w:t>
      </w:r>
      <w:bookmarkEnd w:id="20"/>
      <w:r/>
    </w:p>
    <w:p>
      <w:pPr>
        <w:pStyle w:val="704"/>
        <w:pBdr/>
        <w:spacing/>
        <w:ind/>
        <w:rPr/>
      </w:pPr>
      <w:r/>
      <w:bookmarkStart w:id="21" w:name="實作內容"/>
      <w:r>
        <w:t xml:space="preserve">實作內容</w:t>
      </w:r>
      <w:r/>
    </w:p>
    <w:p>
      <w:pPr>
        <w:pStyle w:val="694"/>
        <w:pBdr/>
        <w:spacing/>
        <w:ind/>
        <w:rPr/>
      </w:pPr>
      <w:r>
        <w:t xml:space="preserve">在 Arch Linux 上以</w:t>
      </w:r>
      <w:r>
        <w:t xml:space="preserve"> </w:t>
      </w:r>
      <w:r>
        <w:rPr>
          <w:rStyle w:val="725"/>
        </w:rPr>
        <w:t xml:space="preserve">docker compose</w:t>
      </w:r>
      <w:r>
        <w:t xml:space="preserve"> </w:t>
      </w:r>
      <w:r>
        <w:t xml:space="preserve">容器化部署所有服務，並透過以下架構實現外部存取與安全防護：</w:t>
      </w:r>
      <w:r/>
    </w:p>
    <w:p>
      <w:pPr>
        <w:pStyle w:val="695"/>
        <w:numPr>
          <w:ilvl w:val="0"/>
          <w:numId w:val="2"/>
        </w:numPr>
        <w:pBdr/>
        <w:spacing/>
        <w:ind/>
        <w:rPr/>
      </w:pPr>
      <w:r>
        <w:t xml:space="preserve">反向代理：Caddy（含 Cloudflare DNS Plugin），統一管理所有子網域的 HTTPS 憑證自動簽發與路由</w:t>
      </w:r>
      <w:r/>
    </w:p>
    <w:p>
      <w:pPr>
        <w:pStyle w:val="695"/>
        <w:numPr>
          <w:ilvl w:val="0"/>
          <w:numId w:val="2"/>
        </w:numPr>
        <w:pBdr/>
        <w:spacing/>
        <w:ind/>
        <w:rPr/>
      </w:pPr>
      <w:r>
        <w:t xml:space="preserve">公網穿透：家中網路沒有公網 IP，因此使用 Cloudflare Tunnel（cloudflared）以 host network 模式執行，將「子網域.7279744.xyz」的流量導入本地 Caddy</w:t>
      </w:r>
      <w:r/>
    </w:p>
    <w:p>
      <w:pPr>
        <w:pStyle w:val="695"/>
        <w:numPr>
          <w:ilvl w:val="0"/>
          <w:numId w:val="2"/>
        </w:numPr>
        <w:pBdr/>
        <w:spacing/>
        <w:ind/>
        <w:rPr/>
      </w:pPr>
      <w:r>
        <w:t xml:space="preserve">內網互通：Tailscale VPN 建立跨裝置的私有網路，搭配 AdGuard Home 的 Split DNS 將內部請求直接指向 Tailscale IP，避免繞行公網</w:t>
      </w:r>
      <w:r/>
    </w:p>
    <w:p>
      <w:pPr>
        <w:pStyle w:val="695"/>
        <w:numPr>
          <w:ilvl w:val="0"/>
          <w:numId w:val="2"/>
        </w:numPr>
        <w:pBdr/>
        <w:spacing/>
        <w:ind/>
        <w:rPr/>
      </w:pPr>
      <w:r>
        <w:t xml:space="preserve">安全防護：iptables 手動設定 INPUT DROP 策略，僅開放 Tailscale 與必要端口；CrowdSec IPS 分析 Caddy access log 自動封鎖異常 IP</w:t>
      </w:r>
      <w:r/>
    </w:p>
    <w:p>
      <w:pPr>
        <w:pStyle w:val="695"/>
        <w:numPr>
          <w:ilvl w:val="0"/>
          <w:numId w:val="2"/>
        </w:numPr>
        <w:pBdr/>
        <w:spacing/>
        <w:ind/>
        <w:rPr/>
      </w:pPr>
      <w:r>
        <w:t xml:space="preserve">遠端 SSH：透過 Cloudflare Access Zero Trust 提供瀏覽器 SSH（ssh.7279744.xyz）並且另外架設 GitHub OAuth 驗證</w:t>
      </w:r>
      <w:bookmarkEnd w:id="21"/>
      <w:r/>
    </w:p>
    <w:p>
      <w:pPr>
        <w:pStyle w:val="704"/>
        <w:pBdr/>
        <w:spacing/>
        <w:ind/>
        <w:rPr/>
      </w:pPr>
      <w:r/>
      <w:bookmarkStart w:id="23" w:name="目前執行的服務"/>
      <w:r>
        <w:t xml:space="preserve">目前執行的服務</w:t>
      </w:r>
      <w:r/>
    </w:p>
    <w:p>
      <w:pPr>
        <w:pStyle w:val="694"/>
        <w:pBdr/>
        <w:spacing/>
        <w:ind/>
        <w:rPr/>
      </w:pPr>
      <w:r>
        <w:t xml:space="preserve">AdGuard Home（DNS）、Navidrome（音樂）、Immich（照片）、Dockge（Docker 管理）、ConvertX（檔案轉換）、2FAuth（雙因素驗證） 等。</w:t>
      </w:r>
      <w:r/>
    </w:p>
    <w:p>
      <w:pPr>
        <w:pStyle w:val="705"/>
        <w:pBdr/>
        <w:spacing/>
        <w:ind/>
        <w:rPr/>
      </w:pPr>
      <w:r/>
      <w:bookmarkStart w:id="22" w:name="伺服器維護與除錯實例"/>
      <w:r>
        <w:t xml:space="preserve">伺服器維護與除錯實例</w:t>
      </w:r>
      <w:r/>
    </w:p>
    <w:p>
      <w:pPr>
        <w:pStyle w:val="694"/>
        <w:pBdr/>
        <w:spacing/>
        <w:ind/>
        <w:rPr/>
      </w:pPr>
      <w:r>
        <w:t xml:space="preserve">在維護 Homelab 的</w:t>
      </w:r>
      <w:r>
        <w:t xml:space="preserve">過程中，我的伺服器曾發生 CPU 無故持續滿載的異常。初期排查時我懷疑是 Docker 容器遭到入侵，但透過暫停 Docker 服務後交叉比對，發現異常源自宿主機本身。我改用 journalctl -f 即時監控系統日誌，最終捕捉到一個異常喚醒的 service，追溯後發現與我先前安裝的 litellm 套件有關。由於該套件透過 Python 的 .pth 機制植入了啟動腳本，一般的 pip uninstall 無法完全移除，我最後是手動用 rm 將殘留的 .pth 檔案與相關目錄一併刪除，系統才恢復正常。</w:t>
      </w:r>
      <w:r/>
    </w:p>
    <w:p>
      <w:pPr>
        <w:pStyle w:val="693"/>
        <w:pBdr/>
        <w:spacing/>
        <w:ind/>
        <w:rPr/>
      </w:pPr>
      <w:r>
        <w:t xml:space="preserve">事後我從 The Primeagen 的技術頻道得知，litellm 在同一時期遭遇了一起大規模供應鏈攻擊：攻擊者入侵了套件維護者的 GitHub 帳號，推送了會透過 .pth 機制在 Python 直譯器啟動時自動竊取系統憑證的惡意版本，影響數十萬名使用者。我當時觀察到的 CPU 滿載症狀與報導中描述的 forkbomb 行為完全吻合。</w:t>
      </w:r>
      <w:r/>
    </w:p>
    <w:p>
      <w:pPr>
        <w:pStyle w:val="693"/>
        <w:pBdr/>
        <w:spacing/>
        <w:ind/>
        <w:rPr/>
      </w:pPr>
      <w:r>
        <w:t xml:space="preserve">這次經驗讓我體認到，即使是每月下載量近億次的熱門開源套件也可能被入侵，安裝來源的安全性不能想當然。所以，系統除錯時仰賴日誌等客觀證據而非猜測，以及所有套件都在虛擬環境或容器中隔離安裝，絕不直接裝到系統全域的 Python 環境。這些習慣雖然不能百毒不侵，但是至少形成了最基本的防線。</w:t>
      </w:r>
      <w:bookmarkEnd w:id="22"/>
      <w:bookmarkEnd w:id="23"/>
      <w:r/>
    </w:p>
    <w:p>
      <w:pPr>
        <w:pStyle w:val="704"/>
        <w:pBdr/>
        <w:spacing/>
        <w:ind/>
        <w:rPr/>
      </w:pPr>
      <w:r/>
      <w:bookmarkStart w:id="24" w:name="反思"/>
      <w:r>
        <w:t xml:space="preserve">反思</w:t>
      </w:r>
      <w:r/>
    </w:p>
    <w:p>
      <w:pPr>
        <w:pStyle w:val="694"/>
        <w:pBdr/>
        <w:spacing/>
        <w:ind/>
        <w:rPr/>
      </w:pPr>
      <w:r>
        <w:t xml:space="preserve">架設過程中最大的收穫來自於工具的替換與踩坑。一開始我照朋友的建議使用 Nginx Proxy Manager 的 GUI </w:t>
      </w:r>
      <w:r>
        <w:t xml:space="preserve">反向代理，但在發現 Caddy 能自動從 Let’s Encrypt 取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2315164</wp:posOffset>
                </wp:positionH>
                <wp:positionV relativeFrom="paragraph">
                  <wp:posOffset>192633</wp:posOffset>
                </wp:positionV>
                <wp:extent cx="3541004" cy="2768095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92016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541004" cy="27680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182.30pt;mso-position-horizontal:absolute;mso-position-vertical-relative:text;margin-top:15.17pt;mso-position-vertical:absolute;width:278.82pt;height:217.96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  <w:r>
        <w:t xml:space="preserve">得 HTTPS 憑證後決定轉換。不過，轉換的過程十分曲折。無論是 Caddyfile 的語法、Cloudflare Tunnel 的整合方式，還是 redirect 的架設方法，每一步都跟我的直覺不同，花了大量時間反覆查閱官方文件與社群討論才逐步解決。經過這次的經驗，為了不再次犯同樣的錯誤，我建立起了一套 SOP。在導入新工具之前，先讀完官方文件的基礎章節再動手，而不是邊猜邊改。雖然看起來較慢，但實際上省下的除錯時間遠遠超過閱讀的時間。</w:t>
      </w:r>
      <w:bookmarkEnd w:id="24"/>
      <w:bookmarkEnd w:id="25"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715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5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5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5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5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5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5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5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5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5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5"/>
    <w:link w:val="6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2"/>
    <w:next w:val="69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1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2"/>
    <w:next w:val="69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5"/>
    <w:link w:val="176"/>
    <w:uiPriority w:val="99"/>
    <w:pPr>
      <w:pBdr/>
      <w:spacing/>
      <w:ind/>
    </w:pPr>
  </w:style>
  <w:style w:type="paragraph" w:styleId="178">
    <w:name w:val="Footer"/>
    <w:basedOn w:val="69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5"/>
    <w:link w:val="178"/>
    <w:uiPriority w:val="99"/>
    <w:pPr>
      <w:pBdr/>
      <w:spacing/>
      <w:ind/>
    </w:pPr>
  </w:style>
  <w:style w:type="character" w:styleId="182">
    <w:name w:val="Footnote Text Char"/>
    <w:basedOn w:val="715"/>
    <w:link w:val="713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9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2"/>
    <w:next w:val="692"/>
    <w:uiPriority w:val="39"/>
    <w:unhideWhenUsed/>
    <w:pPr>
      <w:pBdr/>
      <w:spacing w:after="100"/>
      <w:ind/>
    </w:pPr>
  </w:style>
  <w:style w:type="paragraph" w:styleId="190">
    <w:name w:val="toc 2"/>
    <w:basedOn w:val="692"/>
    <w:next w:val="692"/>
    <w:uiPriority w:val="39"/>
    <w:unhideWhenUsed/>
    <w:pPr>
      <w:pBdr/>
      <w:spacing w:after="100"/>
      <w:ind w:left="220"/>
    </w:pPr>
  </w:style>
  <w:style w:type="paragraph" w:styleId="191">
    <w:name w:val="toc 3"/>
    <w:basedOn w:val="692"/>
    <w:next w:val="692"/>
    <w:uiPriority w:val="39"/>
    <w:unhideWhenUsed/>
    <w:pPr>
      <w:pBdr/>
      <w:spacing w:after="100"/>
      <w:ind w:left="440"/>
    </w:pPr>
  </w:style>
  <w:style w:type="paragraph" w:styleId="192">
    <w:name w:val="toc 4"/>
    <w:basedOn w:val="692"/>
    <w:next w:val="692"/>
    <w:uiPriority w:val="39"/>
    <w:unhideWhenUsed/>
    <w:pPr>
      <w:pBdr/>
      <w:spacing w:after="100"/>
      <w:ind w:left="660"/>
    </w:pPr>
  </w:style>
  <w:style w:type="paragraph" w:styleId="193">
    <w:name w:val="toc 5"/>
    <w:basedOn w:val="692"/>
    <w:next w:val="692"/>
    <w:uiPriority w:val="39"/>
    <w:unhideWhenUsed/>
    <w:pPr>
      <w:pBdr/>
      <w:spacing w:after="100"/>
      <w:ind w:left="880"/>
    </w:pPr>
  </w:style>
  <w:style w:type="paragraph" w:styleId="194">
    <w:name w:val="toc 6"/>
    <w:basedOn w:val="692"/>
    <w:next w:val="692"/>
    <w:uiPriority w:val="39"/>
    <w:unhideWhenUsed/>
    <w:pPr>
      <w:pBdr/>
      <w:spacing w:after="100"/>
      <w:ind w:left="1100"/>
    </w:pPr>
  </w:style>
  <w:style w:type="paragraph" w:styleId="195">
    <w:name w:val="toc 7"/>
    <w:basedOn w:val="692"/>
    <w:next w:val="692"/>
    <w:uiPriority w:val="39"/>
    <w:unhideWhenUsed/>
    <w:pPr>
      <w:pBdr/>
      <w:spacing w:after="100"/>
      <w:ind w:left="1320"/>
    </w:pPr>
  </w:style>
  <w:style w:type="paragraph" w:styleId="196">
    <w:name w:val="toc 8"/>
    <w:basedOn w:val="692"/>
    <w:next w:val="692"/>
    <w:uiPriority w:val="39"/>
    <w:unhideWhenUsed/>
    <w:pPr>
      <w:pBdr/>
      <w:spacing w:after="100"/>
      <w:ind w:left="1540"/>
    </w:pPr>
  </w:style>
  <w:style w:type="paragraph" w:styleId="197">
    <w:name w:val="toc 9"/>
    <w:basedOn w:val="692"/>
    <w:next w:val="69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5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2"/>
    <w:next w:val="692"/>
    <w:uiPriority w:val="99"/>
    <w:unhideWhenUsed/>
    <w:pPr>
      <w:pBdr/>
      <w:spacing w:after="0" w:afterAutospacing="0"/>
      <w:ind/>
    </w:pPr>
  </w:style>
  <w:style w:type="paragraph" w:styleId="692" w:default="1">
    <w:name w:val="Normal"/>
    <w:qFormat/>
    <w:pPr>
      <w:pBdr/>
      <w:spacing/>
      <w:ind/>
    </w:pPr>
  </w:style>
  <w:style w:type="paragraph" w:styleId="693">
    <w:name w:val="Body Text"/>
    <w:basedOn w:val="692"/>
    <w:link w:val="724"/>
    <w:qFormat/>
    <w:pPr>
      <w:pBdr/>
      <w:spacing w:after="180" w:before="180"/>
      <w:ind/>
    </w:pPr>
  </w:style>
  <w:style w:type="paragraph" w:styleId="694" w:customStyle="1">
    <w:name w:val="First Paragraph"/>
    <w:basedOn w:val="693"/>
    <w:next w:val="693"/>
    <w:qFormat/>
    <w:pPr>
      <w:pBdr/>
      <w:spacing/>
      <w:ind/>
    </w:pPr>
  </w:style>
  <w:style w:type="paragraph" w:styleId="695" w:customStyle="1">
    <w:name w:val="Compact"/>
    <w:basedOn w:val="693"/>
    <w:qFormat/>
    <w:pPr>
      <w:pBdr/>
      <w:spacing w:after="36" w:before="36"/>
      <w:ind/>
    </w:pPr>
  </w:style>
  <w:style w:type="paragraph" w:styleId="696">
    <w:name w:val="Title"/>
    <w:basedOn w:val="692"/>
    <w:next w:val="693"/>
    <w:qFormat/>
    <w:pPr>
      <w:keepNext w:val="true"/>
      <w:keepLines w:val="true"/>
      <w:pBdr/>
      <w:spacing w:after="240" w:before="480"/>
      <w:ind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697">
    <w:name w:val="Subtitle"/>
    <w:basedOn w:val="696"/>
    <w:next w:val="693"/>
    <w:qFormat/>
    <w:pPr>
      <w:keepNext w:val="true"/>
      <w:keepLines w:val="true"/>
      <w:pBdr/>
      <w:spacing w:after="240" w:before="240"/>
      <w:ind/>
      <w:jc w:val="center"/>
    </w:pPr>
    <w:rPr>
      <w:sz w:val="30"/>
      <w:szCs w:val="30"/>
    </w:rPr>
  </w:style>
  <w:style w:type="paragraph" w:styleId="698" w:customStyle="1">
    <w:name w:val="Author"/>
    <w:next w:val="693"/>
    <w:qFormat/>
    <w:pPr>
      <w:keepNext w:val="true"/>
      <w:keepLines w:val="true"/>
      <w:pBdr/>
      <w:spacing/>
      <w:ind/>
      <w:jc w:val="center"/>
    </w:pPr>
  </w:style>
  <w:style w:type="paragraph" w:styleId="699">
    <w:name w:val="Date"/>
    <w:next w:val="693"/>
    <w:qFormat/>
    <w:pPr>
      <w:keepNext w:val="true"/>
      <w:keepLines w:val="true"/>
      <w:pBdr/>
      <w:spacing/>
      <w:ind/>
      <w:jc w:val="center"/>
    </w:pPr>
  </w:style>
  <w:style w:type="paragraph" w:styleId="700" w:customStyle="1">
    <w:name w:val="Abstract Title"/>
    <w:basedOn w:val="692"/>
    <w:next w:val="701"/>
    <w:qFormat/>
    <w:pPr>
      <w:keepNext w:val="true"/>
      <w:keepLines w:val="true"/>
      <w:pBdr/>
      <w:spacing w:after="0" w:before="300"/>
      <w:ind/>
      <w:jc w:val="center"/>
    </w:pPr>
    <w:rPr>
      <w:b/>
      <w:color w:val="345a8a"/>
      <w:sz w:val="20"/>
      <w:szCs w:val="20"/>
    </w:rPr>
  </w:style>
  <w:style w:type="paragraph" w:styleId="701" w:customStyle="1">
    <w:name w:val="Abstract"/>
    <w:basedOn w:val="692"/>
    <w:next w:val="69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02">
    <w:name w:val="Bibliography"/>
    <w:basedOn w:val="692"/>
    <w:next w:val="702"/>
    <w:qFormat/>
    <w:pPr>
      <w:pBdr/>
      <w:spacing/>
      <w:ind/>
    </w:pPr>
  </w:style>
  <w:style w:type="paragraph" w:styleId="703">
    <w:name w:val="Heading 1"/>
    <w:basedOn w:val="692"/>
    <w:next w:val="693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704">
    <w:name w:val="Heading 2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705">
    <w:name w:val="Heading 3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706">
    <w:name w:val="Heading 4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07">
    <w:name w:val="Heading 5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708">
    <w:name w:val="Heading 6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9">
    <w:name w:val="Heading 7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0">
    <w:name w:val="Heading 8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1">
    <w:name w:val="Heading 9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2">
    <w:name w:val="Block Text"/>
    <w:basedOn w:val="693"/>
    <w:next w:val="693"/>
    <w:uiPriority w:val="9"/>
    <w:unhideWhenUsed/>
    <w:qFormat/>
    <w:pPr>
      <w:pBdr/>
      <w:spacing w:after="100" w:before="100"/>
      <w:ind w:right="480" w:firstLine="0" w:left="480"/>
    </w:pPr>
  </w:style>
  <w:style w:type="paragraph" w:styleId="713">
    <w:name w:val="footnote text"/>
    <w:basedOn w:val="692"/>
    <w:next w:val="713"/>
    <w:uiPriority w:val="9"/>
    <w:unhideWhenUsed/>
    <w:qFormat/>
    <w:pPr>
      <w:pBdr/>
      <w:spacing/>
      <w:ind/>
    </w:pPr>
  </w:style>
  <w:style w:type="paragraph" w:styleId="714">
    <w:name w:val="Footnote Block Text"/>
    <w:uiPriority w:val="9"/>
    <w:unhideWhenUsed/>
    <w:qFormat/>
    <w:pPr>
      <w:pBdr/>
      <w:spacing w:after="100" w:before="100"/>
      <w:ind w:right="480" w:firstLine="0" w:left="480"/>
    </w:pPr>
  </w:style>
  <w:style w:type="character" w:styleId="715" w:default="1">
    <w:name w:val="Default Paragraph Font"/>
    <w:semiHidden/>
    <w:unhideWhenUsed/>
    <w:pPr>
      <w:pBdr/>
      <w:spacing/>
      <w:ind/>
    </w:pPr>
  </w:style>
  <w:style w:type="table" w:styleId="716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7" w:customStyle="1">
    <w:name w:val="Definition Term"/>
    <w:basedOn w:val="692"/>
    <w:next w:val="718"/>
    <w:pPr>
      <w:keepNext w:val="true"/>
      <w:keepLines w:val="true"/>
      <w:pBdr/>
      <w:spacing w:after="0"/>
      <w:ind/>
    </w:pPr>
    <w:rPr>
      <w:b/>
    </w:rPr>
  </w:style>
  <w:style w:type="paragraph" w:styleId="718" w:customStyle="1">
    <w:name w:val="Definition"/>
    <w:basedOn w:val="692"/>
    <w:pPr>
      <w:pBdr/>
      <w:spacing/>
      <w:ind/>
    </w:pPr>
  </w:style>
  <w:style w:type="paragraph" w:styleId="719">
    <w:name w:val="Caption"/>
    <w:basedOn w:val="692"/>
    <w:link w:val="724"/>
    <w:pPr>
      <w:pBdr/>
      <w:spacing w:after="120" w:before="0"/>
      <w:ind/>
    </w:pPr>
    <w:rPr>
      <w:i/>
    </w:rPr>
  </w:style>
  <w:style w:type="paragraph" w:styleId="720" w:customStyle="1">
    <w:name w:val="Table Caption"/>
    <w:basedOn w:val="719"/>
    <w:pPr>
      <w:keepNext w:val="true"/>
      <w:pBdr/>
      <w:spacing/>
      <w:ind/>
    </w:pPr>
  </w:style>
  <w:style w:type="paragraph" w:styleId="721" w:customStyle="1">
    <w:name w:val="Image Caption"/>
    <w:basedOn w:val="719"/>
    <w:pPr>
      <w:pBdr/>
      <w:spacing/>
      <w:ind/>
    </w:pPr>
  </w:style>
  <w:style w:type="paragraph" w:styleId="722" w:customStyle="1">
    <w:name w:val="Figure"/>
    <w:basedOn w:val="692"/>
    <w:pPr>
      <w:pBdr/>
      <w:spacing/>
      <w:ind/>
    </w:pPr>
  </w:style>
  <w:style w:type="paragraph" w:styleId="723" w:customStyle="1">
    <w:name w:val="Captioned Figure"/>
    <w:basedOn w:val="722"/>
    <w:pPr>
      <w:keepNext w:val="true"/>
      <w:pBdr/>
      <w:spacing/>
      <w:ind/>
    </w:pPr>
  </w:style>
  <w:style w:type="character" w:styleId="724" w:customStyle="1">
    <w:name w:val="Body Text Char"/>
    <w:basedOn w:val="715"/>
    <w:link w:val="693"/>
    <w:pPr>
      <w:pBdr/>
      <w:spacing/>
      <w:ind/>
    </w:pPr>
  </w:style>
  <w:style w:type="character" w:styleId="725" w:customStyle="1">
    <w:name w:val="Verbatim Char"/>
    <w:basedOn w:val="724"/>
    <w:pPr>
      <w:pBdr/>
      <w:spacing/>
      <w:ind/>
    </w:pPr>
    <w:rPr>
      <w:rFonts w:ascii="Consolas" w:hAnsi="Consolas"/>
      <w:sz w:val="22"/>
    </w:rPr>
  </w:style>
  <w:style w:type="character" w:styleId="726" w:customStyle="1">
    <w:name w:val="Section Number"/>
    <w:basedOn w:val="724"/>
    <w:pPr>
      <w:pBdr/>
      <w:spacing/>
      <w:ind/>
    </w:pPr>
  </w:style>
  <w:style w:type="character" w:styleId="727">
    <w:name w:val="footnote reference"/>
    <w:basedOn w:val="724"/>
    <w:pPr>
      <w:pBdr/>
      <w:spacing/>
      <w:ind/>
    </w:pPr>
    <w:rPr>
      <w:vertAlign w:val="superscript"/>
    </w:rPr>
  </w:style>
  <w:style w:type="character" w:styleId="728">
    <w:name w:val="Hyperlink"/>
    <w:basedOn w:val="724"/>
    <w:pPr>
      <w:pBdr/>
      <w:spacing/>
      <w:ind/>
    </w:pPr>
    <w:rPr>
      <w:color w:val="4f81bd" w:themeColor="accent1"/>
    </w:rPr>
  </w:style>
  <w:style w:type="paragraph" w:styleId="729">
    <w:name w:val="TOC Heading"/>
    <w:basedOn w:val="703"/>
    <w:next w:val="69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30" w:customStyle="1">
    <w:name w:val="Source Code"/>
    <w:basedOn w:val="692"/>
    <w:link w:val="725"/>
    <w:pPr>
      <w:pBdr/>
      <w:spacing/>
      <w:ind/>
    </w:pPr>
  </w:style>
  <w:style w:type="character" w:styleId="731" w:customStyle="1">
    <w:name w:val="KeywordTok"/>
    <w:basedOn w:val="725"/>
    <w:pPr>
      <w:pBdr/>
      <w:spacing/>
      <w:ind/>
    </w:pPr>
    <w:rPr>
      <w:b/>
      <w:color w:val="007020"/>
    </w:rPr>
  </w:style>
  <w:style w:type="character" w:styleId="732" w:customStyle="1">
    <w:name w:val="DataTypeTok"/>
    <w:basedOn w:val="725"/>
    <w:pPr>
      <w:pBdr/>
      <w:spacing/>
      <w:ind/>
    </w:pPr>
    <w:rPr>
      <w:color w:val="902000"/>
    </w:rPr>
  </w:style>
  <w:style w:type="character" w:styleId="733" w:customStyle="1">
    <w:name w:val="DecValTok"/>
    <w:basedOn w:val="725"/>
    <w:pPr>
      <w:pBdr/>
      <w:spacing/>
      <w:ind/>
    </w:pPr>
    <w:rPr>
      <w:color w:val="40a070"/>
    </w:rPr>
  </w:style>
  <w:style w:type="character" w:styleId="734" w:customStyle="1">
    <w:name w:val="BaseNTok"/>
    <w:basedOn w:val="725"/>
    <w:pPr>
      <w:pBdr/>
      <w:spacing/>
      <w:ind/>
    </w:pPr>
    <w:rPr>
      <w:color w:val="40a070"/>
    </w:rPr>
  </w:style>
  <w:style w:type="character" w:styleId="735" w:customStyle="1">
    <w:name w:val="FloatTok"/>
    <w:basedOn w:val="725"/>
    <w:pPr>
      <w:pBdr/>
      <w:spacing/>
      <w:ind/>
    </w:pPr>
    <w:rPr>
      <w:color w:val="40a070"/>
    </w:rPr>
  </w:style>
  <w:style w:type="character" w:styleId="736" w:customStyle="1">
    <w:name w:val="ConstantTok"/>
    <w:basedOn w:val="725"/>
    <w:pPr>
      <w:pBdr/>
      <w:spacing/>
      <w:ind/>
    </w:pPr>
    <w:rPr>
      <w:color w:val="880000"/>
    </w:rPr>
  </w:style>
  <w:style w:type="character" w:styleId="737" w:customStyle="1">
    <w:name w:val="CharTok"/>
    <w:basedOn w:val="725"/>
    <w:pPr>
      <w:pBdr/>
      <w:spacing/>
      <w:ind/>
    </w:pPr>
    <w:rPr>
      <w:color w:val="4070a0"/>
    </w:rPr>
  </w:style>
  <w:style w:type="character" w:styleId="738" w:customStyle="1">
    <w:name w:val="SpecialCharTok"/>
    <w:basedOn w:val="725"/>
    <w:pPr>
      <w:pBdr/>
      <w:spacing/>
      <w:ind/>
    </w:pPr>
    <w:rPr>
      <w:color w:val="4070a0"/>
    </w:rPr>
  </w:style>
  <w:style w:type="character" w:styleId="739" w:customStyle="1">
    <w:name w:val="StringTok"/>
    <w:basedOn w:val="725"/>
    <w:pPr>
      <w:pBdr/>
      <w:spacing/>
      <w:ind/>
    </w:pPr>
    <w:rPr>
      <w:color w:val="4070a0"/>
    </w:rPr>
  </w:style>
  <w:style w:type="character" w:styleId="740" w:customStyle="1">
    <w:name w:val="VerbatimStringTok"/>
    <w:basedOn w:val="725"/>
    <w:pPr>
      <w:pBdr/>
      <w:spacing/>
      <w:ind/>
    </w:pPr>
    <w:rPr>
      <w:color w:val="4070a0"/>
    </w:rPr>
  </w:style>
  <w:style w:type="character" w:styleId="741" w:customStyle="1">
    <w:name w:val="SpecialStringTok"/>
    <w:basedOn w:val="725"/>
    <w:pPr>
      <w:pBdr/>
      <w:spacing/>
      <w:ind/>
    </w:pPr>
    <w:rPr>
      <w:color w:val="bb6688"/>
    </w:rPr>
  </w:style>
  <w:style w:type="character" w:styleId="742" w:customStyle="1">
    <w:name w:val="ImportTok"/>
    <w:basedOn w:val="725"/>
    <w:pPr>
      <w:pBdr/>
      <w:spacing/>
      <w:ind/>
    </w:pPr>
    <w:rPr>
      <w:b/>
      <w:color w:val="008000"/>
    </w:rPr>
  </w:style>
  <w:style w:type="character" w:styleId="743" w:customStyle="1">
    <w:name w:val="CommentTok"/>
    <w:basedOn w:val="725"/>
    <w:pPr>
      <w:pBdr/>
      <w:spacing/>
      <w:ind/>
    </w:pPr>
    <w:rPr>
      <w:i/>
      <w:color w:val="60a0b0"/>
    </w:rPr>
  </w:style>
  <w:style w:type="character" w:styleId="744" w:customStyle="1">
    <w:name w:val="DocumentationTok"/>
    <w:basedOn w:val="725"/>
    <w:pPr>
      <w:pBdr/>
      <w:spacing/>
      <w:ind/>
    </w:pPr>
    <w:rPr>
      <w:i/>
      <w:color w:val="ba2121"/>
    </w:rPr>
  </w:style>
  <w:style w:type="character" w:styleId="745" w:customStyle="1">
    <w:name w:val="AnnotationTok"/>
    <w:basedOn w:val="725"/>
    <w:pPr>
      <w:pBdr/>
      <w:spacing/>
      <w:ind/>
    </w:pPr>
    <w:rPr>
      <w:b/>
      <w:i/>
      <w:color w:val="60a0b0"/>
    </w:rPr>
  </w:style>
  <w:style w:type="character" w:styleId="746" w:customStyle="1">
    <w:name w:val="CommentVarTok"/>
    <w:basedOn w:val="725"/>
    <w:pPr>
      <w:pBdr/>
      <w:spacing/>
      <w:ind/>
    </w:pPr>
    <w:rPr>
      <w:b/>
      <w:i/>
      <w:color w:val="60a0b0"/>
    </w:rPr>
  </w:style>
  <w:style w:type="character" w:styleId="747" w:customStyle="1">
    <w:name w:val="OtherTok"/>
    <w:basedOn w:val="725"/>
    <w:pPr>
      <w:pBdr/>
      <w:spacing/>
      <w:ind/>
    </w:pPr>
    <w:rPr>
      <w:color w:val="007020"/>
    </w:rPr>
  </w:style>
  <w:style w:type="character" w:styleId="748" w:customStyle="1">
    <w:name w:val="FunctionTok"/>
    <w:basedOn w:val="725"/>
    <w:pPr>
      <w:pBdr/>
      <w:spacing/>
      <w:ind/>
    </w:pPr>
    <w:rPr>
      <w:color w:val="06287e"/>
    </w:rPr>
  </w:style>
  <w:style w:type="character" w:styleId="749" w:customStyle="1">
    <w:name w:val="VariableTok"/>
    <w:basedOn w:val="725"/>
    <w:pPr>
      <w:pBdr/>
      <w:spacing/>
      <w:ind/>
    </w:pPr>
    <w:rPr>
      <w:color w:val="19177c"/>
    </w:rPr>
  </w:style>
  <w:style w:type="character" w:styleId="750" w:customStyle="1">
    <w:name w:val="ControlFlowTok"/>
    <w:basedOn w:val="725"/>
    <w:pPr>
      <w:pBdr/>
      <w:spacing/>
      <w:ind/>
    </w:pPr>
    <w:rPr>
      <w:b/>
      <w:color w:val="007020"/>
    </w:rPr>
  </w:style>
  <w:style w:type="character" w:styleId="751" w:customStyle="1">
    <w:name w:val="OperatorTok"/>
    <w:basedOn w:val="725"/>
    <w:pPr>
      <w:pBdr/>
      <w:spacing/>
      <w:ind/>
    </w:pPr>
    <w:rPr>
      <w:color w:val="666666"/>
    </w:rPr>
  </w:style>
  <w:style w:type="character" w:styleId="752" w:customStyle="1">
    <w:name w:val="BuiltInTok"/>
    <w:basedOn w:val="725"/>
    <w:pPr>
      <w:pBdr/>
      <w:spacing/>
      <w:ind/>
    </w:pPr>
    <w:rPr>
      <w:color w:val="008000"/>
    </w:rPr>
  </w:style>
  <w:style w:type="character" w:styleId="753" w:customStyle="1">
    <w:name w:val="ExtensionTok"/>
    <w:basedOn w:val="725"/>
    <w:pPr>
      <w:pBdr/>
      <w:spacing/>
      <w:ind/>
    </w:pPr>
  </w:style>
  <w:style w:type="character" w:styleId="754" w:customStyle="1">
    <w:name w:val="PreprocessorTok"/>
    <w:basedOn w:val="725"/>
    <w:pPr>
      <w:pBdr/>
      <w:spacing/>
      <w:ind/>
    </w:pPr>
    <w:rPr>
      <w:color w:val="bc7a00"/>
    </w:rPr>
  </w:style>
  <w:style w:type="character" w:styleId="755" w:customStyle="1">
    <w:name w:val="AttributeTok"/>
    <w:basedOn w:val="725"/>
    <w:pPr>
      <w:pBdr/>
      <w:spacing/>
      <w:ind/>
    </w:pPr>
    <w:rPr>
      <w:color w:val="7d9029"/>
    </w:rPr>
  </w:style>
  <w:style w:type="character" w:styleId="756" w:customStyle="1">
    <w:name w:val="RegionMarkerTok"/>
    <w:basedOn w:val="725"/>
    <w:pPr>
      <w:pBdr/>
      <w:spacing/>
      <w:ind/>
    </w:pPr>
  </w:style>
  <w:style w:type="character" w:styleId="757" w:customStyle="1">
    <w:name w:val="InformationTok"/>
    <w:basedOn w:val="725"/>
    <w:pPr>
      <w:pBdr/>
      <w:spacing/>
      <w:ind/>
    </w:pPr>
    <w:rPr>
      <w:b/>
      <w:i/>
      <w:color w:val="60a0b0"/>
    </w:rPr>
  </w:style>
  <w:style w:type="character" w:styleId="758" w:customStyle="1">
    <w:name w:val="WarningTok"/>
    <w:basedOn w:val="725"/>
    <w:pPr>
      <w:pBdr/>
      <w:spacing/>
      <w:ind/>
    </w:pPr>
    <w:rPr>
      <w:b/>
      <w:i/>
      <w:color w:val="60a0b0"/>
    </w:rPr>
  </w:style>
  <w:style w:type="character" w:styleId="759" w:customStyle="1">
    <w:name w:val="AlertTok"/>
    <w:basedOn w:val="725"/>
    <w:pPr>
      <w:pBdr/>
      <w:spacing/>
      <w:ind/>
    </w:pPr>
    <w:rPr>
      <w:b/>
      <w:color w:val="ff0000"/>
    </w:rPr>
  </w:style>
  <w:style w:type="character" w:styleId="760" w:customStyle="1">
    <w:name w:val="ErrorTok"/>
    <w:basedOn w:val="725"/>
    <w:pPr>
      <w:pBdr/>
      <w:spacing/>
      <w:ind/>
    </w:pPr>
    <w:rPr>
      <w:b/>
      <w:color w:val="ff0000"/>
    </w:rPr>
  </w:style>
  <w:style w:type="character" w:styleId="761" w:customStyle="1">
    <w:name w:val="NormalTok"/>
    <w:basedOn w:val="725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2026-03-29T02:36:35Z</dcterms:created>
  <dcterms:modified xsi:type="dcterms:W3CDTF">2026-03-29T02:38:15Z</dcterms:modified>
</cp:coreProperties>
</file>