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Friday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Photon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 the concrete development plan for each role by yourself??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law data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United states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https://www.ecfr.gov/current/title-21/chapter-I/subchapter-D/part-312/subpart-A/section-312.6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https://eur-lex.europa.eu/eli/reg/2014/536/2022-01-31/eng?utm_source=chatgpt.com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https://www.who.int/teams/regulation-prequalification/regulation-and-safety/regulatory-convergence-networks/certification-scheme/contacts?utm_source=chatgpt.com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Japan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https://www.who.int/teams/regulation-prequalification/regulation-and-safety/regulatory-convergence-networks/certification-scheme/contacts?utm_source=chatgpt.com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Nepal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https://www.who.int/teams/regulation-prequalification/regulation-and-safety/regulatory-convergence-networks/certification-scheme/contacts?utm_source=chatgpt.com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Specific drug (metformin?)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label data/laws (maybe two people)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Photon (one person)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a general interface with the features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cfr.gov/current/title-21/chapter-I/subchapter-D/part-312/subpart-A/section-312.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