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Bot/agent with initial data (laws and current geographical situation of the world)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sz w:val="28"/>
          <w:szCs w:val="28"/>
        </w:rPr>
      </w:pPr>
      <w:commentRangeStart w:id="0"/>
      <w:r w:rsidDel="00000000" w:rsidR="00000000" w:rsidRPr="00000000">
        <w:rPr>
          <w:sz w:val="28"/>
          <w:szCs w:val="28"/>
          <w:rtl w:val="0"/>
        </w:rPr>
        <w:t xml:space="preserve">Changes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Geographical changes (there is a forest fire)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Changes in law of some countries (change in label)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bot/agent updates data 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Updates estimated transportation/route change 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Updates labeling groups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Bot connects to photon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Photon informs to pharma company 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Able to ask AI agent 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Smoother communication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Change in planner 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Find data of laws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 (Anna)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sz w:val="28"/>
          <w:szCs w:val="28"/>
          <w:u w:val="none"/>
        </w:rPr>
      </w:pP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https://www.ecfr.gov/current/title-21/chapter-I/subchapter-D/part-312/subpart-A/section-312.6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Eu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sz w:val="28"/>
          <w:szCs w:val="28"/>
          <w:u w:val="none"/>
        </w:rPr>
      </w:pP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https://www.bdo.com/insights/industries/life-sciences/practical-considerations-for-eu-labeling-requirements-of-investigational-drug-products-following-ann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Japan 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ind w:left="1440" w:hanging="360"/>
        <w:rPr>
          <w:sz w:val="28"/>
          <w:szCs w:val="28"/>
          <w:u w:val="none"/>
        </w:rPr>
      </w:pPr>
      <w:hyperlink r:id="rId9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HackHarvard Project Ideas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Canada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  <w:rPr>
          <w:sz w:val="28"/>
          <w:szCs w:val="28"/>
          <w:u w:val="none"/>
        </w:rPr>
      </w:pPr>
      <w:hyperlink r:id="rId1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https://laws-lois.justice.gc.ca/eng/regulations/C.R.C.,_c._870/section-C.05.011.html?utm_source=chatgpt.com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Find data of current geo situation 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logistics (Chihiro) (US, EU)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Choose drug (Garima)</w:t>
      </w:r>
    </w:p>
    <w:p w:rsidR="00000000" w:rsidDel="00000000" w:rsidP="00000000" w:rsidRDefault="00000000" w:rsidRPr="00000000" w14:paraId="0000001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na Takai" w:id="0" w:date="2026-10-17T01:16:43Z"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 separate scraper/API integration to collect regulations and geographical data, and use Chalk to calculate the impact of changes on shipments.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yperlink" Target="https://laws-lois.justice.gc.ca/eng/regulations/C.R.C.,_c._870/section-C.05.011.html?utm_source=chatgpt.com" TargetMode="External"/><Relationship Id="rId9" Type="http://schemas.openxmlformats.org/officeDocument/2006/relationships/hyperlink" Target="https://docs.google.com/document/d/1RbnNyOwhfq9Vn9Pt5hyHlU9i-GnKaGMtK95DxsuqahE/edit?tab=t.3gwl8h4jedfc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ecfr.gov/current/title-21/chapter-I/subchapter-D/part-312/subpart-A/section-312.6" TargetMode="External"/><Relationship Id="rId8" Type="http://schemas.openxmlformats.org/officeDocument/2006/relationships/hyperlink" Target="https://www.bdo.com/insights/industries/life-sciences/practical-considerations-for-eu-labeling-requirements-of-investigational-drug-products-following-an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