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9638"/>
      </w:tblGrid>
      <w:tr>
        <w:trPr>
          <w:trHeight w:val="13720" w:hRule="exact"/>
        </w:trPr>
        <w:tc>
          <w:tcPr>
            <w:tcW w:type="dxa" w:w="9638"/>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p>
            <w:pPr>
              <w:pStyle w:val="Heading1"/>
              <w:spacing w:before="480" w:after="360"/>
              <w:jc w:val="center"/>
            </w:pPr>
            <w:r>
              <w:rPr>
                <w:rFonts w:ascii="DejaVu Sans" w:hAnsi="DejaVu Sans"/>
                <w:b/>
                <w:i w:val="0"/>
                <w:color w:val="2D5016"/>
                <w:sz w:val="72"/>
              </w:rPr>
              <w:t>Sustainable Packaging Solutions</w:t>
            </w:r>
          </w:p>
          <w:p>
            <w:pPr>
              <w:pStyle w:val="Heading2"/>
              <w:spacing w:before="360" w:after="280"/>
              <w:jc w:val="center"/>
            </w:pPr>
            <w:r>
              <w:rPr>
                <w:rFonts w:ascii="DejaVu Sans" w:hAnsi="DejaVu Sans"/>
                <w:b/>
                <w:i w:val="0"/>
                <w:color w:val="4A7C2C"/>
                <w:sz w:val="48"/>
              </w:rPr>
              <w:t>Business Proposal</w:t>
            </w:r>
          </w:p>
          <w:p>
            <w:pPr>
              <w:spacing w:before="0" w:after="240"/>
              <w:jc w:val="center"/>
            </w:pPr>
            <w:r>
              <w:rPr>
                <w:rFonts w:ascii="DejaVu Sans" w:hAnsi="DejaVu Sans"/>
                <w:b w:val="0"/>
                <w:i w:val="0"/>
                <w:color w:val="666666"/>
                <w:sz w:val="32"/>
              </w:rPr>
              <w:t>A Comprehensive Strategy for Market Expansion and Growth</w:t>
            </w:r>
          </w:p>
          <w:p>
            <w:pPr>
              <w:spacing w:before="300" w:after="300"/>
              <w:jc w:val="center"/>
            </w:pPr>
            <w:r>
              <w:drawing>
                <wp:inline xmlns:a="http://schemas.openxmlformats.org/drawingml/2006/main" xmlns:pic="http://schemas.openxmlformats.org/drawingml/2006/picture">
                  <wp:extent cx="1524000" cy="1524000"/>
                  <wp:docPr id="1" name="Picture 1"/>
                  <wp:cNvGraphicFramePr>
                    <a:graphicFrameLocks noChangeAspect="1"/>
                  </wp:cNvGraphicFramePr>
                  <a:graphic>
                    <a:graphicData uri="http://schemas.openxmlformats.org/drawingml/2006/picture">
                      <pic:pic>
                        <pic:nvPicPr>
                          <pic:cNvPr id="0" name="tmpnf3r2shr.png"/>
                          <pic:cNvPicPr/>
                        </pic:nvPicPr>
                        <pic:blipFill>
                          <a:blip r:embed="rId11"/>
                          <a:stretch>
                            <a:fillRect/>
                          </a:stretch>
                        </pic:blipFill>
                        <pic:spPr>
                          <a:xfrm>
                            <a:off x="0" y="0"/>
                            <a:ext cx="1524000" cy="1524000"/>
                          </a:xfrm>
                          <a:prstGeom prst="rect"/>
                        </pic:spPr>
                      </pic:pic>
                    </a:graphicData>
                  </a:graphic>
                </wp:inline>
              </w:drawing>
            </w:r>
          </w:p>
        </w:tc>
      </w:tr>
    </w:tbl>
    <w:p>
      <w:r>
        <w:br w:type="page"/>
      </w:r>
    </w:p>
    <w:p>
      <w:pPr>
        <w:pStyle w:val="Heading1"/>
        <w:spacing w:before="480" w:after="360"/>
        <w:jc w:val="center"/>
      </w:pPr>
      <w:r>
        <w:rPr>
          <w:rFonts w:ascii="DejaVu Sans" w:hAnsi="DejaVu Sans"/>
          <w:b/>
          <w:i w:val="0"/>
          <w:color w:val="1B5E20"/>
          <w:sz w:val="56"/>
        </w:rPr>
        <w:t>1. Executive Summary and Market Opportunity</w:t>
      </w:r>
    </w:p>
    <w:p>
      <w:pPr>
        <w:spacing w:before="0" w:after="240"/>
        <w:jc w:val="both"/>
      </w:pPr>
      <w:r>
        <w:rPr>
          <w:rFonts w:ascii="DejaVu Sans" w:hAnsi="DejaVu Sans"/>
          <w:b w:val="0"/>
          <w:i w:val="0"/>
          <w:color w:val="2D5016"/>
          <w:sz w:val="22"/>
        </w:rPr>
        <w:t xml:space="preserve">Our startup is founded on a clear mission: to deliver </w:t>
      </w:r>
      <w:r>
        <w:rPr>
          <w:rFonts w:ascii="DejaVu Sans" w:hAnsi="DejaVu Sans"/>
          <w:b/>
          <w:i w:val="0"/>
          <w:color w:val="2D5016"/>
          <w:sz w:val="22"/>
        </w:rPr>
        <w:t>sustainable packaging solutions</w:t>
      </w:r>
      <w:r>
        <w:rPr>
          <w:rFonts w:ascii="DejaVu Sans" w:hAnsi="DejaVu Sans"/>
          <w:b w:val="0"/>
          <w:i w:val="0"/>
          <w:color w:val="2D5016"/>
          <w:sz w:val="22"/>
        </w:rPr>
        <w:t xml:space="preserve"> that address the urgent global demand for environmentally responsible alternatives to traditional packaging. As consumer awareness of environmental impacts intensifies and regulatory frameworks become increasingly stringent, businesses across industries are seeking partners who can provide innovative, eco-friendly packaging that aligns with their sustainability commitments and brand values.</w:t>
      </w:r>
    </w:p>
    <w:p>
      <w:pPr>
        <w:pStyle w:val="Heading2"/>
        <w:spacing w:before="360" w:after="280"/>
        <w:jc w:val="left"/>
      </w:pPr>
      <w:r>
        <w:rPr>
          <w:rFonts w:ascii="DejaVu Sans" w:hAnsi="DejaVu Sans"/>
          <w:b/>
          <w:i w:val="0"/>
          <w:color w:val="2D5016"/>
          <w:sz w:val="44"/>
        </w:rPr>
        <w:t>1.1 Mission and Value Proposition</w:t>
      </w:r>
    </w:p>
    <w:p>
      <w:pPr>
        <w:spacing w:before="0" w:after="240"/>
        <w:jc w:val="both"/>
      </w:pPr>
      <w:r>
        <w:rPr>
          <w:rFonts w:ascii="DejaVu Sans" w:hAnsi="DejaVu Sans"/>
          <w:b w:val="0"/>
          <w:i w:val="0"/>
          <w:color w:val="2D5016"/>
          <w:sz w:val="22"/>
        </w:rPr>
        <w:t xml:space="preserve">Our core mission centers on transforming the packaging industry by offering </w:t>
      </w:r>
      <w:r>
        <w:rPr>
          <w:rFonts w:ascii="DejaVu Sans" w:hAnsi="DejaVu Sans"/>
          <w:b/>
          <w:i w:val="0"/>
          <w:color w:val="2D5016"/>
          <w:sz w:val="22"/>
        </w:rPr>
        <w:t>recyclable, compostable, and bio-based packaging solutions</w:t>
      </w:r>
      <w:r>
        <w:rPr>
          <w:rFonts w:ascii="DejaVu Sans" w:hAnsi="DejaVu Sans"/>
          <w:b w:val="0"/>
          <w:i w:val="0"/>
          <w:color w:val="2D5016"/>
          <w:sz w:val="22"/>
        </w:rPr>
        <w:t xml:space="preserve"> that meet the evolving sustainability expectations of brand owners. We serve key sectors including:</w:t>
      </w:r>
    </w:p>
    <w:p>
      <w:pPr>
        <w:pStyle w:val="ListBullet"/>
        <w:ind w:left="360" w:hanging="360"/>
      </w:pPr>
      <w:r/>
      <w:r>
        <w:rPr>
          <w:rFonts w:ascii="DejaVu Sans" w:hAnsi="DejaVu Sans"/>
          <w:b w:val="0"/>
          <w:i w:val="0"/>
          <w:color w:val="2D5016"/>
          <w:sz w:val="22"/>
        </w:rPr>
        <w:t>Food &amp; Beverage industry</w:t>
      </w:r>
    </w:p>
    <w:p>
      <w:pPr>
        <w:pStyle w:val="ListBullet"/>
        <w:ind w:left="360" w:hanging="360"/>
      </w:pPr>
      <w:r/>
      <w:r>
        <w:rPr>
          <w:rFonts w:ascii="DejaVu Sans" w:hAnsi="DejaVu Sans"/>
          <w:b w:val="0"/>
          <w:i w:val="0"/>
          <w:color w:val="2D5016"/>
          <w:sz w:val="22"/>
        </w:rPr>
        <w:t>Personal Care and Cosmetics</w:t>
      </w:r>
    </w:p>
    <w:p>
      <w:pPr>
        <w:pStyle w:val="ListBullet"/>
        <w:ind w:left="360" w:hanging="360"/>
      </w:pPr>
      <w:r/>
      <w:r>
        <w:rPr>
          <w:rFonts w:ascii="DejaVu Sans" w:hAnsi="DejaVu Sans"/>
          <w:b w:val="0"/>
          <w:i w:val="0"/>
          <w:color w:val="2D5016"/>
          <w:sz w:val="22"/>
        </w:rPr>
        <w:t>E-commerce and Retail</w:t>
      </w:r>
    </w:p>
    <w:p>
      <w:pPr>
        <w:pStyle w:val="ListBullet"/>
        <w:ind w:left="360" w:hanging="360"/>
      </w:pPr>
      <w:r/>
      <w:r>
        <w:rPr>
          <w:rFonts w:ascii="DejaVu Sans" w:hAnsi="DejaVu Sans"/>
          <w:b w:val="0"/>
          <w:i w:val="0"/>
          <w:color w:val="2D5016"/>
          <w:sz w:val="22"/>
        </w:rPr>
        <w:t>Healthcare and Pharmaceuticals</w:t>
      </w:r>
    </w:p>
    <w:p>
      <w:pPr>
        <w:spacing w:before="0" w:after="240"/>
        <w:jc w:val="both"/>
      </w:pPr>
      <w:r>
        <w:rPr>
          <w:rFonts w:ascii="DejaVu Sans" w:hAnsi="DejaVu Sans"/>
          <w:b w:val="0"/>
          <w:i w:val="0"/>
          <w:color w:val="2D5016"/>
          <w:sz w:val="22"/>
        </w:rPr>
        <w:t xml:space="preserve">Our value proposition is built on three fundamental pillars: </w:t>
      </w:r>
      <w:r>
        <w:rPr>
          <w:rFonts w:ascii="DejaVu Sans" w:hAnsi="DejaVu Sans"/>
          <w:b/>
          <w:i w:val="0"/>
          <w:color w:val="2D5016"/>
          <w:sz w:val="22"/>
        </w:rPr>
        <w:t>environmental responsibility</w:t>
      </w:r>
      <w:r>
        <w:rPr>
          <w:rFonts w:ascii="DejaVu Sans" w:hAnsi="DejaVu Sans"/>
          <w:b w:val="0"/>
          <w:i w:val="0"/>
          <w:color w:val="2D5016"/>
          <w:sz w:val="22"/>
        </w:rPr>
        <w:t xml:space="preserve">, </w:t>
      </w:r>
      <w:r>
        <w:rPr>
          <w:rFonts w:ascii="DejaVu Sans" w:hAnsi="DejaVu Sans"/>
          <w:b/>
          <w:i w:val="0"/>
          <w:color w:val="2D5016"/>
          <w:sz w:val="22"/>
        </w:rPr>
        <w:t>regulatory compliance</w:t>
      </w:r>
      <w:r>
        <w:rPr>
          <w:rFonts w:ascii="DejaVu Sans" w:hAnsi="DejaVu Sans"/>
          <w:b w:val="0"/>
          <w:i w:val="0"/>
          <w:color w:val="2D5016"/>
          <w:sz w:val="22"/>
        </w:rPr>
        <w:t xml:space="preserve">, and </w:t>
      </w:r>
      <w:r>
        <w:rPr>
          <w:rFonts w:ascii="DejaVu Sans" w:hAnsi="DejaVu Sans"/>
          <w:b/>
          <w:i w:val="0"/>
          <w:color w:val="2D5016"/>
          <w:sz w:val="22"/>
        </w:rPr>
        <w:t>innovation</w:t>
      </w:r>
      <w:r>
        <w:rPr>
          <w:rFonts w:ascii="DejaVu Sans" w:hAnsi="DejaVu Sans"/>
          <w:b w:val="0"/>
          <w:i w:val="0"/>
          <w:color w:val="2D5016"/>
          <w:sz w:val="22"/>
        </w:rPr>
        <w:t>. We enable our clients to reduce their environmental footprint while maintaining product protection, aesthetic appeal, and cost-effectiveness. By partnering with us, brand owners can confidently meet consumer expectations and navigate the complex landscape of environmental regulations.</w:t>
      </w:r>
    </w:p>
    <w:p>
      <w:pPr>
        <w:pStyle w:val="Heading2"/>
        <w:spacing w:before="360" w:after="280"/>
        <w:jc w:val="left"/>
      </w:pPr>
      <w:r>
        <w:rPr>
          <w:rFonts w:ascii="DejaVu Sans" w:hAnsi="DejaVu Sans"/>
          <w:b/>
          <w:i w:val="0"/>
          <w:color w:val="2D5016"/>
          <w:sz w:val="44"/>
        </w:rPr>
        <w:t>1.2 Global Market Size and Growth Projections</w:t>
      </w:r>
    </w:p>
    <w:p>
      <w:pPr>
        <w:spacing w:before="0" w:after="240"/>
        <w:jc w:val="both"/>
      </w:pPr>
      <w:r>
        <w:rPr>
          <w:rFonts w:ascii="DejaVu Sans" w:hAnsi="DejaVu Sans"/>
          <w:b w:val="0"/>
          <w:i w:val="0"/>
          <w:color w:val="2D5016"/>
          <w:sz w:val="22"/>
        </w:rPr>
        <w:t>The global sustainable packaging market represents a substantial and rapidly expanding opportunity. Current market valuations and future projections demonstrate remarkable growth momentum:</w:t>
      </w:r>
    </w:p>
    <w:p>
      <w:pPr>
        <w:spacing w:after="300"/>
      </w:pPr>
    </w:p>
    <w:tbl>
      <w:tblPr>
        <w:tblW w:type="auto" w:w="0"/>
        <w:tblLook w:firstColumn="1" w:firstRow="1" w:lastColumn="0" w:lastRow="0" w:noHBand="0" w:noVBand="1" w:val="04A0"/>
        <w:tblBorders>
          <w:top w:val="single" w:sz="12" w:space="0" w:color="1b5e20"/>
          <w:left w:val="single" w:sz="12" w:space="0" w:color="1b5e20"/>
          <w:bottom w:val="single" w:sz="12" w:space="0" w:color="1b5e20"/>
          <w:right w:val="single" w:sz="12" w:space="0" w:color="1b5e20"/>
          <w:insideH w:val="single" w:sz="4" w:space="0" w:color="c5e1a5"/>
          <w:insideV w:val="single" w:sz="4" w:space="0" w:color="c5e1a5"/>
        </w:tblBorders>
        <w:tblInd w:w="120" w:type="dxa"/>
      </w:tblPr>
      <w:tblGrid>
        <w:gridCol w:w="2409"/>
        <w:gridCol w:w="2409"/>
        <w:gridCol w:w="2409"/>
        <w:gridCol w:w="2409"/>
      </w:tblGrid>
      <w:tr>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Year</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Market Size (USD Billion)</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CAGR (%)</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Key Notes</w:t>
            </w:r>
          </w:p>
        </w:tc>
      </w:tr>
      <w:tr>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2025</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301.8 - 373.8</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Current market valuation range</w:t>
            </w:r>
          </w:p>
        </w:tc>
      </w:tr>
      <w:tr>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2025-2030</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5.8 - 8.5</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5-year growth period</w:t>
            </w:r>
          </w:p>
        </w:tc>
      </w:tr>
      <w:tr>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2030</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~450 - 520</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6.5 - 7.8</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Mid-term projection</w:t>
            </w:r>
          </w:p>
        </w:tc>
      </w:tr>
      <w:tr>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2035</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530 - 845</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6.0 - 8.5</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Long-term market potential</w:t>
            </w:r>
          </w:p>
        </w:tc>
      </w:tr>
    </w:tbl>
    <w:p>
      <w:pPr>
        <w:jc w:val="center"/>
      </w:pPr>
      <w:r>
        <w:rPr>
          <w:rFonts w:ascii="DejaVu Sans" w:hAnsi="DejaVu Sans"/>
          <w:b w:val="0"/>
          <w:i/>
          <w:color w:val="2D5016"/>
          <w:sz w:val="22"/>
        </w:rPr>
        <w:t>Sustainable Packaging Market Size and Growth Forecast</w:t>
      </w:r>
    </w:p>
    <w:p>
      <w:pPr>
        <w:spacing w:before="300"/>
      </w:pPr>
    </w:p>
    <w:p>
      <w:pPr>
        <w:spacing w:before="0" w:after="240"/>
        <w:jc w:val="both"/>
      </w:pPr>
      <w:r>
        <w:rPr>
          <w:rFonts w:ascii="DejaVu Sans" w:hAnsi="DejaVu Sans"/>
          <w:b w:val="0"/>
          <w:i w:val="0"/>
          <w:color w:val="2D5016"/>
          <w:sz w:val="22"/>
        </w:rPr>
        <w:t xml:space="preserve">These projections reflect a market valued at </w:t>
      </w:r>
      <w:r>
        <w:rPr>
          <w:rFonts w:ascii="DejaVu Sans" w:hAnsi="DejaVu Sans"/>
          <w:b/>
          <w:i w:val="0"/>
          <w:color w:val="2D5016"/>
          <w:sz w:val="22"/>
        </w:rPr>
        <w:t>USD 301.8 billion to USD 373.8 billion in 2025</w:t>
      </w:r>
      <w:r>
        <w:rPr>
          <w:rFonts w:ascii="DejaVu Sans" w:hAnsi="DejaVu Sans"/>
          <w:b w:val="0"/>
          <w:i w:val="0"/>
          <w:color w:val="2D5016"/>
          <w:sz w:val="22"/>
        </w:rPr>
        <w:t xml:space="preserve">, with expectations to exceed </w:t>
      </w:r>
      <w:r>
        <w:rPr>
          <w:rFonts w:ascii="DejaVu Sans" w:hAnsi="DejaVu Sans"/>
          <w:b/>
          <w:i w:val="0"/>
          <w:color w:val="2D5016"/>
          <w:sz w:val="22"/>
        </w:rPr>
        <w:t>USD 530 billion to USD 845 billion by 2035</w:t>
      </w:r>
      <w:r>
        <w:rPr>
          <w:rFonts w:ascii="DejaVu Sans" w:hAnsi="DejaVu Sans"/>
          <w:b w:val="0"/>
          <w:i w:val="0"/>
          <w:color w:val="2D5016"/>
          <w:sz w:val="22"/>
        </w:rPr>
        <w:t xml:space="preserve">. The compound annual growth rate (CAGR) ranging between </w:t>
      </w:r>
      <w:r>
        <w:rPr>
          <w:rFonts w:ascii="DejaVu Sans" w:hAnsi="DejaVu Sans"/>
          <w:b/>
          <w:i w:val="0"/>
          <w:color w:val="2D5016"/>
          <w:sz w:val="22"/>
        </w:rPr>
        <w:t>5.8% and 8.5%</w:t>
      </w:r>
      <w:r>
        <w:rPr>
          <w:rFonts w:ascii="DejaVu Sans" w:hAnsi="DejaVu Sans"/>
          <w:b w:val="0"/>
          <w:i w:val="0"/>
          <w:color w:val="2D5016"/>
          <w:sz w:val="22"/>
        </w:rPr>
        <w:t xml:space="preserve"> demonstrates sustained, robust demand across all major geographic regions and industry segments.</w:t>
      </w:r>
    </w:p>
    <w:p>
      <w:pPr>
        <w:spacing w:before="300" w:after="300"/>
        <w:jc w:val="left"/>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tmpebr6lmix.png"/>
                    <pic:cNvPicPr/>
                  </pic:nvPicPr>
                  <pic:blipFill>
                    <a:blip r:embed="rId12"/>
                    <a:stretch>
                      <a:fillRect/>
                    </a:stretch>
                  </pic:blipFill>
                  <pic:spPr>
                    <a:xfrm>
                      <a:off x="0" y="0"/>
                      <a:ext cx="5486400" cy="2743200"/>
                    </a:xfrm>
                    <a:prstGeom prst="rect"/>
                  </pic:spPr>
                </pic:pic>
              </a:graphicData>
            </a:graphic>
          </wp:inline>
        </w:drawing>
      </w:r>
    </w:p>
    <w:p>
      <w:pPr>
        <w:pStyle w:val="Heading2"/>
        <w:spacing w:before="360" w:after="280"/>
        <w:jc w:val="left"/>
      </w:pPr>
      <w:r>
        <w:rPr>
          <w:rFonts w:ascii="DejaVu Sans" w:hAnsi="DejaVu Sans"/>
          <w:b/>
          <w:i w:val="0"/>
          <w:color w:val="2D5016"/>
          <w:sz w:val="44"/>
        </w:rPr>
        <w:t>1.3 Key Market Drivers</w:t>
      </w:r>
    </w:p>
    <w:p>
      <w:pPr>
        <w:spacing w:before="0" w:after="240"/>
        <w:jc w:val="both"/>
      </w:pPr>
      <w:r>
        <w:rPr>
          <w:rFonts w:ascii="DejaVu Sans" w:hAnsi="DejaVu Sans"/>
          <w:b w:val="0"/>
          <w:i w:val="0"/>
          <w:color w:val="2D5016"/>
          <w:sz w:val="22"/>
        </w:rPr>
        <w:t>The sustainable packaging market's impressive growth trajectory is underpinned by several powerful and interconnected drivers that are reshaping the packaging industry landscape:</w:t>
      </w:r>
    </w:p>
    <w:p>
      <w:pPr>
        <w:pStyle w:val="Heading3"/>
        <w:spacing w:before="280" w:after="200"/>
        <w:jc w:val="left"/>
      </w:pPr>
      <w:r>
        <w:rPr>
          <w:rFonts w:ascii="DejaVu Sans" w:hAnsi="DejaVu Sans"/>
          <w:b/>
          <w:i w:val="0"/>
          <w:color w:val="558B2F"/>
          <w:sz w:val="36"/>
        </w:rPr>
        <w:t>1.3.1 Consumer Awareness and Environmental Consciousness</w:t>
      </w:r>
    </w:p>
    <w:p>
      <w:pPr>
        <w:spacing w:before="0" w:after="240"/>
        <w:jc w:val="both"/>
      </w:pPr>
      <w:r>
        <w:rPr>
          <w:rFonts w:ascii="DejaVu Sans" w:hAnsi="DejaVu Sans"/>
          <w:b w:val="0"/>
          <w:i w:val="0"/>
          <w:color w:val="2D5016"/>
          <w:sz w:val="22"/>
        </w:rPr>
        <w:t xml:space="preserve">Modern consumers are increasingly informed about environmental issues and actively seek brands that demonstrate genuine commitment to sustainability. This </w:t>
      </w:r>
      <w:r>
        <w:rPr>
          <w:rFonts w:ascii="DejaVu Sans" w:hAnsi="DejaVu Sans"/>
          <w:b/>
          <w:i w:val="0"/>
          <w:color w:val="2D5016"/>
          <w:sz w:val="22"/>
        </w:rPr>
        <w:t>heightened consumer awareness</w:t>
      </w:r>
      <w:r>
        <w:rPr>
          <w:rFonts w:ascii="DejaVu Sans" w:hAnsi="DejaVu Sans"/>
          <w:b w:val="0"/>
          <w:i w:val="0"/>
          <w:color w:val="2D5016"/>
          <w:sz w:val="22"/>
        </w:rPr>
        <w:t xml:space="preserve"> translates directly into purchasing decisions, with studies showing that a significant majority of consumers prefer products with eco-friendly packaging and are willing to pay premium prices for sustainable alternatives.</w:t>
      </w:r>
    </w:p>
    <w:p>
      <w:pPr>
        <w:pStyle w:val="Heading3"/>
        <w:spacing w:before="280" w:after="200"/>
        <w:jc w:val="left"/>
      </w:pPr>
      <w:r>
        <w:rPr>
          <w:rFonts w:ascii="DejaVu Sans" w:hAnsi="DejaVu Sans"/>
          <w:b/>
          <w:i w:val="0"/>
          <w:color w:val="558B2F"/>
          <w:sz w:val="36"/>
        </w:rPr>
        <w:t>1.3.2 Regulatory Pressures and Legislative Frameworks</w:t>
      </w:r>
    </w:p>
    <w:p>
      <w:pPr>
        <w:spacing w:before="0" w:after="240"/>
        <w:jc w:val="both"/>
      </w:pPr>
      <w:r>
        <w:rPr>
          <w:rFonts w:ascii="DejaVu Sans" w:hAnsi="DejaVu Sans"/>
          <w:b w:val="0"/>
          <w:i w:val="0"/>
          <w:color w:val="2D5016"/>
          <w:sz w:val="22"/>
        </w:rPr>
        <w:t xml:space="preserve">Governments worldwide are implementing </w:t>
      </w:r>
      <w:r>
        <w:rPr>
          <w:rFonts w:ascii="DejaVu Sans" w:hAnsi="DejaVu Sans"/>
          <w:b/>
          <w:i w:val="0"/>
          <w:color w:val="2D5016"/>
          <w:sz w:val="22"/>
        </w:rPr>
        <w:t>stringent regulatory measures</w:t>
      </w:r>
      <w:r>
        <w:rPr>
          <w:rFonts w:ascii="DejaVu Sans" w:hAnsi="DejaVu Sans"/>
          <w:b w:val="0"/>
          <w:i w:val="0"/>
          <w:color w:val="2D5016"/>
          <w:sz w:val="22"/>
        </w:rPr>
        <w:t xml:space="preserve"> to combat plastic pollution and promote circular economy principles. Key regulatory drivers include:</w:t>
      </w:r>
    </w:p>
    <w:p>
      <w:pPr>
        <w:pStyle w:val="ListNumber"/>
        <w:numPr>
          <w:numId w:val="10"/>
          <w:ilvl w:val="0"/>
        </w:numPr>
        <w:ind w:left="360" w:hanging="360"/>
      </w:pPr>
      <w:r/>
      <w:r>
        <w:rPr>
          <w:rFonts w:ascii="DejaVu Sans" w:hAnsi="DejaVu Sans"/>
          <w:b/>
          <w:i w:val="0"/>
          <w:color w:val="2D5016"/>
          <w:sz w:val="22"/>
        </w:rPr>
        <w:t>Single-use plastic bans</w:t>
      </w:r>
      <w:r>
        <w:rPr>
          <w:rFonts w:ascii="DejaVu Sans" w:hAnsi="DejaVu Sans"/>
          <w:b w:val="0"/>
          <w:i w:val="0"/>
          <w:color w:val="2D5016"/>
          <w:sz w:val="22"/>
        </w:rPr>
        <w:t xml:space="preserve"> implemented across numerous jurisdictions in Europe, North America, and Asia</w:t>
      </w:r>
    </w:p>
    <w:p>
      <w:pPr>
        <w:pStyle w:val="ListNumber"/>
        <w:numPr>
          <w:ilvl w:val="0"/>
        </w:numPr>
        <w:ind w:left="360" w:hanging="360"/>
      </w:pPr>
      <w:r/>
      <w:r>
        <w:rPr>
          <w:rFonts w:ascii="DejaVu Sans" w:hAnsi="DejaVu Sans"/>
          <w:b/>
          <w:i w:val="0"/>
          <w:color w:val="2D5016"/>
          <w:sz w:val="22"/>
        </w:rPr>
        <w:t>Extended Producer Responsibility (EPR) laws</w:t>
      </w:r>
      <w:r>
        <w:rPr>
          <w:rFonts w:ascii="DejaVu Sans" w:hAnsi="DejaVu Sans"/>
          <w:b w:val="0"/>
          <w:i w:val="0"/>
          <w:color w:val="2D5016"/>
          <w:sz w:val="22"/>
        </w:rPr>
        <w:t xml:space="preserve"> requiring manufacturers to manage end-of-life packaging</w:t>
      </w:r>
    </w:p>
    <w:p>
      <w:pPr>
        <w:pStyle w:val="ListNumber"/>
        <w:numPr>
          <w:ilvl w:val="0"/>
        </w:numPr>
        <w:ind w:left="360" w:hanging="360"/>
      </w:pPr>
      <w:r/>
      <w:r>
        <w:rPr>
          <w:rFonts w:ascii="DejaVu Sans" w:hAnsi="DejaVu Sans"/>
          <w:b/>
          <w:i w:val="0"/>
          <w:color w:val="2D5016"/>
          <w:sz w:val="22"/>
        </w:rPr>
        <w:t>Mandatory recycled content requirements</w:t>
      </w:r>
      <w:r>
        <w:rPr>
          <w:rFonts w:ascii="DejaVu Sans" w:hAnsi="DejaVu Sans"/>
          <w:b w:val="0"/>
          <w:i w:val="0"/>
          <w:color w:val="2D5016"/>
          <w:sz w:val="22"/>
        </w:rPr>
        <w:t xml:space="preserve"> for packaging materials</w:t>
      </w:r>
    </w:p>
    <w:p>
      <w:pPr>
        <w:pStyle w:val="ListNumber"/>
        <w:numPr>
          <w:ilvl w:val="0"/>
        </w:numPr>
        <w:ind w:left="360" w:hanging="360"/>
      </w:pPr>
      <w:r/>
      <w:r>
        <w:rPr>
          <w:rFonts w:ascii="DejaVu Sans" w:hAnsi="DejaVu Sans"/>
          <w:b/>
          <w:i w:val="0"/>
          <w:color w:val="2D5016"/>
          <w:sz w:val="22"/>
        </w:rPr>
        <w:t>Plastic taxes and levies</w:t>
      </w:r>
      <w:r>
        <w:rPr>
          <w:rFonts w:ascii="DejaVu Sans" w:hAnsi="DejaVu Sans"/>
          <w:b w:val="0"/>
          <w:i w:val="0"/>
          <w:color w:val="2D5016"/>
          <w:sz w:val="22"/>
        </w:rPr>
        <w:t xml:space="preserve"> incentivizing alternatives to virgin plastic</w:t>
      </w:r>
    </w:p>
    <w:p>
      <w:pPr>
        <w:pStyle w:val="ListNumber"/>
        <w:numPr>
          <w:ilvl w:val="0"/>
        </w:numPr>
        <w:ind w:left="360" w:hanging="360"/>
      </w:pPr>
      <w:r/>
      <w:r>
        <w:rPr>
          <w:rFonts w:ascii="DejaVu Sans" w:hAnsi="DejaVu Sans"/>
          <w:b/>
          <w:i w:val="0"/>
          <w:color w:val="2D5016"/>
          <w:sz w:val="22"/>
        </w:rPr>
        <w:t>Deposit-return schemes</w:t>
      </w:r>
      <w:r>
        <w:rPr>
          <w:rFonts w:ascii="DejaVu Sans" w:hAnsi="DejaVu Sans"/>
          <w:b w:val="0"/>
          <w:i w:val="0"/>
          <w:color w:val="2D5016"/>
          <w:sz w:val="22"/>
        </w:rPr>
        <w:t xml:space="preserve"> promoting packaging circularity</w:t>
      </w:r>
    </w:p>
    <w:p>
      <w:pPr>
        <w:pStyle w:val="Heading3"/>
        <w:spacing w:before="280" w:after="200"/>
        <w:jc w:val="left"/>
      </w:pPr>
      <w:r>
        <w:rPr>
          <w:rFonts w:ascii="DejaVu Sans" w:hAnsi="DejaVu Sans"/>
          <w:b/>
          <w:i w:val="0"/>
          <w:color w:val="558B2F"/>
          <w:sz w:val="36"/>
        </w:rPr>
        <w:t>1.3.3 Corporate ESG Commitments and Procurement Policies</w:t>
      </w:r>
    </w:p>
    <w:p>
      <w:pPr>
        <w:spacing w:before="0" w:after="240"/>
        <w:jc w:val="both"/>
      </w:pPr>
      <w:r>
        <w:rPr>
          <w:rFonts w:ascii="DejaVu Sans" w:hAnsi="DejaVu Sans"/>
          <w:b w:val="0"/>
          <w:i w:val="0"/>
          <w:color w:val="2D5016"/>
          <w:sz w:val="22"/>
        </w:rPr>
        <w:t xml:space="preserve">The rise of </w:t>
      </w:r>
      <w:r>
        <w:rPr>
          <w:rFonts w:ascii="DejaVu Sans" w:hAnsi="DejaVu Sans"/>
          <w:b/>
          <w:i w:val="0"/>
          <w:color w:val="2D5016"/>
          <w:sz w:val="22"/>
        </w:rPr>
        <w:t>Environmental, Social, and Governance (ESG) frameworks</w:t>
      </w:r>
      <w:r>
        <w:rPr>
          <w:rFonts w:ascii="DejaVu Sans" w:hAnsi="DejaVu Sans"/>
          <w:b w:val="0"/>
          <w:i w:val="0"/>
          <w:color w:val="2D5016"/>
          <w:sz w:val="22"/>
        </w:rPr>
        <w:t xml:space="preserve"> has fundamentally transformed corporate procurement strategies. Brand owners are increasingly prioritizing sustainable packaging to meet investor expectations, enhance corporate reputation, and achieve ambitious sustainability targets. This shift has created substantial demand for suppliers who can deliver certified sustainable packaging solutions at scale.</w:t>
      </w:r>
    </w:p>
    <w:p>
      <w:pPr>
        <w:pStyle w:val="Heading3"/>
        <w:spacing w:before="280" w:after="200"/>
        <w:jc w:val="left"/>
      </w:pPr>
      <w:r>
        <w:rPr>
          <w:rFonts w:ascii="DejaVu Sans" w:hAnsi="DejaVu Sans"/>
          <w:b/>
          <w:i w:val="0"/>
          <w:color w:val="558B2F"/>
          <w:sz w:val="36"/>
        </w:rPr>
        <w:t>1.3.4 Sector-Specific Growth Dynamics</w:t>
      </w:r>
    </w:p>
    <w:p>
      <w:pPr>
        <w:spacing w:before="0" w:after="240"/>
        <w:jc w:val="both"/>
      </w:pPr>
      <w:r>
        <w:rPr>
          <w:rFonts w:ascii="DejaVu Sans" w:hAnsi="DejaVu Sans"/>
          <w:b w:val="0"/>
          <w:i w:val="0"/>
          <w:color w:val="2D5016"/>
          <w:sz w:val="22"/>
        </w:rPr>
        <w:t>Several industry segments are experiencing particularly strong demand for sustainable packaging:</w:t>
      </w:r>
    </w:p>
    <w:p>
      <w:pPr>
        <w:pStyle w:val="ListBullet"/>
        <w:ind w:left="360" w:hanging="360"/>
      </w:pPr>
      <w:r/>
      <w:r>
        <w:rPr>
          <w:rFonts w:ascii="DejaVu Sans" w:hAnsi="DejaVu Sans"/>
          <w:b/>
          <w:i w:val="0"/>
          <w:color w:val="2D5016"/>
          <w:sz w:val="22"/>
        </w:rPr>
        <w:t>Food &amp; Beverage</w:t>
      </w:r>
      <w:r>
        <w:rPr>
          <w:rFonts w:ascii="DejaVu Sans" w:hAnsi="DejaVu Sans"/>
          <w:b w:val="0"/>
          <w:i w:val="0"/>
          <w:color w:val="2D5016"/>
          <w:sz w:val="22"/>
        </w:rPr>
        <w:t>: Driven by direct consumer contact and brand differentiation opportunities</w:t>
      </w:r>
    </w:p>
    <w:p>
      <w:pPr>
        <w:pStyle w:val="ListBullet"/>
        <w:ind w:left="936" w:hanging="360"/>
      </w:pPr>
      <w:r/>
      <w:r>
        <w:rPr>
          <w:rFonts w:ascii="DejaVu Sans" w:hAnsi="DejaVu Sans"/>
          <w:b w:val="0"/>
          <w:i w:val="0"/>
          <w:color w:val="2D5016"/>
          <w:sz w:val="22"/>
        </w:rPr>
        <w:t>Minimalist, recyclable packaging formats</w:t>
      </w:r>
    </w:p>
    <w:p>
      <w:pPr>
        <w:pStyle w:val="ListBullet"/>
        <w:ind w:left="936" w:hanging="360"/>
      </w:pPr>
      <w:r/>
      <w:r>
        <w:rPr>
          <w:rFonts w:ascii="DejaVu Sans" w:hAnsi="DejaVu Sans"/>
          <w:b w:val="0"/>
          <w:i w:val="0"/>
          <w:color w:val="2D5016"/>
          <w:sz w:val="22"/>
        </w:rPr>
        <w:t>Compostable food service packaging</w:t>
      </w:r>
    </w:p>
    <w:p>
      <w:pPr>
        <w:pStyle w:val="ListBullet"/>
        <w:ind w:left="936" w:hanging="360"/>
      </w:pPr>
      <w:r/>
      <w:r>
        <w:rPr>
          <w:rFonts w:ascii="DejaVu Sans" w:hAnsi="DejaVu Sans"/>
          <w:b w:val="0"/>
          <w:i w:val="0"/>
          <w:color w:val="2D5016"/>
          <w:sz w:val="22"/>
        </w:rPr>
        <w:t>Bio-based barrier solutions for extended shelf life</w:t>
      </w:r>
    </w:p>
    <w:p>
      <w:pPr>
        <w:pStyle w:val="ListBullet"/>
        <w:ind w:left="360" w:hanging="360"/>
      </w:pPr>
      <w:r/>
      <w:r>
        <w:rPr>
          <w:rFonts w:ascii="DejaVu Sans" w:hAnsi="DejaVu Sans"/>
          <w:b/>
          <w:i w:val="0"/>
          <w:color w:val="2D5016"/>
          <w:sz w:val="22"/>
        </w:rPr>
        <w:t>E-commerce</w:t>
      </w:r>
      <w:r>
        <w:rPr>
          <w:rFonts w:ascii="DejaVu Sans" w:hAnsi="DejaVu Sans"/>
          <w:b w:val="0"/>
          <w:i w:val="0"/>
          <w:color w:val="2D5016"/>
          <w:sz w:val="22"/>
        </w:rPr>
        <w:t>: Rapid growth in online retail necessitating protective yet sustainable shipping solutions</w:t>
      </w:r>
    </w:p>
    <w:p>
      <w:pPr>
        <w:pStyle w:val="ListBullet"/>
        <w:ind w:left="936" w:hanging="360"/>
      </w:pPr>
      <w:r/>
      <w:r>
        <w:rPr>
          <w:rFonts w:ascii="DejaVu Sans" w:hAnsi="DejaVu Sans"/>
          <w:b w:val="0"/>
          <w:i w:val="0"/>
          <w:color w:val="2D5016"/>
          <w:sz w:val="22"/>
        </w:rPr>
        <w:t>Right-sized packaging reducing material waste</w:t>
      </w:r>
    </w:p>
    <w:p>
      <w:pPr>
        <w:pStyle w:val="ListBullet"/>
        <w:ind w:left="936" w:hanging="360"/>
      </w:pPr>
      <w:r/>
      <w:r>
        <w:rPr>
          <w:rFonts w:ascii="DejaVu Sans" w:hAnsi="DejaVu Sans"/>
          <w:b w:val="0"/>
          <w:i w:val="0"/>
          <w:color w:val="2D5016"/>
          <w:sz w:val="22"/>
        </w:rPr>
        <w:t>Recyclable protective materials</w:t>
      </w:r>
    </w:p>
    <w:p>
      <w:pPr>
        <w:pStyle w:val="ListBullet"/>
        <w:ind w:left="936" w:hanging="360"/>
      </w:pPr>
      <w:r/>
      <w:r>
        <w:rPr>
          <w:rFonts w:ascii="DejaVu Sans" w:hAnsi="DejaVu Sans"/>
          <w:b w:val="0"/>
          <w:i w:val="0"/>
          <w:color w:val="2D5016"/>
          <w:sz w:val="22"/>
        </w:rPr>
        <w:t>Plastic-free cushioning alternatives</w:t>
      </w:r>
    </w:p>
    <w:p>
      <w:pPr>
        <w:pStyle w:val="ListBullet"/>
        <w:ind w:left="360" w:hanging="360"/>
      </w:pPr>
      <w:r/>
      <w:r>
        <w:rPr>
          <w:rFonts w:ascii="DejaVu Sans" w:hAnsi="DejaVu Sans"/>
          <w:b/>
          <w:i w:val="0"/>
          <w:color w:val="2D5016"/>
          <w:sz w:val="22"/>
        </w:rPr>
        <w:t>Personal Care</w:t>
      </w:r>
      <w:r>
        <w:rPr>
          <w:rFonts w:ascii="DejaVu Sans" w:hAnsi="DejaVu Sans"/>
          <w:b w:val="0"/>
          <w:i w:val="0"/>
          <w:color w:val="2D5016"/>
          <w:sz w:val="22"/>
        </w:rPr>
        <w:t>: Premium positioning aligned with sustainability values</w:t>
      </w:r>
    </w:p>
    <w:p>
      <w:pPr>
        <w:pStyle w:val="ListBullet"/>
        <w:ind w:left="936" w:hanging="360"/>
      </w:pPr>
      <w:r/>
      <w:r>
        <w:rPr>
          <w:rFonts w:ascii="DejaVu Sans" w:hAnsi="DejaVu Sans"/>
          <w:b w:val="0"/>
          <w:i w:val="0"/>
          <w:color w:val="2D5016"/>
          <w:sz w:val="22"/>
        </w:rPr>
        <w:t>Refillable packaging systems</w:t>
      </w:r>
    </w:p>
    <w:p>
      <w:pPr>
        <w:pStyle w:val="ListBullet"/>
        <w:ind w:left="936" w:hanging="360"/>
      </w:pPr>
      <w:r/>
      <w:r>
        <w:rPr>
          <w:rFonts w:ascii="DejaVu Sans" w:hAnsi="DejaVu Sans"/>
          <w:b w:val="0"/>
          <w:i w:val="0"/>
          <w:color w:val="2D5016"/>
          <w:sz w:val="22"/>
        </w:rPr>
        <w:t>Ocean plastic and recycled content integration</w:t>
      </w:r>
    </w:p>
    <w:p>
      <w:pPr>
        <w:pStyle w:val="ListBullet"/>
        <w:ind w:left="936" w:hanging="360"/>
      </w:pPr>
      <w:r/>
      <w:r>
        <w:rPr>
          <w:rFonts w:ascii="DejaVu Sans" w:hAnsi="DejaVu Sans"/>
          <w:b w:val="0"/>
          <w:i w:val="0"/>
          <w:color w:val="2D5016"/>
          <w:sz w:val="22"/>
        </w:rPr>
        <w:t>Minimalist design reducing material usage</w:t>
      </w:r>
    </w:p>
    <w:p>
      <w:pPr>
        <w:pStyle w:val="Heading3"/>
        <w:spacing w:before="280" w:after="200"/>
        <w:jc w:val="left"/>
      </w:pPr>
      <w:r>
        <w:rPr>
          <w:rFonts w:ascii="DejaVu Sans" w:hAnsi="DejaVu Sans"/>
          <w:b/>
          <w:i w:val="0"/>
          <w:color w:val="558B2F"/>
          <w:sz w:val="36"/>
        </w:rPr>
        <w:t>1.3.5 Technological Innovation</w:t>
      </w:r>
    </w:p>
    <w:p>
      <w:pPr>
        <w:spacing w:before="0" w:after="240"/>
        <w:jc w:val="both"/>
      </w:pPr>
      <w:r>
        <w:rPr>
          <w:rFonts w:ascii="DejaVu Sans" w:hAnsi="DejaVu Sans"/>
          <w:b w:val="0"/>
          <w:i w:val="0"/>
          <w:color w:val="2D5016"/>
          <w:sz w:val="22"/>
        </w:rPr>
        <w:t xml:space="preserve">Advancements in packaging technology are enabling new sustainable solutions that were previously unfeasible. Innovations include </w:t>
      </w:r>
      <w:r>
        <w:rPr>
          <w:rFonts w:ascii="DejaVu Sans" w:hAnsi="DejaVu Sans"/>
          <w:b/>
          <w:i w:val="0"/>
          <w:color w:val="2D5016"/>
          <w:sz w:val="22"/>
        </w:rPr>
        <w:t>smart packaging</w:t>
      </w:r>
      <w:r>
        <w:rPr>
          <w:rFonts w:ascii="DejaVu Sans" w:hAnsi="DejaVu Sans"/>
          <w:b w:val="0"/>
          <w:i w:val="0"/>
          <w:color w:val="2D5016"/>
          <w:sz w:val="22"/>
        </w:rPr>
        <w:t xml:space="preserve"> with enhanced traceability, </w:t>
      </w:r>
      <w:r>
        <w:rPr>
          <w:rFonts w:ascii="DejaVu Sans" w:hAnsi="DejaVu Sans"/>
          <w:b/>
          <w:i w:val="0"/>
          <w:color w:val="2D5016"/>
          <w:sz w:val="22"/>
        </w:rPr>
        <w:t>digital printing</w:t>
      </w:r>
      <w:r>
        <w:rPr>
          <w:rFonts w:ascii="DejaVu Sans" w:hAnsi="DejaVu Sans"/>
          <w:b w:val="0"/>
          <w:i w:val="0"/>
          <w:color w:val="2D5016"/>
          <w:sz w:val="22"/>
        </w:rPr>
        <w:t xml:space="preserve"> reducing waste from shorter runs, </w:t>
      </w:r>
      <w:r>
        <w:rPr>
          <w:rFonts w:ascii="DejaVu Sans" w:hAnsi="DejaVu Sans"/>
          <w:b/>
          <w:i w:val="0"/>
          <w:color w:val="2D5016"/>
          <w:sz w:val="22"/>
        </w:rPr>
        <w:t>advanced bio-based barriers</w:t>
      </w:r>
      <w:r>
        <w:rPr>
          <w:rFonts w:ascii="DejaVu Sans" w:hAnsi="DejaVu Sans"/>
          <w:b w:val="0"/>
          <w:i w:val="0"/>
          <w:color w:val="2D5016"/>
          <w:sz w:val="22"/>
        </w:rPr>
        <w:t xml:space="preserve"> matching conventional plastic performance, and </w:t>
      </w:r>
      <w:r>
        <w:rPr>
          <w:rFonts w:ascii="DejaVu Sans" w:hAnsi="DejaVu Sans"/>
          <w:b/>
          <w:i w:val="0"/>
          <w:color w:val="2D5016"/>
          <w:sz w:val="22"/>
        </w:rPr>
        <w:t>chemical recycling technologies</w:t>
      </w:r>
      <w:r>
        <w:rPr>
          <w:rFonts w:ascii="DejaVu Sans" w:hAnsi="DejaVu Sans"/>
          <w:b w:val="0"/>
          <w:i w:val="0"/>
          <w:color w:val="2D5016"/>
          <w:sz w:val="22"/>
        </w:rPr>
        <w:t xml:space="preserve"> expanding material circularity.</w:t>
      </w:r>
    </w:p>
    <w:p>
      <w:pPr>
        <w:pStyle w:val="Heading2"/>
        <w:spacing w:before="360" w:after="280"/>
        <w:jc w:val="left"/>
      </w:pPr>
      <w:r>
        <w:rPr>
          <w:rFonts w:ascii="DejaVu Sans" w:hAnsi="DejaVu Sans"/>
          <w:b/>
          <w:i w:val="0"/>
          <w:color w:val="2D5016"/>
          <w:sz w:val="44"/>
        </w:rPr>
        <w:t>1.4 Regional Market Dynamics</w:t>
      </w:r>
    </w:p>
    <w:p>
      <w:pPr>
        <w:spacing w:before="0" w:after="240"/>
        <w:jc w:val="both"/>
      </w:pPr>
      <w:r>
        <w:rPr>
          <w:rFonts w:ascii="DejaVu Sans" w:hAnsi="DejaVu Sans"/>
          <w:b w:val="0"/>
          <w:i w:val="0"/>
          <w:color w:val="2D5016"/>
          <w:sz w:val="22"/>
        </w:rPr>
        <w:t>The sustainable packaging opportunity varies significantly by geographic region, with distinct regulatory environments and market maturity levels:</w:t>
      </w:r>
    </w:p>
    <w:p>
      <w:pPr>
        <w:spacing w:after="300"/>
      </w:pPr>
    </w:p>
    <w:tbl>
      <w:tblPr>
        <w:tblW w:type="auto" w:w="0"/>
        <w:tblLook w:firstColumn="1" w:firstRow="1" w:lastColumn="0" w:lastRow="0" w:noHBand="0" w:noVBand="1" w:val="04A0"/>
        <w:tblBorders>
          <w:top w:val="single" w:sz="12" w:space="0" w:color="1b5e20"/>
          <w:left w:val="single" w:sz="12" w:space="0" w:color="1b5e20"/>
          <w:bottom w:val="single" w:sz="12" w:space="0" w:color="1b5e20"/>
          <w:right w:val="single" w:sz="12" w:space="0" w:color="1b5e20"/>
          <w:insideH w:val="single" w:sz="4" w:space="0" w:color="c5e1a5"/>
          <w:insideV w:val="single" w:sz="4" w:space="0" w:color="c5e1a5"/>
        </w:tblBorders>
        <w:tblInd w:w="120" w:type="dxa"/>
      </w:tblPr>
      <w:tblGrid>
        <w:gridCol w:w="2409"/>
        <w:gridCol w:w="2409"/>
        <w:gridCol w:w="2409"/>
        <w:gridCol w:w="2409"/>
      </w:tblGrid>
      <w:tr>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Region</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Market Position</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Key Characteristics</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Growth Outlook</w:t>
            </w:r>
          </w:p>
        </w:tc>
      </w:tr>
      <w:tr>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North America</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Leading Market</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Strong regulatory frameworks, mature consumer awareness, corporate sustainability leadership</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Steady growth</w:t>
            </w:r>
          </w:p>
        </w:tc>
      </w:tr>
      <w:tr>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Europe</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Leading Market</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Strictest regulations (EU Plastics Strategy), circular economy leadership, high recycled content mandates</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Sustained high growth</w:t>
            </w:r>
          </w:p>
        </w:tc>
      </w:tr>
      <w:tr>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Asia Pacific</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Fast-Growing</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Increasing government initiatives, rapid urbanization, growing middle class, elimination of plastic packaging targets</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Highest growth rate</w:t>
            </w:r>
          </w:p>
        </w:tc>
      </w:tr>
      <w:tr>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Latin America</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Emerging</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Growing awareness, regulatory development, urban sustainability initiatives</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Moderate growth</w:t>
            </w:r>
          </w:p>
        </w:tc>
      </w:tr>
      <w:tr>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Middle East &amp; Africa</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Developing</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Early stage adoption, increasing awareness, regulatory frameworks emerging</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Early-stage growth</w:t>
            </w:r>
          </w:p>
        </w:tc>
      </w:tr>
    </w:tbl>
    <w:p>
      <w:pPr>
        <w:jc w:val="center"/>
      </w:pPr>
      <w:r>
        <w:rPr>
          <w:rFonts w:ascii="DejaVu Sans" w:hAnsi="DejaVu Sans"/>
          <w:b w:val="0"/>
          <w:i/>
          <w:color w:val="2D5016"/>
          <w:sz w:val="22"/>
        </w:rPr>
        <w:t>Regional Market Characteristics</w:t>
      </w:r>
    </w:p>
    <w:p>
      <w:pPr>
        <w:spacing w:before="300"/>
      </w:pPr>
    </w:p>
    <w:p>
      <w:pPr>
        <w:spacing w:before="0" w:after="240"/>
        <w:jc w:val="both"/>
      </w:pPr>
      <w:r>
        <w:rPr>
          <w:rFonts w:ascii="DejaVu Sans" w:hAnsi="DejaVu Sans"/>
          <w:b/>
          <w:i w:val="0"/>
          <w:color w:val="2D5016"/>
          <w:sz w:val="22"/>
        </w:rPr>
        <w:t>North America and Europe</w:t>
      </w:r>
      <w:r>
        <w:rPr>
          <w:rFonts w:ascii="DejaVu Sans" w:hAnsi="DejaVu Sans"/>
          <w:b w:val="0"/>
          <w:i w:val="0"/>
          <w:color w:val="2D5016"/>
          <w:sz w:val="22"/>
        </w:rPr>
        <w:t xml:space="preserve"> lead the market with well-established regulatory frameworks and strong consumer demand for sustainable solutions. </w:t>
      </w:r>
      <w:r>
        <w:rPr>
          <w:rFonts w:ascii="DejaVu Sans" w:hAnsi="DejaVu Sans"/>
          <w:b/>
          <w:i w:val="0"/>
          <w:color w:val="2D5016"/>
          <w:sz w:val="22"/>
        </w:rPr>
        <w:t>Asia Pacific</w:t>
      </w:r>
      <w:r>
        <w:rPr>
          <w:rFonts w:ascii="DejaVu Sans" w:hAnsi="DejaVu Sans"/>
          <w:b w:val="0"/>
          <w:i w:val="0"/>
          <w:color w:val="2D5016"/>
          <w:sz w:val="22"/>
        </w:rPr>
        <w:t xml:space="preserve"> is identified as the fastest-growing market, driven by government initiatives to eliminate plastic packaging, rapid economic development, and increasing private-sector commitments to sustainability.</w:t>
      </w:r>
    </w:p>
    <w:p>
      <w:pPr>
        <w:pStyle w:val="Heading2"/>
        <w:spacing w:before="360" w:after="280"/>
        <w:jc w:val="left"/>
      </w:pPr>
      <w:r>
        <w:rPr>
          <w:rFonts w:ascii="DejaVu Sans" w:hAnsi="DejaVu Sans"/>
          <w:b/>
          <w:i w:val="0"/>
          <w:color w:val="2D5016"/>
          <w:sz w:val="44"/>
        </w:rPr>
        <w:t>1.5 Material Preferences and Market Segmentation</w:t>
      </w:r>
    </w:p>
    <w:p>
      <w:pPr>
        <w:spacing w:before="0" w:after="240"/>
        <w:jc w:val="both"/>
      </w:pPr>
      <w:r>
        <w:rPr>
          <w:rFonts w:ascii="DejaVu Sans" w:hAnsi="DejaVu Sans"/>
          <w:b w:val="0"/>
          <w:i w:val="0"/>
          <w:color w:val="2D5016"/>
          <w:sz w:val="22"/>
        </w:rPr>
        <w:t>Material selection represents a critical dimension of the sustainable packaging market, with clear preferences emerging based on environmental performance, functionality, and cost considerations:</w:t>
      </w:r>
    </w:p>
    <w:p>
      <w:pPr>
        <w:spacing w:before="300" w:after="300"/>
        <w:jc w:val="left"/>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tmpqtznxyt8.png"/>
                    <pic:cNvPicPr/>
                  </pic:nvPicPr>
                  <pic:blipFill>
                    <a:blip r:embed="rId13"/>
                    <a:stretch>
                      <a:fillRect/>
                    </a:stretch>
                  </pic:blipFill>
                  <pic:spPr>
                    <a:xfrm>
                      <a:off x="0" y="0"/>
                      <a:ext cx="5486400" cy="2743200"/>
                    </a:xfrm>
                    <a:prstGeom prst="rect"/>
                  </pic:spPr>
                </pic:pic>
              </a:graphicData>
            </a:graphic>
          </wp:inline>
        </w:drawing>
      </w:r>
    </w:p>
    <w:p>
      <w:pPr>
        <w:spacing w:before="0" w:after="240"/>
        <w:jc w:val="both"/>
      </w:pPr>
      <w:r>
        <w:rPr>
          <w:rFonts w:ascii="DejaVu Sans" w:hAnsi="DejaVu Sans"/>
          <w:b/>
          <w:i w:val="0"/>
          <w:color w:val="2D5016"/>
          <w:sz w:val="22"/>
        </w:rPr>
        <w:t>Paper and paperboard materials</w:t>
      </w:r>
      <w:r>
        <w:rPr>
          <w:rFonts w:ascii="DejaVu Sans" w:hAnsi="DejaVu Sans"/>
          <w:b w:val="0"/>
          <w:i w:val="0"/>
          <w:color w:val="2D5016"/>
          <w:sz w:val="22"/>
        </w:rPr>
        <w:t xml:space="preserve"> dominate the sustainable packaging landscape, holding approximately </w:t>
      </w:r>
      <w:r>
        <w:rPr>
          <w:rFonts w:ascii="DejaVu Sans" w:hAnsi="DejaVu Sans"/>
          <w:b/>
          <w:i w:val="0"/>
          <w:color w:val="2D5016"/>
          <w:sz w:val="22"/>
        </w:rPr>
        <w:t>42% market share in 2025</w:t>
      </w:r>
      <w:r>
        <w:rPr>
          <w:rFonts w:ascii="DejaVu Sans" w:hAnsi="DejaVu Sans"/>
          <w:b w:val="0"/>
          <w:i w:val="0"/>
          <w:color w:val="2D5016"/>
          <w:sz w:val="22"/>
        </w:rPr>
        <w:t>. This leadership position stems from their inherent recyclability, biodegradability, widespread infrastructure for collection and processing, cost-effectiveness relative to many alternatives, and versatility across diverse applications.</w:t>
      </w:r>
    </w:p>
    <w:p>
      <w:pPr>
        <w:spacing w:before="0" w:after="240"/>
        <w:jc w:val="both"/>
      </w:pPr>
      <w:r>
        <w:rPr>
          <w:rFonts w:ascii="DejaVu Sans" w:hAnsi="DejaVu Sans"/>
          <w:b w:val="0"/>
          <w:i w:val="0"/>
          <w:color w:val="2D5016"/>
          <w:sz w:val="22"/>
        </w:rPr>
        <w:t>Bioplastics and recycled plastics together account for approximately 40% of the market, reflecting the ongoing transition from virgin fossil-based plastics toward renewable and circular alternatives. Glass and metal maintain steady market share in premium and reusable packaging segments.</w:t>
      </w:r>
    </w:p>
    <w:p>
      <w:pPr>
        <w:pStyle w:val="Heading2"/>
        <w:spacing w:before="360" w:after="280"/>
        <w:jc w:val="left"/>
      </w:pPr>
      <w:r>
        <w:rPr>
          <w:rFonts w:ascii="DejaVu Sans" w:hAnsi="DejaVu Sans"/>
          <w:b/>
          <w:i w:val="0"/>
          <w:color w:val="2D5016"/>
          <w:sz w:val="44"/>
        </w:rPr>
        <w:t>1.6 Strategic Opportunity Summary</w:t>
      </w:r>
    </w:p>
    <w:p>
      <w:pPr>
        <w:spacing w:before="0" w:after="240"/>
        <w:jc w:val="both"/>
      </w:pPr>
      <w:r>
        <w:rPr>
          <w:rFonts w:ascii="DejaVu Sans" w:hAnsi="DejaVu Sans"/>
          <w:b w:val="0"/>
          <w:i w:val="0"/>
          <w:color w:val="2D5016"/>
          <w:sz w:val="22"/>
        </w:rPr>
        <w:t>Our startup is strategically positioned to capitalize on a sustainable packaging market characterized by:</w:t>
      </w:r>
    </w:p>
    <w:p>
      <w:pPr>
        <w:pStyle w:val="ListBullet"/>
        <w:ind w:left="360" w:hanging="360"/>
      </w:pPr>
      <w:r/>
      <w:r>
        <w:rPr>
          <w:rFonts w:ascii="DejaVu Sans" w:hAnsi="DejaVu Sans"/>
          <w:b/>
          <w:i w:val="0"/>
          <w:color w:val="2D5016"/>
          <w:sz w:val="22"/>
        </w:rPr>
        <w:t>Substantial market size</w:t>
      </w:r>
      <w:r>
        <w:rPr>
          <w:rFonts w:ascii="DejaVu Sans" w:hAnsi="DejaVu Sans"/>
          <w:b w:val="0"/>
          <w:i w:val="0"/>
          <w:color w:val="2D5016"/>
          <w:sz w:val="22"/>
        </w:rPr>
        <w:t xml:space="preserve"> valued at USD 300-375 billion currently, with projections exceeding USD 530-845 billion by 2035</w:t>
      </w:r>
    </w:p>
    <w:p>
      <w:pPr>
        <w:pStyle w:val="ListBullet"/>
        <w:ind w:left="360" w:hanging="360"/>
      </w:pPr>
      <w:r/>
      <w:r>
        <w:rPr>
          <w:rFonts w:ascii="DejaVu Sans" w:hAnsi="DejaVu Sans"/>
          <w:b/>
          <w:i w:val="0"/>
          <w:color w:val="2D5016"/>
          <w:sz w:val="22"/>
        </w:rPr>
        <w:t>Robust growth rates</w:t>
      </w:r>
      <w:r>
        <w:rPr>
          <w:rFonts w:ascii="DejaVu Sans" w:hAnsi="DejaVu Sans"/>
          <w:b w:val="0"/>
          <w:i w:val="0"/>
          <w:color w:val="2D5016"/>
          <w:sz w:val="22"/>
        </w:rPr>
        <w:t xml:space="preserve"> of 6-8.5% CAGR sustained over the next decade</w:t>
      </w:r>
    </w:p>
    <w:p>
      <w:pPr>
        <w:pStyle w:val="ListBullet"/>
        <w:ind w:left="360" w:hanging="360"/>
      </w:pPr>
      <w:r/>
      <w:r>
        <w:rPr>
          <w:rFonts w:ascii="DejaVu Sans" w:hAnsi="DejaVu Sans"/>
          <w:b/>
          <w:i w:val="0"/>
          <w:color w:val="2D5016"/>
          <w:sz w:val="22"/>
        </w:rPr>
        <w:t>Multiple powerful drivers</w:t>
      </w:r>
      <w:r>
        <w:rPr>
          <w:rFonts w:ascii="DejaVu Sans" w:hAnsi="DejaVu Sans"/>
          <w:b w:val="0"/>
          <w:i w:val="0"/>
          <w:color w:val="2D5016"/>
          <w:sz w:val="22"/>
        </w:rPr>
        <w:t xml:space="preserve"> including consumer demand, regulatory mandates, and corporate ESG commitments working synergistically</w:t>
      </w:r>
    </w:p>
    <w:p>
      <w:pPr>
        <w:pStyle w:val="ListBullet"/>
        <w:ind w:left="360" w:hanging="360"/>
      </w:pPr>
      <w:r/>
      <w:r>
        <w:rPr>
          <w:rFonts w:ascii="DejaVu Sans" w:hAnsi="DejaVu Sans"/>
          <w:b/>
          <w:i w:val="0"/>
          <w:color w:val="2D5016"/>
          <w:sz w:val="22"/>
        </w:rPr>
        <w:t>Global opportunity</w:t>
      </w:r>
      <w:r>
        <w:rPr>
          <w:rFonts w:ascii="DejaVu Sans" w:hAnsi="DejaVu Sans"/>
          <w:b w:val="0"/>
          <w:i w:val="0"/>
          <w:color w:val="2D5016"/>
          <w:sz w:val="22"/>
        </w:rPr>
        <w:t xml:space="preserve"> with particular strength in North America, Europe, and rapidly growing Asia Pacific markets</w:t>
      </w:r>
    </w:p>
    <w:p>
      <w:pPr>
        <w:pStyle w:val="ListBullet"/>
        <w:ind w:left="360" w:hanging="360"/>
      </w:pPr>
      <w:r/>
      <w:r>
        <w:rPr>
          <w:rFonts w:ascii="DejaVu Sans" w:hAnsi="DejaVu Sans"/>
          <w:b/>
          <w:i w:val="0"/>
          <w:color w:val="2D5016"/>
          <w:sz w:val="22"/>
        </w:rPr>
        <w:t>Material diversity</w:t>
      </w:r>
      <w:r>
        <w:rPr>
          <w:rFonts w:ascii="DejaVu Sans" w:hAnsi="DejaVu Sans"/>
          <w:b w:val="0"/>
          <w:i w:val="0"/>
          <w:color w:val="2D5016"/>
          <w:sz w:val="22"/>
        </w:rPr>
        <w:t xml:space="preserve"> allowing for tailored solutions across client needs and applications</w:t>
      </w:r>
    </w:p>
    <w:p>
      <w:pPr>
        <w:pStyle w:val="ListBullet"/>
        <w:ind w:left="360" w:hanging="360"/>
      </w:pPr>
      <w:r/>
      <w:r>
        <w:rPr>
          <w:rFonts w:ascii="DejaVu Sans" w:hAnsi="DejaVu Sans"/>
          <w:b/>
          <w:i w:val="0"/>
          <w:color w:val="2D5016"/>
          <w:sz w:val="22"/>
        </w:rPr>
        <w:t>Sector breadth</w:t>
      </w:r>
      <w:r>
        <w:rPr>
          <w:rFonts w:ascii="DejaVu Sans" w:hAnsi="DejaVu Sans"/>
          <w:b w:val="0"/>
          <w:i w:val="0"/>
          <w:color w:val="2D5016"/>
          <w:sz w:val="22"/>
        </w:rPr>
        <w:t xml:space="preserve"> spanning food &amp; beverage, e-commerce, personal care, and other high-growth industries</w:t>
      </w:r>
    </w:p>
    <w:p>
      <w:pPr>
        <w:spacing w:before="0" w:after="240"/>
        <w:jc w:val="both"/>
      </w:pPr>
      <w:r>
        <w:rPr>
          <w:rFonts w:ascii="DejaVu Sans" w:hAnsi="DejaVu Sans"/>
          <w:b w:val="0"/>
          <w:i w:val="0"/>
          <w:color w:val="2D5016"/>
          <w:sz w:val="22"/>
        </w:rPr>
        <w:t>This convergence of market size, growth momentum, and structural drivers creates a compelling opportunity to deliver innovative, eco-friendly packaging solutions that align precisely with evolving market demands and regulatory requirements. Our entry into this market is timely, strategic, and positioned for substantial growth as sustainability transitions from competitive advantage to market necessity.</w:t>
      </w:r>
    </w:p>
    <w:p>
      <w:r>
        <w:br w:type="page"/>
      </w:r>
    </w:p>
    <w:p>
      <w:pPr>
        <w:pStyle w:val="Heading1"/>
        <w:spacing w:before="480" w:after="360"/>
        <w:jc w:val="center"/>
      </w:pPr>
      <w:r>
        <w:rPr>
          <w:rFonts w:ascii="DejaVu Sans" w:hAnsi="DejaVu Sans"/>
          <w:b/>
          <w:i w:val="0"/>
          <w:color w:val="1B5E20"/>
          <w:sz w:val="56"/>
        </w:rPr>
        <w:t>2. Business Description, Target Clients, and Products</w:t>
      </w:r>
    </w:p>
    <w:p>
      <w:pPr>
        <w:spacing w:before="0" w:after="240"/>
        <w:jc w:val="both"/>
      </w:pPr>
      <w:r>
        <w:rPr>
          <w:rFonts w:ascii="DejaVu Sans" w:hAnsi="DejaVu Sans"/>
          <w:b w:val="0"/>
          <w:i w:val="0"/>
          <w:color w:val="2D5016"/>
          <w:sz w:val="22"/>
        </w:rPr>
        <w:t>This chapter provides a comprehensive overview of the sustainable packaging startup's organizational structure, strategic focus areas, and target market segments. It details the full spectrum of products and services offered, from raw material sourcing to final delivery, demonstrating how the company addresses diverse client needs while maintaining unwavering commitment to environmental responsibility.</w:t>
      </w:r>
    </w:p>
    <w:p>
      <w:pPr>
        <w:pStyle w:val="Heading2"/>
        <w:spacing w:before="360" w:after="280"/>
        <w:jc w:val="left"/>
      </w:pPr>
      <w:r>
        <w:rPr>
          <w:rFonts w:ascii="DejaVu Sans" w:hAnsi="DejaVu Sans"/>
          <w:b/>
          <w:i w:val="0"/>
          <w:color w:val="2D5016"/>
          <w:sz w:val="44"/>
        </w:rPr>
        <w:t>2.1 Company Structure and Focus Areas</w:t>
      </w:r>
    </w:p>
    <w:p>
      <w:pPr>
        <w:spacing w:before="0" w:after="240"/>
        <w:jc w:val="both"/>
      </w:pPr>
      <w:r>
        <w:rPr>
          <w:rFonts w:ascii="DejaVu Sans" w:hAnsi="DejaVu Sans"/>
          <w:b w:val="0"/>
          <w:i w:val="0"/>
          <w:color w:val="2D5016"/>
          <w:sz w:val="22"/>
        </w:rPr>
        <w:t xml:space="preserve">The sustainable packaging startup operates as a </w:t>
      </w:r>
      <w:r>
        <w:rPr>
          <w:rFonts w:ascii="DejaVu Sans" w:hAnsi="DejaVu Sans"/>
          <w:b/>
          <w:i w:val="0"/>
          <w:color w:val="2D5016"/>
          <w:sz w:val="22"/>
        </w:rPr>
        <w:t>mission-driven enterprise</w:t>
      </w:r>
      <w:r>
        <w:rPr>
          <w:rFonts w:ascii="DejaVu Sans" w:hAnsi="DejaVu Sans"/>
          <w:b w:val="0"/>
          <w:i w:val="0"/>
          <w:color w:val="2D5016"/>
          <w:sz w:val="22"/>
        </w:rPr>
        <w:t xml:space="preserve"> dedicated to offering innovative biodegradable and compostable packaging solutions. The company's core structure emphasizes environmental responsibility while maintaining operational efficiency and profitability. The business can be organized as a sole proprietorship, partnership, or limited liability entity, depending on ownership preferences and investor requirements. Regardless of legal structure, the company maintains a clear commitment to reducing environmental impact through responsible sourcing, lean manufacturing, and sustainable logistics practices.</w:t>
      </w:r>
    </w:p>
    <w:p>
      <w:pPr>
        <w:spacing w:before="0" w:after="240"/>
        <w:jc w:val="both"/>
      </w:pPr>
      <w:r>
        <w:rPr>
          <w:rFonts w:ascii="DejaVu Sans" w:hAnsi="DejaVu Sans"/>
          <w:b w:val="0"/>
          <w:i w:val="0"/>
          <w:color w:val="2D5016"/>
          <w:sz w:val="22"/>
        </w:rPr>
        <w:t>The startup's strategic focus areas encompass the complete lifecycle of packaging production—from raw material procurement through final product delivery. This holistic approach ensures consistency in environmental standards across all operational phases.</w:t>
      </w:r>
    </w:p>
    <w:p>
      <w:pPr>
        <w:pStyle w:val="Heading3"/>
        <w:spacing w:before="280" w:after="200"/>
        <w:jc w:val="left"/>
      </w:pPr>
      <w:r>
        <w:rPr>
          <w:rFonts w:ascii="DejaVu Sans" w:hAnsi="DejaVu Sans"/>
          <w:b/>
          <w:i w:val="0"/>
          <w:color w:val="558B2F"/>
          <w:sz w:val="36"/>
        </w:rPr>
        <w:t>2.1.1 Core Operational Priorities</w:t>
      </w:r>
    </w:p>
    <w:p>
      <w:pPr>
        <w:pStyle w:val="ListBullet"/>
        <w:ind w:left="360" w:hanging="360"/>
      </w:pPr>
      <w:r/>
      <w:r>
        <w:rPr>
          <w:rFonts w:ascii="DejaVu Sans" w:hAnsi="DejaVu Sans"/>
          <w:b/>
          <w:i w:val="0"/>
          <w:color w:val="2D5016"/>
          <w:sz w:val="22"/>
        </w:rPr>
        <w:t>Supply Chain Resilience</w:t>
      </w:r>
      <w:r>
        <w:rPr>
          <w:rFonts w:ascii="DejaVu Sans" w:hAnsi="DejaVu Sans"/>
          <w:b w:val="0"/>
          <w:i w:val="0"/>
          <w:color w:val="2D5016"/>
          <w:sz w:val="22"/>
        </w:rPr>
        <w:t>: Establishing partnerships with multiple vetted suppliers to ensure material availability and competitive pricing</w:t>
      </w:r>
    </w:p>
    <w:p>
      <w:pPr>
        <w:pStyle w:val="ListBullet"/>
        <w:ind w:left="360" w:hanging="360"/>
      </w:pPr>
      <w:r/>
      <w:r>
        <w:rPr>
          <w:rFonts w:ascii="DejaVu Sans" w:hAnsi="DejaVu Sans"/>
          <w:b/>
          <w:i w:val="0"/>
          <w:color w:val="2D5016"/>
          <w:sz w:val="22"/>
        </w:rPr>
        <w:t>Production Optimization</w:t>
      </w:r>
      <w:r>
        <w:rPr>
          <w:rFonts w:ascii="DejaVu Sans" w:hAnsi="DejaVu Sans"/>
          <w:b w:val="0"/>
          <w:i w:val="0"/>
          <w:color w:val="2D5016"/>
          <w:sz w:val="22"/>
        </w:rPr>
        <w:t>: Implementing lean manufacturing processes that minimize waste generation and energy consumption</w:t>
      </w:r>
    </w:p>
    <w:p>
      <w:pPr>
        <w:pStyle w:val="ListBullet"/>
        <w:ind w:left="360" w:hanging="360"/>
      </w:pPr>
      <w:r/>
      <w:r>
        <w:rPr>
          <w:rFonts w:ascii="DejaVu Sans" w:hAnsi="DejaVu Sans"/>
          <w:b/>
          <w:i w:val="0"/>
          <w:color w:val="2D5016"/>
          <w:sz w:val="22"/>
        </w:rPr>
        <w:t>Sustainable Logistics</w:t>
      </w:r>
      <w:r>
        <w:rPr>
          <w:rFonts w:ascii="DejaVu Sans" w:hAnsi="DejaVu Sans"/>
          <w:b w:val="0"/>
          <w:i w:val="0"/>
          <w:color w:val="2D5016"/>
          <w:sz w:val="22"/>
        </w:rPr>
        <w:t>: Utilizing eco-friendly transportation methods to reduce carbon footprints throughout the distribution network</w:t>
      </w:r>
    </w:p>
    <w:p>
      <w:pPr>
        <w:pStyle w:val="ListBullet"/>
        <w:ind w:left="360" w:hanging="360"/>
      </w:pPr>
      <w:r/>
      <w:r>
        <w:rPr>
          <w:rFonts w:ascii="DejaVu Sans" w:hAnsi="DejaVu Sans"/>
          <w:b/>
          <w:i w:val="0"/>
          <w:color w:val="2D5016"/>
          <w:sz w:val="22"/>
        </w:rPr>
        <w:t>Innovation Leadership</w:t>
      </w:r>
      <w:r>
        <w:rPr>
          <w:rFonts w:ascii="DejaVu Sans" w:hAnsi="DejaVu Sans"/>
          <w:b w:val="0"/>
          <w:i w:val="0"/>
          <w:color w:val="2D5016"/>
          <w:sz w:val="22"/>
        </w:rPr>
        <w:t>: Continuously investing in research and development of new sustainable materials and production techniques</w:t>
      </w:r>
    </w:p>
    <w:p>
      <w:pPr>
        <w:pStyle w:val="ListBullet"/>
        <w:ind w:left="360" w:hanging="360"/>
      </w:pPr>
      <w:r/>
      <w:r>
        <w:rPr>
          <w:rFonts w:ascii="DejaVu Sans" w:hAnsi="DejaVu Sans"/>
          <w:b/>
          <w:i w:val="0"/>
          <w:color w:val="2D5016"/>
          <w:sz w:val="22"/>
        </w:rPr>
        <w:t>Quality Assurance</w:t>
      </w:r>
      <w:r>
        <w:rPr>
          <w:rFonts w:ascii="DejaVu Sans" w:hAnsi="DejaVu Sans"/>
          <w:b w:val="0"/>
          <w:i w:val="0"/>
          <w:color w:val="2D5016"/>
          <w:sz w:val="22"/>
        </w:rPr>
        <w:t>: Maintaining rigorous testing protocols to ensure product reliability and environmental compliance</w:t>
      </w:r>
    </w:p>
    <w:p>
      <w:pPr>
        <w:spacing w:before="0" w:after="240"/>
        <w:jc w:val="both"/>
      </w:pPr>
      <w:r>
        <w:rPr>
          <w:rFonts w:ascii="DejaVu Sans" w:hAnsi="DejaVu Sans"/>
          <w:b w:val="0"/>
          <w:i w:val="0"/>
          <w:color w:val="2D5016"/>
          <w:sz w:val="22"/>
        </w:rPr>
        <w:t xml:space="preserve">The company prioritizes innovation in sustainable materials sourcing, ensuring that all suppliers hold relevant certifications such as </w:t>
      </w:r>
      <w:r>
        <w:rPr>
          <w:rFonts w:ascii="DejaVu Sans" w:hAnsi="DejaVu Sans"/>
          <w:b/>
          <w:i w:val="0"/>
          <w:color w:val="2D5016"/>
          <w:sz w:val="22"/>
        </w:rPr>
        <w:t>FSC (Forest Stewardship Council)</w:t>
      </w:r>
      <w:r>
        <w:rPr>
          <w:rFonts w:ascii="DejaVu Sans" w:hAnsi="DejaVu Sans"/>
          <w:b w:val="0"/>
          <w:i w:val="0"/>
          <w:color w:val="2D5016"/>
          <w:sz w:val="22"/>
        </w:rPr>
        <w:t xml:space="preserve"> for paper products or </w:t>
      </w:r>
      <w:r>
        <w:rPr>
          <w:rFonts w:ascii="DejaVu Sans" w:hAnsi="DejaVu Sans"/>
          <w:b/>
          <w:i w:val="0"/>
          <w:color w:val="2D5016"/>
          <w:sz w:val="22"/>
        </w:rPr>
        <w:t>BPI (Biodegradable Products Institute)</w:t>
      </w:r>
      <w:r>
        <w:rPr>
          <w:rFonts w:ascii="DejaVu Sans" w:hAnsi="DejaVu Sans"/>
          <w:b w:val="0"/>
          <w:i w:val="0"/>
          <w:color w:val="2D5016"/>
          <w:sz w:val="22"/>
        </w:rPr>
        <w:t xml:space="preserve"> certification for compostable materials. This certification framework provides clients with transparent verification of environmental claims and regulatory compliance.</w:t>
      </w:r>
    </w:p>
    <w:p>
      <w:pPr>
        <w:pStyle w:val="Heading2"/>
        <w:spacing w:before="360" w:after="280"/>
        <w:jc w:val="left"/>
      </w:pPr>
      <w:r>
        <w:rPr>
          <w:rFonts w:ascii="DejaVu Sans" w:hAnsi="DejaVu Sans"/>
          <w:b/>
          <w:i w:val="0"/>
          <w:color w:val="2D5016"/>
          <w:sz w:val="44"/>
        </w:rPr>
        <w:t>2.2 Target Client Segments</w:t>
      </w:r>
    </w:p>
    <w:p>
      <w:pPr>
        <w:spacing w:before="0" w:after="240"/>
        <w:jc w:val="both"/>
      </w:pPr>
      <w:r>
        <w:rPr>
          <w:rFonts w:ascii="DejaVu Sans" w:hAnsi="DejaVu Sans"/>
          <w:b w:val="0"/>
          <w:i w:val="0"/>
          <w:color w:val="2D5016"/>
          <w:sz w:val="22"/>
        </w:rPr>
        <w:t>The ideal customer base comprises diverse market segments with varying packaging needs and sustainability priorities. Understanding these distinct segments enables the company to tailor solutions that address specific functional requirements while supporting each client's environmental objectives.</w:t>
      </w:r>
    </w:p>
    <w:p>
      <w:pPr>
        <w:pStyle w:val="Heading3"/>
        <w:spacing w:before="280" w:after="200"/>
        <w:jc w:val="left"/>
      </w:pPr>
      <w:r>
        <w:rPr>
          <w:rFonts w:ascii="DejaVu Sans" w:hAnsi="DejaVu Sans"/>
          <w:b/>
          <w:i w:val="0"/>
          <w:color w:val="558B2F"/>
          <w:sz w:val="36"/>
        </w:rPr>
        <w:t>2.2.1 Primary Market Segments</w:t>
      </w:r>
    </w:p>
    <w:p>
      <w:pPr>
        <w:spacing w:after="300"/>
      </w:pPr>
    </w:p>
    <w:tbl>
      <w:tblPr>
        <w:tblW w:type="auto" w:w="0"/>
        <w:tblLook w:firstColumn="1" w:firstRow="1" w:lastColumn="0" w:lastRow="0" w:noHBand="0" w:noVBand="1" w:val="04A0"/>
        <w:tblBorders>
          <w:top w:val="single" w:sz="12" w:space="0" w:color="1b5e20"/>
          <w:left w:val="single" w:sz="12" w:space="0" w:color="1b5e20"/>
          <w:bottom w:val="single" w:sz="12" w:space="0" w:color="1b5e20"/>
          <w:right w:val="single" w:sz="12" w:space="0" w:color="1b5e20"/>
          <w:insideH w:val="single" w:sz="4" w:space="0" w:color="c5e1a5"/>
          <w:insideV w:val="single" w:sz="4" w:space="0" w:color="c5e1a5"/>
        </w:tblBorders>
        <w:tblInd w:w="120" w:type="dxa"/>
      </w:tblPr>
      <w:tblGrid>
        <w:gridCol w:w="3213"/>
        <w:gridCol w:w="3213"/>
        <w:gridCol w:w="3213"/>
      </w:tblGrid>
      <w:tr>
        <w:tc>
          <w:tcPr>
            <w:tcW w:type="dxa" w:w="3213"/>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Client Segment</w:t>
            </w:r>
          </w:p>
        </w:tc>
        <w:tc>
          <w:tcPr>
            <w:tcW w:type="dxa" w:w="3213"/>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Primary Needs</w:t>
            </w:r>
          </w:p>
        </w:tc>
        <w:tc>
          <w:tcPr>
            <w:tcW w:type="dxa" w:w="3213"/>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Key Value Drivers</w:t>
            </w:r>
          </w:p>
        </w:tc>
      </w:tr>
      <w:tr>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Specialty Food Brands</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Freshness preservation, organic certification compatibility</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Brand alignment with sustainability values, product protection</w:t>
            </w:r>
          </w:p>
        </w:tc>
      </w:tr>
      <w:tr>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E-commerce Retailers</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Protective shipping solutions, cost efficiency</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Damage prevention, consumer expectations, waste reduction</w:t>
            </w:r>
          </w:p>
        </w:tc>
      </w:tr>
      <w:tr>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Beauty &amp; Cosmetic Companies</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Aesthetic appeal, premium brand positioning</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Customizable designs, sustainability credentials, shelf presence</w:t>
            </w:r>
          </w:p>
        </w:tc>
      </w:tr>
      <w:tr>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Small Businesses &amp; Local Markets</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Affordable sustainable options, flexible order volumes</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Local sourcing preferences, community environmental values</w:t>
            </w:r>
          </w:p>
        </w:tc>
      </w:tr>
      <w:tr>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Large Corporations</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High-volume production, consistent quality</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Scalability, regulatory compliance, corporate sustainability goals</w:t>
            </w:r>
          </w:p>
        </w:tc>
      </w:tr>
    </w:tbl>
    <w:p>
      <w:pPr>
        <w:jc w:val="center"/>
      </w:pPr>
      <w:r>
        <w:rPr>
          <w:rFonts w:ascii="DejaVu Sans" w:hAnsi="DejaVu Sans"/>
          <w:b w:val="0"/>
          <w:i/>
          <w:color w:val="2D5016"/>
          <w:sz w:val="22"/>
        </w:rPr>
        <w:t>Target Client Segments and Their Packaging Requirements</w:t>
      </w:r>
    </w:p>
    <w:p>
      <w:pPr>
        <w:spacing w:before="300"/>
      </w:pPr>
    </w:p>
    <w:p>
      <w:pPr>
        <w:pStyle w:val="Heading3"/>
        <w:spacing w:before="280" w:after="200"/>
        <w:jc w:val="left"/>
      </w:pPr>
      <w:r>
        <w:rPr>
          <w:rFonts w:ascii="DejaVu Sans" w:hAnsi="DejaVu Sans"/>
          <w:b/>
          <w:i w:val="0"/>
          <w:color w:val="558B2F"/>
          <w:sz w:val="36"/>
        </w:rPr>
        <w:t>2.2.2 Detailed Segment Analysis</w:t>
      </w:r>
    </w:p>
    <w:p>
      <w:pPr>
        <w:spacing w:before="0" w:after="240"/>
        <w:jc w:val="both"/>
      </w:pPr>
      <w:r>
        <w:rPr>
          <w:rFonts w:ascii="DejaVu Sans" w:hAnsi="DejaVu Sans"/>
          <w:b/>
          <w:i w:val="0"/>
          <w:color w:val="2D5016"/>
          <w:sz w:val="22"/>
        </w:rPr>
        <w:t>Specialty Food Brands</w:t>
      </w:r>
      <w:r>
        <w:rPr>
          <w:rFonts w:ascii="DejaVu Sans" w:hAnsi="DejaVu Sans"/>
          <w:b w:val="0"/>
          <w:i w:val="0"/>
          <w:color w:val="2D5016"/>
          <w:sz w:val="22"/>
        </w:rPr>
        <w:t xml:space="preserve"> represent a primary target segment, particularly organic food producers seeking packaging that maintains product freshness while demonstrating environmental commitment. These clients value both functionality and brand alignment with sustainability values, making them ideal partners for long-term collaborative relationships.</w:t>
      </w:r>
    </w:p>
    <w:p>
      <w:pPr>
        <w:spacing w:before="0" w:after="240"/>
        <w:jc w:val="both"/>
      </w:pPr>
      <w:r>
        <w:rPr>
          <w:rFonts w:ascii="DejaVu Sans" w:hAnsi="DejaVu Sans"/>
          <w:b/>
          <w:i w:val="0"/>
          <w:color w:val="2D5016"/>
          <w:sz w:val="22"/>
        </w:rPr>
        <w:t>E-commerce Retailers</w:t>
      </w:r>
      <w:r>
        <w:rPr>
          <w:rFonts w:ascii="DejaVu Sans" w:hAnsi="DejaVu Sans"/>
          <w:b w:val="0"/>
          <w:i w:val="0"/>
          <w:color w:val="2D5016"/>
          <w:sz w:val="22"/>
        </w:rPr>
        <w:t xml:space="preserve"> constitute another significant market segment, requiring protective packaging solutions that minimize shipping damage while reducing environmental footprint and material costs. These businesses increasingly prioritize sustainable options to meet growing consumer expectations for environmentally responsible fulfillment practices.</w:t>
      </w:r>
    </w:p>
    <w:p>
      <w:pPr>
        <w:spacing w:before="0" w:after="240"/>
        <w:jc w:val="both"/>
      </w:pPr>
      <w:r>
        <w:rPr>
          <w:rFonts w:ascii="DejaVu Sans" w:hAnsi="DejaVu Sans"/>
          <w:b/>
          <w:i w:val="0"/>
          <w:color w:val="2D5016"/>
          <w:sz w:val="22"/>
        </w:rPr>
        <w:t>Beauty and Cosmetic Product Companies</w:t>
      </w:r>
      <w:r>
        <w:rPr>
          <w:rFonts w:ascii="DejaVu Sans" w:hAnsi="DejaVu Sans"/>
          <w:b w:val="0"/>
          <w:i w:val="0"/>
          <w:color w:val="2D5016"/>
          <w:sz w:val="22"/>
        </w:rPr>
        <w:t xml:space="preserve"> seek sleek, customizable packaging designs that reflect brand positioning while meeting sustainability standards. This segment values aesthetic appeal combined with eco-conscious credentials, often willing to invest premium pricing for differentiated packaging solutions.</w:t>
      </w:r>
    </w:p>
    <w:p>
      <w:pPr>
        <w:spacing w:before="0" w:after="240"/>
        <w:jc w:val="both"/>
      </w:pPr>
      <w:r>
        <w:rPr>
          <w:rFonts w:ascii="DejaVu Sans" w:hAnsi="DejaVu Sans"/>
          <w:b/>
          <w:i w:val="0"/>
          <w:color w:val="2D5016"/>
          <w:sz w:val="22"/>
        </w:rPr>
        <w:t>Small Businesses and Local Markets</w:t>
      </w:r>
      <w:r>
        <w:rPr>
          <w:rFonts w:ascii="DejaVu Sans" w:hAnsi="DejaVu Sans"/>
          <w:b w:val="0"/>
          <w:i w:val="0"/>
          <w:color w:val="2D5016"/>
          <w:sz w:val="22"/>
        </w:rPr>
        <w:t xml:space="preserve"> including food trucks and organic grocery stores represent an expanding client base. While individual order volumes may be smaller, this segment offers significant aggregate potential and strong community-based brand advocacy opportunities.</w:t>
      </w:r>
    </w:p>
    <w:p>
      <w:pPr>
        <w:spacing w:before="0" w:after="240"/>
        <w:jc w:val="both"/>
      </w:pPr>
      <w:r>
        <w:rPr>
          <w:rFonts w:ascii="DejaVu Sans" w:hAnsi="DejaVu Sans"/>
          <w:b/>
          <w:i w:val="0"/>
          <w:color w:val="2D5016"/>
          <w:sz w:val="22"/>
        </w:rPr>
        <w:t>Large Corporations</w:t>
      </w:r>
      <w:r>
        <w:rPr>
          <w:rFonts w:ascii="DejaVu Sans" w:hAnsi="DejaVu Sans"/>
          <w:b w:val="0"/>
          <w:i w:val="0"/>
          <w:color w:val="2D5016"/>
          <w:sz w:val="22"/>
        </w:rPr>
        <w:t xml:space="preserve"> across multiple industries present scalability opportunities for established sustainable packaging providers willing to meet bulk production demands and rigorous quality standards. Success in this segment requires demonstrated production capacity, consistent quality control, and comprehensive compliance documentation.</w:t>
      </w:r>
    </w:p>
    <w:p>
      <w:pPr>
        <w:pStyle w:val="Heading2"/>
        <w:spacing w:before="360" w:after="280"/>
        <w:jc w:val="left"/>
      </w:pPr>
      <w:r>
        <w:rPr>
          <w:rFonts w:ascii="DejaVu Sans" w:hAnsi="DejaVu Sans"/>
          <w:b/>
          <w:i w:val="0"/>
          <w:color w:val="2D5016"/>
          <w:sz w:val="44"/>
        </w:rPr>
        <w:t>2.3 Product and Service Offerings</w:t>
      </w:r>
    </w:p>
    <w:p>
      <w:pPr>
        <w:spacing w:before="0" w:after="240"/>
        <w:jc w:val="both"/>
      </w:pPr>
      <w:r>
        <w:rPr>
          <w:rFonts w:ascii="DejaVu Sans" w:hAnsi="DejaVu Sans"/>
          <w:b w:val="0"/>
          <w:i w:val="0"/>
          <w:color w:val="2D5016"/>
          <w:sz w:val="22"/>
        </w:rPr>
        <w:t>The company provides a comprehensive portfolio of products and services spanning the entire packaging value chain. This integrated approach enables clients to consolidate supplier relationships while ensuring consistency in environmental standards and quality benchmarks.</w:t>
      </w:r>
    </w:p>
    <w:p>
      <w:pPr>
        <w:pStyle w:val="Heading3"/>
        <w:spacing w:before="280" w:after="200"/>
        <w:jc w:val="left"/>
      </w:pPr>
      <w:r>
        <w:rPr>
          <w:rFonts w:ascii="DejaVu Sans" w:hAnsi="DejaVu Sans"/>
          <w:b/>
          <w:i w:val="0"/>
          <w:color w:val="558B2F"/>
          <w:sz w:val="36"/>
        </w:rPr>
        <w:t>2.3.1 Material Sourcing and Supply Chain Management</w:t>
      </w:r>
    </w:p>
    <w:p>
      <w:pPr>
        <w:spacing w:before="0" w:after="240"/>
        <w:jc w:val="both"/>
      </w:pPr>
      <w:r>
        <w:rPr>
          <w:rFonts w:ascii="DejaVu Sans" w:hAnsi="DejaVu Sans"/>
          <w:b w:val="0"/>
          <w:i w:val="0"/>
          <w:color w:val="2D5016"/>
          <w:sz w:val="22"/>
        </w:rPr>
        <w:t>The company sources diverse sustainable raw materials designed to replace conventional petroleum-based plastics across various applications. Primary materials include:</w:t>
      </w:r>
    </w:p>
    <w:p>
      <w:pPr>
        <w:pStyle w:val="ListBullet"/>
        <w:ind w:left="360" w:hanging="360"/>
      </w:pPr>
      <w:r/>
      <w:r>
        <w:rPr>
          <w:rFonts w:ascii="DejaVu Sans" w:hAnsi="DejaVu Sans"/>
          <w:b/>
          <w:i w:val="0"/>
          <w:color w:val="2D5016"/>
          <w:sz w:val="22"/>
        </w:rPr>
        <w:t>Polylactic Acid (PLA)</w:t>
      </w:r>
      <w:r>
        <w:rPr>
          <w:rFonts w:ascii="DejaVu Sans" w:hAnsi="DejaVu Sans"/>
          <w:b w:val="0"/>
          <w:i w:val="0"/>
          <w:color w:val="2D5016"/>
          <w:sz w:val="22"/>
        </w:rPr>
        <w:t>: Plant-based bioplastic derived from fermented sugars, suitable for rigid containers and films</w:t>
      </w:r>
    </w:p>
    <w:p>
      <w:pPr>
        <w:pStyle w:val="ListBullet"/>
        <w:ind w:left="360" w:hanging="360"/>
      </w:pPr>
      <w:r/>
      <w:r>
        <w:rPr>
          <w:rFonts w:ascii="DejaVu Sans" w:hAnsi="DejaVu Sans"/>
          <w:b/>
          <w:i w:val="0"/>
          <w:color w:val="2D5016"/>
          <w:sz w:val="22"/>
        </w:rPr>
        <w:t>Polyhydroxyalkanoates (PHA)</w:t>
      </w:r>
      <w:r>
        <w:rPr>
          <w:rFonts w:ascii="DejaVu Sans" w:hAnsi="DejaVu Sans"/>
          <w:b w:val="0"/>
          <w:i w:val="0"/>
          <w:color w:val="2D5016"/>
          <w:sz w:val="22"/>
        </w:rPr>
        <w:t>: Biodegradable polyesters produced by bacterial fermentation, offering marine biodegradability</w:t>
      </w:r>
    </w:p>
    <w:p>
      <w:pPr>
        <w:pStyle w:val="ListBullet"/>
        <w:ind w:left="360" w:hanging="360"/>
      </w:pPr>
      <w:r/>
      <w:r>
        <w:rPr>
          <w:rFonts w:ascii="DejaVu Sans" w:hAnsi="DejaVu Sans"/>
          <w:b/>
          <w:i w:val="0"/>
          <w:color w:val="2D5016"/>
          <w:sz w:val="22"/>
        </w:rPr>
        <w:t>Starch-based Resins</w:t>
      </w:r>
      <w:r>
        <w:rPr>
          <w:rFonts w:ascii="DejaVu Sans" w:hAnsi="DejaVu Sans"/>
          <w:b w:val="0"/>
          <w:i w:val="0"/>
          <w:color w:val="2D5016"/>
          <w:sz w:val="22"/>
        </w:rPr>
        <w:t>: Cost-effective materials derived from corn, potato, or tapioca starches for flexible packaging applications</w:t>
      </w:r>
    </w:p>
    <w:p>
      <w:pPr>
        <w:pStyle w:val="ListBullet"/>
        <w:ind w:left="360" w:hanging="360"/>
      </w:pPr>
      <w:r/>
      <w:r>
        <w:rPr>
          <w:rFonts w:ascii="DejaVu Sans" w:hAnsi="DejaVu Sans"/>
          <w:b/>
          <w:i w:val="0"/>
          <w:color w:val="2D5016"/>
          <w:sz w:val="22"/>
        </w:rPr>
        <w:t>Seaweed-based Biopolymers</w:t>
      </w:r>
      <w:r>
        <w:rPr>
          <w:rFonts w:ascii="DejaVu Sans" w:hAnsi="DejaVu Sans"/>
          <w:b w:val="0"/>
          <w:i w:val="0"/>
          <w:color w:val="2D5016"/>
          <w:sz w:val="22"/>
        </w:rPr>
        <w:t>: Innovative materials that convert seaweed into moldable packaging safe for marine environments</w:t>
      </w:r>
    </w:p>
    <w:p>
      <w:pPr>
        <w:spacing w:before="0" w:after="240"/>
        <w:jc w:val="both"/>
      </w:pPr>
      <w:r>
        <w:rPr>
          <w:rFonts w:ascii="DejaVu Sans" w:hAnsi="DejaVu Sans"/>
          <w:b w:val="0"/>
          <w:i w:val="0"/>
          <w:color w:val="2D5016"/>
          <w:sz w:val="22"/>
        </w:rPr>
        <w:t>Diversifying supplier relationships prevents production disruptions and ensures competitive material pricing. The company maintains comprehensive supplier vetting processes to confirm ethical sourcing practices, environmental certifications, and capacity reliability. This multi-supplier strategy provides operational resilience while supporting continuous cost optimization.</w:t>
      </w:r>
    </w:p>
    <w:p>
      <w:pPr>
        <w:pStyle w:val="Heading3"/>
        <w:spacing w:before="280" w:after="200"/>
        <w:jc w:val="left"/>
      </w:pPr>
      <w:r>
        <w:rPr>
          <w:rFonts w:ascii="DejaVu Sans" w:hAnsi="DejaVu Sans"/>
          <w:b/>
          <w:i w:val="0"/>
          <w:color w:val="558B2F"/>
          <w:sz w:val="36"/>
        </w:rPr>
        <w:t>2.3.2 Packaging Design and Customization Services</w:t>
      </w:r>
    </w:p>
    <w:p>
      <w:pPr>
        <w:spacing w:before="0" w:after="240"/>
        <w:jc w:val="both"/>
      </w:pPr>
      <w:r>
        <w:rPr>
          <w:rFonts w:ascii="DejaVu Sans" w:hAnsi="DejaVu Sans"/>
          <w:b w:val="0"/>
          <w:i w:val="0"/>
          <w:color w:val="2D5016"/>
          <w:sz w:val="22"/>
        </w:rPr>
        <w:t>Customizable solutions address specific client needs, from keeping organic foods fresh to creating sophisticated designs for beauty products. The design process incorporates sustainability metrics that quantify waste reduction and carbon emission decreases, providing clients with transparent environmental impact data for marketing communications and corporate reporting.</w:t>
      </w:r>
    </w:p>
    <w:p>
      <w:pPr>
        <w:spacing w:before="0" w:after="240"/>
        <w:jc w:val="both"/>
      </w:pPr>
      <w:r>
        <w:rPr>
          <w:rFonts w:ascii="DejaVu Sans" w:hAnsi="DejaVu Sans"/>
          <w:b w:val="0"/>
          <w:i w:val="0"/>
          <w:color w:val="2D5016"/>
          <w:sz w:val="22"/>
        </w:rPr>
        <w:t>Key design capabilities include:</w:t>
      </w:r>
    </w:p>
    <w:p>
      <w:pPr>
        <w:pStyle w:val="ListNumber"/>
        <w:numPr>
          <w:numId w:val="11"/>
          <w:ilvl w:val="0"/>
        </w:numPr>
        <w:ind w:left="360" w:hanging="360"/>
      </w:pPr>
      <w:r/>
      <w:r>
        <w:rPr>
          <w:rFonts w:ascii="DejaVu Sans" w:hAnsi="DejaVu Sans"/>
          <w:b/>
          <w:i w:val="0"/>
          <w:color w:val="2D5016"/>
          <w:sz w:val="22"/>
        </w:rPr>
        <w:t>Functional Design</w:t>
      </w:r>
      <w:r>
        <w:rPr>
          <w:rFonts w:ascii="DejaVu Sans" w:hAnsi="DejaVu Sans"/>
          <w:b w:val="0"/>
          <w:i w:val="0"/>
          <w:color w:val="2D5016"/>
          <w:sz w:val="22"/>
        </w:rPr>
        <w:t>: Engineering packaging structures optimized for product protection, shelf life extension, and handling efficiency</w:t>
      </w:r>
    </w:p>
    <w:p>
      <w:pPr>
        <w:pStyle w:val="ListNumber"/>
        <w:numPr>
          <w:ilvl w:val="0"/>
        </w:numPr>
        <w:ind w:left="360" w:hanging="360"/>
      </w:pPr>
      <w:r/>
      <w:r>
        <w:rPr>
          <w:rFonts w:ascii="DejaVu Sans" w:hAnsi="DejaVu Sans"/>
          <w:b/>
          <w:i w:val="0"/>
          <w:color w:val="2D5016"/>
          <w:sz w:val="22"/>
        </w:rPr>
        <w:t>Brand Integration</w:t>
      </w:r>
      <w:r>
        <w:rPr>
          <w:rFonts w:ascii="DejaVu Sans" w:hAnsi="DejaVu Sans"/>
          <w:b w:val="0"/>
          <w:i w:val="0"/>
          <w:color w:val="2D5016"/>
          <w:sz w:val="22"/>
        </w:rPr>
        <w:t>: Developing visual designs that reinforce brand identity while communicating sustainability commitments</w:t>
      </w:r>
    </w:p>
    <w:p>
      <w:pPr>
        <w:pStyle w:val="ListNumber"/>
        <w:numPr>
          <w:ilvl w:val="0"/>
        </w:numPr>
        <w:ind w:left="360" w:hanging="360"/>
      </w:pPr>
      <w:r/>
      <w:r>
        <w:rPr>
          <w:rFonts w:ascii="DejaVu Sans" w:hAnsi="DejaVu Sans"/>
          <w:b/>
          <w:i w:val="0"/>
          <w:color w:val="2D5016"/>
          <w:sz w:val="22"/>
        </w:rPr>
        <w:t>Material Selection Consulting</w:t>
      </w:r>
      <w:r>
        <w:rPr>
          <w:rFonts w:ascii="DejaVu Sans" w:hAnsi="DejaVu Sans"/>
          <w:b w:val="0"/>
          <w:i w:val="0"/>
          <w:color w:val="2D5016"/>
          <w:sz w:val="22"/>
        </w:rPr>
        <w:t>: Advising clients on optimal material choices based on product requirements, budget constraints, and environmental priorities</w:t>
      </w:r>
    </w:p>
    <w:p>
      <w:pPr>
        <w:pStyle w:val="ListNumber"/>
        <w:numPr>
          <w:ilvl w:val="0"/>
        </w:numPr>
        <w:ind w:left="360" w:hanging="360"/>
      </w:pPr>
      <w:r/>
      <w:r>
        <w:rPr>
          <w:rFonts w:ascii="DejaVu Sans" w:hAnsi="DejaVu Sans"/>
          <w:b/>
          <w:i w:val="0"/>
          <w:color w:val="2D5016"/>
          <w:sz w:val="22"/>
        </w:rPr>
        <w:t>Prototyping Services</w:t>
      </w:r>
      <w:r>
        <w:rPr>
          <w:rFonts w:ascii="DejaVu Sans" w:hAnsi="DejaVu Sans"/>
          <w:b w:val="0"/>
          <w:i w:val="0"/>
          <w:color w:val="2D5016"/>
          <w:sz w:val="22"/>
        </w:rPr>
        <w:t>: Creating physical samples for testing and stakeholder approval before full production commitment</w:t>
      </w:r>
    </w:p>
    <w:p>
      <w:pPr>
        <w:pStyle w:val="ListNumber"/>
        <w:numPr>
          <w:ilvl w:val="0"/>
        </w:numPr>
        <w:ind w:left="360" w:hanging="360"/>
      </w:pPr>
      <w:r/>
      <w:r>
        <w:rPr>
          <w:rFonts w:ascii="DejaVu Sans" w:hAnsi="DejaVu Sans"/>
          <w:b/>
          <w:i w:val="0"/>
          <w:color w:val="2D5016"/>
          <w:sz w:val="22"/>
        </w:rPr>
        <w:t>Lifecycle Impact Assessment</w:t>
      </w:r>
      <w:r>
        <w:rPr>
          <w:rFonts w:ascii="DejaVu Sans" w:hAnsi="DejaVu Sans"/>
          <w:b w:val="0"/>
          <w:i w:val="0"/>
          <w:color w:val="2D5016"/>
          <w:sz w:val="22"/>
        </w:rPr>
        <w:t>: Quantifying environmental benefits compared to conventional packaging alternatives</w:t>
      </w:r>
    </w:p>
    <w:p>
      <w:pPr>
        <w:spacing w:before="0" w:after="240"/>
        <w:jc w:val="both"/>
      </w:pPr>
      <w:r>
        <w:rPr>
          <w:rFonts w:ascii="DejaVu Sans" w:hAnsi="DejaVu Sans"/>
          <w:b w:val="0"/>
          <w:i w:val="0"/>
          <w:color w:val="2D5016"/>
          <w:sz w:val="22"/>
        </w:rPr>
        <w:t xml:space="preserve">Specialized items such as </w:t>
      </w:r>
      <w:r>
        <w:rPr>
          <w:rFonts w:ascii="DejaVu Sans" w:hAnsi="DejaVu Sans"/>
          <w:b/>
          <w:i w:val="0"/>
          <w:color w:val="2D5016"/>
          <w:sz w:val="22"/>
        </w:rPr>
        <w:t>insulated compostable containers</w:t>
      </w:r>
      <w:r>
        <w:rPr>
          <w:rFonts w:ascii="DejaVu Sans" w:hAnsi="DejaVu Sans"/>
          <w:b w:val="0"/>
          <w:i w:val="0"/>
          <w:color w:val="2D5016"/>
          <w:sz w:val="22"/>
        </w:rPr>
        <w:t xml:space="preserve"> for temperature-sensitive products and </w:t>
      </w:r>
      <w:r>
        <w:rPr>
          <w:rFonts w:ascii="DejaVu Sans" w:hAnsi="DejaVu Sans"/>
          <w:b/>
          <w:i w:val="0"/>
          <w:color w:val="2D5016"/>
          <w:sz w:val="22"/>
        </w:rPr>
        <w:t>refillable packaging lines</w:t>
      </w:r>
      <w:r>
        <w:rPr>
          <w:rFonts w:ascii="DejaVu Sans" w:hAnsi="DejaVu Sans"/>
          <w:b w:val="0"/>
          <w:i w:val="0"/>
          <w:color w:val="2D5016"/>
          <w:sz w:val="22"/>
        </w:rPr>
        <w:t xml:space="preserve"> for circular economy applications differentiate offerings from competitors and address emerging market demands.</w:t>
      </w:r>
    </w:p>
    <w:p>
      <w:pPr>
        <w:pStyle w:val="Heading3"/>
        <w:spacing w:before="280" w:after="200"/>
        <w:jc w:val="left"/>
      </w:pPr>
      <w:r>
        <w:rPr>
          <w:rFonts w:ascii="DejaVu Sans" w:hAnsi="DejaVu Sans"/>
          <w:b/>
          <w:i w:val="0"/>
          <w:color w:val="558B2F"/>
          <w:sz w:val="36"/>
        </w:rPr>
        <w:t>2.3.3 Prototyping and Innovation Services</w:t>
      </w:r>
    </w:p>
    <w:p>
      <w:pPr>
        <w:spacing w:before="0" w:after="240"/>
        <w:jc w:val="both"/>
      </w:pPr>
      <w:r>
        <w:rPr>
          <w:rFonts w:ascii="DejaVu Sans" w:hAnsi="DejaVu Sans"/>
          <w:b w:val="0"/>
          <w:i w:val="0"/>
          <w:color w:val="2D5016"/>
          <w:sz w:val="22"/>
        </w:rPr>
        <w:t>The company maintains an active research and development wing focused on continuous product innovation and performance improvement. This innovation capacity demonstrates ongoing commitment to market leadership and technological advancement in sustainable packaging solutions.</w:t>
      </w:r>
    </w:p>
    <w:p>
      <w:pPr>
        <w:spacing w:before="0" w:after="240"/>
        <w:jc w:val="both"/>
      </w:pPr>
      <w:r>
        <w:rPr>
          <w:rFonts w:ascii="DejaVu Sans" w:hAnsi="DejaVu Sans"/>
          <w:b w:val="0"/>
          <w:i w:val="0"/>
          <w:color w:val="2D5016"/>
          <w:sz w:val="22"/>
        </w:rPr>
        <w:t>Current innovation priorities include:</w:t>
      </w:r>
    </w:p>
    <w:p>
      <w:pPr>
        <w:pStyle w:val="ListBullet"/>
        <w:ind w:left="360" w:hanging="360"/>
      </w:pPr>
      <w:r/>
      <w:r>
        <w:rPr>
          <w:rFonts w:ascii="DejaVu Sans" w:hAnsi="DejaVu Sans"/>
          <w:b/>
          <w:i w:val="0"/>
          <w:color w:val="2D5016"/>
          <w:sz w:val="22"/>
        </w:rPr>
        <w:t>Compostable Adhesives Development</w:t>
      </w:r>
      <w:r>
        <w:rPr>
          <w:rFonts w:ascii="DejaVu Sans" w:hAnsi="DejaVu Sans"/>
          <w:b w:val="0"/>
          <w:i w:val="0"/>
          <w:color w:val="2D5016"/>
          <w:sz w:val="22"/>
        </w:rPr>
        <w:t>: Creating bonding solutions that maintain structural integrity while remaining fully biodegradable</w:t>
      </w:r>
    </w:p>
    <w:p>
      <w:pPr>
        <w:pStyle w:val="ListBullet"/>
        <w:ind w:left="936" w:hanging="360"/>
      </w:pPr>
      <w:r/>
      <w:r>
        <w:rPr>
          <w:rFonts w:ascii="DejaVu Sans" w:hAnsi="DejaVu Sans"/>
          <w:b w:val="0"/>
          <w:i w:val="0"/>
          <w:color w:val="2D5016"/>
          <w:sz w:val="22"/>
        </w:rPr>
        <w:t>Plant-based adhesive formulations</w:t>
      </w:r>
    </w:p>
    <w:p>
      <w:pPr>
        <w:pStyle w:val="ListBullet"/>
        <w:ind w:left="936" w:hanging="360"/>
      </w:pPr>
      <w:r/>
      <w:r>
        <w:rPr>
          <w:rFonts w:ascii="DejaVu Sans" w:hAnsi="DejaVu Sans"/>
          <w:b w:val="0"/>
          <w:i w:val="0"/>
          <w:color w:val="2D5016"/>
          <w:sz w:val="22"/>
        </w:rPr>
        <w:t>Water-resistant bonding technologies</w:t>
      </w:r>
    </w:p>
    <w:p>
      <w:pPr>
        <w:pStyle w:val="ListBullet"/>
        <w:ind w:left="936" w:hanging="360"/>
      </w:pPr>
      <w:r/>
      <w:r>
        <w:rPr>
          <w:rFonts w:ascii="DejaVu Sans" w:hAnsi="DejaVu Sans"/>
          <w:b w:val="0"/>
          <w:i w:val="0"/>
          <w:color w:val="2D5016"/>
          <w:sz w:val="22"/>
        </w:rPr>
        <w:t>Temperature-stable applications</w:t>
      </w:r>
    </w:p>
    <w:p>
      <w:pPr>
        <w:pStyle w:val="ListBullet"/>
        <w:ind w:left="360" w:hanging="360"/>
      </w:pPr>
      <w:r/>
      <w:r>
        <w:rPr>
          <w:rFonts w:ascii="DejaVu Sans" w:hAnsi="DejaVu Sans"/>
          <w:b/>
          <w:i w:val="0"/>
          <w:color w:val="2D5016"/>
          <w:sz w:val="22"/>
        </w:rPr>
        <w:t>Novel Material Combinations</w:t>
      </w:r>
      <w:r>
        <w:rPr>
          <w:rFonts w:ascii="DejaVu Sans" w:hAnsi="DejaVu Sans"/>
          <w:b w:val="0"/>
          <w:i w:val="0"/>
          <w:color w:val="2D5016"/>
          <w:sz w:val="22"/>
        </w:rPr>
        <w:t>: Exploring hybrid materials that optimize performance characteristics across multiple dimensions</w:t>
      </w:r>
    </w:p>
    <w:p>
      <w:pPr>
        <w:pStyle w:val="ListBullet"/>
        <w:ind w:left="936" w:hanging="360"/>
      </w:pPr>
      <w:r/>
      <w:r>
        <w:rPr>
          <w:rFonts w:ascii="DejaVu Sans" w:hAnsi="DejaVu Sans"/>
          <w:b w:val="0"/>
          <w:i w:val="0"/>
          <w:color w:val="2D5016"/>
          <w:sz w:val="22"/>
        </w:rPr>
        <w:t>Barrier property enhancement for moisture and oxygen protection</w:t>
      </w:r>
    </w:p>
    <w:p>
      <w:pPr>
        <w:pStyle w:val="ListBullet"/>
        <w:ind w:left="936" w:hanging="360"/>
      </w:pPr>
      <w:r/>
      <w:r>
        <w:rPr>
          <w:rFonts w:ascii="DejaVu Sans" w:hAnsi="DejaVu Sans"/>
          <w:b w:val="0"/>
          <w:i w:val="0"/>
          <w:color w:val="2D5016"/>
          <w:sz w:val="22"/>
        </w:rPr>
        <w:t>Mechanical strength improvements for heavy-duty applications</w:t>
      </w:r>
    </w:p>
    <w:p>
      <w:pPr>
        <w:pStyle w:val="ListBullet"/>
        <w:ind w:left="936" w:hanging="360"/>
      </w:pPr>
      <w:r/>
      <w:r>
        <w:rPr>
          <w:rFonts w:ascii="DejaVu Sans" w:hAnsi="DejaVu Sans"/>
          <w:b w:val="0"/>
          <w:i w:val="0"/>
          <w:color w:val="2D5016"/>
          <w:sz w:val="22"/>
        </w:rPr>
        <w:t>Cost reduction through material efficiency innovations</w:t>
      </w:r>
    </w:p>
    <w:p>
      <w:pPr>
        <w:pStyle w:val="ListBullet"/>
        <w:ind w:left="360" w:hanging="360"/>
      </w:pPr>
      <w:r/>
      <w:r>
        <w:rPr>
          <w:rFonts w:ascii="DejaVu Sans" w:hAnsi="DejaVu Sans"/>
          <w:b/>
          <w:i w:val="0"/>
          <w:color w:val="2D5016"/>
          <w:sz w:val="22"/>
        </w:rPr>
        <w:t>Refillable Packaging Systems</w:t>
      </w:r>
      <w:r>
        <w:rPr>
          <w:rFonts w:ascii="DejaVu Sans" w:hAnsi="DejaVu Sans"/>
          <w:b w:val="0"/>
          <w:i w:val="0"/>
          <w:color w:val="2D5016"/>
          <w:sz w:val="22"/>
        </w:rPr>
        <w:t>: Developing durable containers designed for multiple-use cycles in circular economy models</w:t>
      </w:r>
    </w:p>
    <w:p>
      <w:pPr>
        <w:pStyle w:val="ListBullet"/>
        <w:ind w:left="936" w:hanging="360"/>
      </w:pPr>
      <w:r/>
      <w:r>
        <w:rPr>
          <w:rFonts w:ascii="DejaVu Sans" w:hAnsi="DejaVu Sans"/>
          <w:b w:val="0"/>
          <w:i w:val="0"/>
          <w:color w:val="2D5016"/>
          <w:sz w:val="22"/>
        </w:rPr>
        <w:t>Consumer return and cleaning logistics</w:t>
      </w:r>
    </w:p>
    <w:p>
      <w:pPr>
        <w:pStyle w:val="ListBullet"/>
        <w:ind w:left="936" w:hanging="360"/>
      </w:pPr>
      <w:r/>
      <w:r>
        <w:rPr>
          <w:rFonts w:ascii="DejaVu Sans" w:hAnsi="DejaVu Sans"/>
          <w:b w:val="0"/>
          <w:i w:val="0"/>
          <w:color w:val="2D5016"/>
          <w:sz w:val="22"/>
        </w:rPr>
        <w:t>Durability testing for extended lifecycle performance</w:t>
      </w:r>
    </w:p>
    <w:p>
      <w:pPr>
        <w:pStyle w:val="ListBullet"/>
        <w:ind w:left="936" w:hanging="360"/>
      </w:pPr>
      <w:r/>
      <w:r>
        <w:rPr>
          <w:rFonts w:ascii="DejaVu Sans" w:hAnsi="DejaVu Sans"/>
          <w:b w:val="0"/>
          <w:i w:val="0"/>
          <w:color w:val="2D5016"/>
          <w:sz w:val="22"/>
        </w:rPr>
        <w:t>Brand customization for retail partnerships</w:t>
      </w:r>
    </w:p>
    <w:p>
      <w:pPr>
        <w:pStyle w:val="Heading3"/>
        <w:spacing w:before="280" w:after="200"/>
        <w:jc w:val="left"/>
      </w:pPr>
      <w:r>
        <w:rPr>
          <w:rFonts w:ascii="DejaVu Sans" w:hAnsi="DejaVu Sans"/>
          <w:b/>
          <w:i w:val="0"/>
          <w:color w:val="558B2F"/>
          <w:sz w:val="36"/>
        </w:rPr>
        <w:t>2.3.4 Quality Assurance and Compliance Services</w:t>
      </w:r>
    </w:p>
    <w:p>
      <w:pPr>
        <w:spacing w:before="0" w:after="240"/>
        <w:jc w:val="both"/>
      </w:pPr>
      <w:r>
        <w:rPr>
          <w:rFonts w:ascii="DejaVu Sans" w:hAnsi="DejaVu Sans"/>
          <w:b w:val="0"/>
          <w:i w:val="0"/>
          <w:color w:val="2D5016"/>
          <w:sz w:val="22"/>
        </w:rPr>
        <w:t>Comprehensive operational procedures ensure consistent product quality and regulatory compliance across all production batches. The company maintains detailed documentation systems that provide full traceability and verification of environmental claims.</w:t>
      </w:r>
    </w:p>
    <w:p>
      <w:pPr>
        <w:spacing w:after="300"/>
      </w:pPr>
    </w:p>
    <w:tbl>
      <w:tblPr>
        <w:tblW w:type="auto" w:w="0"/>
        <w:tblLook w:firstColumn="1" w:firstRow="1" w:lastColumn="0" w:lastRow="0" w:noHBand="0" w:noVBand="1" w:val="04A0"/>
        <w:tblBorders>
          <w:top w:val="single" w:sz="12" w:space="0" w:color="1b5e20"/>
          <w:left w:val="single" w:sz="12" w:space="0" w:color="1b5e20"/>
          <w:bottom w:val="single" w:sz="12" w:space="0" w:color="1b5e20"/>
          <w:right w:val="single" w:sz="12" w:space="0" w:color="1b5e20"/>
          <w:insideH w:val="single" w:sz="4" w:space="0" w:color="c5e1a5"/>
          <w:insideV w:val="single" w:sz="4" w:space="0" w:color="c5e1a5"/>
        </w:tblBorders>
        <w:tblInd w:w="120" w:type="dxa"/>
      </w:tblPr>
      <w:tblGrid>
        <w:gridCol w:w="3213"/>
        <w:gridCol w:w="3213"/>
        <w:gridCol w:w="3213"/>
      </w:tblGrid>
      <w:tr>
        <w:tc>
          <w:tcPr>
            <w:tcW w:type="dxa" w:w="3213"/>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Process Area</w:t>
            </w:r>
          </w:p>
        </w:tc>
        <w:tc>
          <w:tcPr>
            <w:tcW w:type="dxa" w:w="3213"/>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Key Activities</w:t>
            </w:r>
          </w:p>
        </w:tc>
        <w:tc>
          <w:tcPr>
            <w:tcW w:type="dxa" w:w="3213"/>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Documentation Outputs</w:t>
            </w:r>
          </w:p>
        </w:tc>
      </w:tr>
      <w:tr>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Material Procurement</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Supplier certification verification, material testing, ethical sourcing audits</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Procurement checklists, supplier scorecards, certification registries</w:t>
            </w:r>
          </w:p>
        </w:tc>
      </w:tr>
      <w:tr>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Production Quality Control</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In-process inspections, dimensional verification, performance testing</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Quality control guidelines, batch test reports, non-conformance records</w:t>
            </w:r>
          </w:p>
        </w:tc>
      </w:tr>
      <w:tr>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Environmental Compliance</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Biodegradability testing, compostability certification, emissions monitoring</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Sustainability impact verification, compliance certificates, audit reports</w:t>
            </w:r>
          </w:p>
        </w:tc>
      </w:tr>
      <w:tr>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Customer Support</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Technical assistance, complaint resolution, product improvement feedback</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Support tickets, satisfaction surveys, continuous improvement logs</w:t>
            </w:r>
          </w:p>
        </w:tc>
      </w:tr>
    </w:tbl>
    <w:p>
      <w:pPr>
        <w:jc w:val="center"/>
      </w:pPr>
      <w:r>
        <w:rPr>
          <w:rFonts w:ascii="DejaVu Sans" w:hAnsi="DejaVu Sans"/>
          <w:b w:val="0"/>
          <w:i/>
          <w:color w:val="2D5016"/>
          <w:sz w:val="22"/>
        </w:rPr>
        <w:t>Quality Assurance Framework Components</w:t>
      </w:r>
    </w:p>
    <w:p>
      <w:pPr>
        <w:spacing w:before="300"/>
      </w:pPr>
    </w:p>
    <w:p>
      <w:pPr>
        <w:spacing w:before="0" w:after="240"/>
        <w:jc w:val="both"/>
      </w:pPr>
      <w:r>
        <w:rPr>
          <w:rFonts w:ascii="DejaVu Sans" w:hAnsi="DejaVu Sans"/>
          <w:b w:val="0"/>
          <w:i w:val="0"/>
          <w:color w:val="2D5016"/>
          <w:sz w:val="22"/>
        </w:rPr>
        <w:t>This comprehensive quality framework assures clients of reliable, environmentally responsible products while supporting continuous operational improvement and regulatory compliance maintenance.</w:t>
      </w:r>
    </w:p>
    <w:p>
      <w:pPr>
        <w:pStyle w:val="Heading3"/>
        <w:spacing w:before="280" w:after="200"/>
        <w:jc w:val="left"/>
      </w:pPr>
      <w:r>
        <w:rPr>
          <w:rFonts w:ascii="DejaVu Sans" w:hAnsi="DejaVu Sans"/>
          <w:b/>
          <w:i w:val="0"/>
          <w:color w:val="558B2F"/>
          <w:sz w:val="36"/>
        </w:rPr>
        <w:t>2.3.5 Logistics and Delivery Solutions</w:t>
      </w:r>
    </w:p>
    <w:p>
      <w:pPr>
        <w:spacing w:before="0" w:after="240"/>
        <w:jc w:val="both"/>
      </w:pPr>
      <w:r>
        <w:rPr>
          <w:rFonts w:ascii="DejaVu Sans" w:hAnsi="DejaVu Sans"/>
          <w:b w:val="0"/>
          <w:i w:val="0"/>
          <w:color w:val="2D5016"/>
          <w:sz w:val="22"/>
        </w:rPr>
        <w:t>Eco-friendly logistics partnerships support sustainable transportation methods that align with the company's overall environmental commitments. This service ensures that the entire customer experience—from order placement through final delivery—reflects sustainability principles and minimizes carbon footprint.</w:t>
      </w:r>
    </w:p>
    <w:p>
      <w:pPr>
        <w:spacing w:before="0" w:after="240"/>
        <w:jc w:val="both"/>
      </w:pPr>
      <w:r>
        <w:rPr>
          <w:rFonts w:ascii="DejaVu Sans" w:hAnsi="DejaVu Sans"/>
          <w:b w:val="0"/>
          <w:i w:val="0"/>
          <w:color w:val="2D5016"/>
          <w:sz w:val="22"/>
        </w:rPr>
        <w:t>Logistics strategy components include:</w:t>
      </w:r>
    </w:p>
    <w:p>
      <w:pPr>
        <w:pStyle w:val="ListBullet"/>
        <w:ind w:left="360" w:hanging="360"/>
      </w:pPr>
      <w:r/>
      <w:r>
        <w:rPr>
          <w:rFonts w:ascii="DejaVu Sans" w:hAnsi="DejaVu Sans"/>
          <w:b/>
          <w:i w:val="0"/>
          <w:color w:val="2D5016"/>
          <w:sz w:val="22"/>
        </w:rPr>
        <w:t>Carbon-neutral Shipping Options</w:t>
      </w:r>
      <w:r>
        <w:rPr>
          <w:rFonts w:ascii="DejaVu Sans" w:hAnsi="DejaVu Sans"/>
          <w:b w:val="0"/>
          <w:i w:val="0"/>
          <w:color w:val="2D5016"/>
          <w:sz w:val="22"/>
        </w:rPr>
        <w:t>: Partnering with carriers offering verified carbon offset programs</w:t>
      </w:r>
    </w:p>
    <w:p>
      <w:pPr>
        <w:pStyle w:val="ListBullet"/>
        <w:ind w:left="360" w:hanging="360"/>
      </w:pPr>
      <w:r/>
      <w:r>
        <w:rPr>
          <w:rFonts w:ascii="DejaVu Sans" w:hAnsi="DejaVu Sans"/>
          <w:b/>
          <w:i w:val="0"/>
          <w:color w:val="2D5016"/>
          <w:sz w:val="22"/>
        </w:rPr>
        <w:t>Regional Distribution Centers</w:t>
      </w:r>
      <w:r>
        <w:rPr>
          <w:rFonts w:ascii="DejaVu Sans" w:hAnsi="DejaVu Sans"/>
          <w:b w:val="0"/>
          <w:i w:val="0"/>
          <w:color w:val="2D5016"/>
          <w:sz w:val="22"/>
        </w:rPr>
        <w:t>: Establishing local warehousing to reduce transportation distances and delivery times</w:t>
      </w:r>
    </w:p>
    <w:p>
      <w:pPr>
        <w:pStyle w:val="ListBullet"/>
        <w:ind w:left="360" w:hanging="360"/>
      </w:pPr>
      <w:r/>
      <w:r>
        <w:rPr>
          <w:rFonts w:ascii="DejaVu Sans" w:hAnsi="DejaVu Sans"/>
          <w:b/>
          <w:i w:val="0"/>
          <w:color w:val="2D5016"/>
          <w:sz w:val="22"/>
        </w:rPr>
        <w:t>Consolidated Shipments</w:t>
      </w:r>
      <w:r>
        <w:rPr>
          <w:rFonts w:ascii="DejaVu Sans" w:hAnsi="DejaVu Sans"/>
          <w:b w:val="0"/>
          <w:i w:val="0"/>
          <w:color w:val="2D5016"/>
          <w:sz w:val="22"/>
        </w:rPr>
        <w:t>: Optimizing order batching to minimize transportation frequency and fuel consumption</w:t>
      </w:r>
    </w:p>
    <w:p>
      <w:pPr>
        <w:pStyle w:val="ListBullet"/>
        <w:ind w:left="360" w:hanging="360"/>
      </w:pPr>
      <w:r/>
      <w:r>
        <w:rPr>
          <w:rFonts w:ascii="DejaVu Sans" w:hAnsi="DejaVu Sans"/>
          <w:b/>
          <w:i w:val="0"/>
          <w:color w:val="2D5016"/>
          <w:sz w:val="22"/>
        </w:rPr>
        <w:t>Returnable Transport Packaging</w:t>
      </w:r>
      <w:r>
        <w:rPr>
          <w:rFonts w:ascii="DejaVu Sans" w:hAnsi="DejaVu Sans"/>
          <w:b w:val="0"/>
          <w:i w:val="0"/>
          <w:color w:val="2D5016"/>
          <w:sz w:val="22"/>
        </w:rPr>
        <w:t>: Using reusable shipping containers for bulk deliveries to reduce single-use packaging waste</w:t>
      </w:r>
    </w:p>
    <w:p>
      <w:pPr>
        <w:pStyle w:val="ListBullet"/>
        <w:ind w:left="360" w:hanging="360"/>
      </w:pPr>
      <w:r/>
      <w:r>
        <w:rPr>
          <w:rFonts w:ascii="DejaVu Sans" w:hAnsi="DejaVu Sans"/>
          <w:b/>
          <w:i w:val="0"/>
          <w:color w:val="2D5016"/>
          <w:sz w:val="22"/>
        </w:rPr>
        <w:t>Route Optimization</w:t>
      </w:r>
      <w:r>
        <w:rPr>
          <w:rFonts w:ascii="DejaVu Sans" w:hAnsi="DejaVu Sans"/>
          <w:b w:val="0"/>
          <w:i w:val="0"/>
          <w:color w:val="2D5016"/>
          <w:sz w:val="22"/>
        </w:rPr>
        <w:t>: Implementing logistics software that minimizes delivery miles and fuel consumption</w:t>
      </w:r>
    </w:p>
    <w:p>
      <w:pPr>
        <w:spacing w:before="0" w:after="240"/>
        <w:jc w:val="both"/>
      </w:pPr>
      <w:r>
        <w:rPr>
          <w:rFonts w:ascii="DejaVu Sans" w:hAnsi="DejaVu Sans"/>
          <w:b w:val="0"/>
          <w:i w:val="0"/>
          <w:color w:val="2D5016"/>
          <w:sz w:val="22"/>
        </w:rPr>
        <w:t>By integrating sustainable logistics practices throughout the supply chain, the company delivers comprehensive environmental performance that extends beyond product attributes to encompass the complete customer relationship lifecycle.</w:t>
      </w:r>
    </w:p>
    <w:p>
      <w:pPr>
        <w:pStyle w:val="Heading2"/>
        <w:spacing w:before="360" w:after="280"/>
        <w:jc w:val="left"/>
      </w:pPr>
      <w:r>
        <w:rPr>
          <w:rFonts w:ascii="DejaVu Sans" w:hAnsi="DejaVu Sans"/>
          <w:b/>
          <w:i w:val="0"/>
          <w:color w:val="2D5016"/>
          <w:sz w:val="44"/>
        </w:rPr>
        <w:t>2.4 Competitive Differentiation and Value Proposition</w:t>
      </w:r>
    </w:p>
    <w:p>
      <w:pPr>
        <w:spacing w:before="0" w:after="240"/>
        <w:jc w:val="both"/>
      </w:pPr>
      <w:r>
        <w:rPr>
          <w:rFonts w:ascii="DejaVu Sans" w:hAnsi="DejaVu Sans"/>
          <w:b w:val="0"/>
          <w:i w:val="0"/>
          <w:color w:val="2D5016"/>
          <w:sz w:val="22"/>
        </w:rPr>
        <w:t>The company's integrated approach to sustainable packaging—combining material innovation, customized design services, rigorous quality assurance, and eco-friendly logistics—creates distinctive competitive advantages in the marketplace. This comprehensive value proposition addresses the full spectrum of client needs while demonstrating measurable environmental impact reductions.</w:t>
      </w:r>
    </w:p>
    <w:p>
      <w:pPr>
        <w:spacing w:before="300" w:after="300"/>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tmpo6dpch_h.png"/>
                    <pic:cNvPicPr/>
                  </pic:nvPicPr>
                  <pic:blipFill>
                    <a:blip r:embed="rId14"/>
                    <a:stretch>
                      <a:fillRect/>
                    </a:stretch>
                  </pic:blipFill>
                  <pic:spPr>
                    <a:xfrm>
                      <a:off x="0" y="0"/>
                      <a:ext cx="5486400" cy="2743200"/>
                    </a:xfrm>
                    <a:prstGeom prst="rect"/>
                  </pic:spPr>
                </pic:pic>
              </a:graphicData>
            </a:graphic>
          </wp:inline>
        </w:drawing>
      </w:r>
    </w:p>
    <w:p>
      <w:pPr>
        <w:spacing w:before="0" w:after="240"/>
        <w:jc w:val="both"/>
      </w:pPr>
      <w:r>
        <w:rPr>
          <w:rFonts w:ascii="DejaVu Sans" w:hAnsi="DejaVu Sans"/>
          <w:b w:val="0"/>
          <w:i w:val="0"/>
          <w:color w:val="2D5016"/>
          <w:sz w:val="22"/>
        </w:rPr>
        <w:t>This multidimensional competitive positioning enables the company to serve diverse client segments effectively while building sustainable long-term growth in the expanding sustainable packaging marketplace.</w:t>
      </w:r>
    </w:p>
    <w:p>
      <w:r>
        <w:br w:type="page"/>
      </w:r>
    </w:p>
    <w:p>
      <w:pPr>
        <w:pStyle w:val="Heading1"/>
        <w:spacing w:before="480" w:after="360"/>
        <w:jc w:val="center"/>
      </w:pPr>
      <w:r>
        <w:rPr>
          <w:rFonts w:ascii="DejaVu Sans" w:hAnsi="DejaVu Sans"/>
          <w:b/>
          <w:i w:val="0"/>
          <w:color w:val="1B5E20"/>
          <w:sz w:val="56"/>
        </w:rPr>
        <w:t>3. Production Process, Sustainability Metrics, and Scaling Strategy</w:t>
      </w:r>
    </w:p>
    <w:p>
      <w:pPr>
        <w:spacing w:before="0" w:after="240"/>
        <w:jc w:val="both"/>
      </w:pPr>
      <w:r>
        <w:rPr>
          <w:rFonts w:ascii="DejaVu Sans" w:hAnsi="DejaVu Sans"/>
          <w:b w:val="0"/>
          <w:i w:val="0"/>
          <w:color w:val="2D5016"/>
          <w:sz w:val="22"/>
        </w:rPr>
        <w:t>This chapter outlines the comprehensive manufacturing approach, detailing the materials, processes, and metrics that underpin our sustainable packaging solutions. Our strategy integrates lifecycle thinking, operational excellence, and strategic supplier partnerships to deliver environmentally responsible products while maintaining scalability and market competitiveness.</w:t>
      </w:r>
    </w:p>
    <w:p>
      <w:pPr>
        <w:pStyle w:val="Heading2"/>
        <w:spacing w:before="360" w:after="280"/>
        <w:jc w:val="left"/>
      </w:pPr>
      <w:r>
        <w:rPr>
          <w:rFonts w:ascii="DejaVu Sans" w:hAnsi="DejaVu Sans"/>
          <w:b/>
          <w:i w:val="0"/>
          <w:color w:val="2D5016"/>
          <w:sz w:val="44"/>
        </w:rPr>
        <w:t>3.1 Eco-Friendly Materials Selection</w:t>
      </w:r>
    </w:p>
    <w:p>
      <w:pPr>
        <w:spacing w:before="0" w:after="240"/>
        <w:jc w:val="both"/>
      </w:pPr>
      <w:r>
        <w:rPr>
          <w:rFonts w:ascii="DejaVu Sans" w:hAnsi="DejaVu Sans"/>
          <w:b w:val="0"/>
          <w:i w:val="0"/>
          <w:color w:val="2D5016"/>
          <w:sz w:val="22"/>
        </w:rPr>
        <w:t>Our production process prioritizes materials that minimize environmental impact across their entire lifecycle. We utilize a carefully curated portfolio of sustainable raw materials that offer biodegradability, compostability, and significantly reduced carbon footprints compared to conventional packaging materials.</w:t>
      </w:r>
    </w:p>
    <w:p>
      <w:pPr>
        <w:pStyle w:val="Heading3"/>
        <w:spacing w:before="280" w:after="200"/>
        <w:jc w:val="left"/>
      </w:pPr>
      <w:r>
        <w:rPr>
          <w:rFonts w:ascii="DejaVu Sans" w:hAnsi="DejaVu Sans"/>
          <w:b/>
          <w:i w:val="0"/>
          <w:color w:val="558B2F"/>
          <w:sz w:val="36"/>
        </w:rPr>
        <w:t>3.1.1 Natural Fiber Materials</w:t>
      </w:r>
    </w:p>
    <w:p>
      <w:pPr>
        <w:spacing w:before="0" w:after="240"/>
        <w:jc w:val="both"/>
      </w:pPr>
      <w:r>
        <w:rPr>
          <w:rFonts w:ascii="DejaVu Sans" w:hAnsi="DejaVu Sans"/>
          <w:b w:val="0"/>
          <w:i w:val="0"/>
          <w:color w:val="2D5016"/>
          <w:sz w:val="22"/>
        </w:rPr>
        <w:t>Natural fibers form the foundation of many of our packaging solutions, offering renewable alternatives to petroleum-based materials:</w:t>
      </w:r>
    </w:p>
    <w:p>
      <w:pPr>
        <w:pStyle w:val="ListBullet"/>
        <w:ind w:left="360" w:hanging="360"/>
      </w:pPr>
      <w:r/>
      <w:r>
        <w:rPr>
          <w:rFonts w:ascii="DejaVu Sans" w:hAnsi="DejaVu Sans"/>
          <w:b/>
          <w:i w:val="0"/>
          <w:color w:val="2D5016"/>
          <w:sz w:val="22"/>
        </w:rPr>
        <w:t>Bamboo</w:t>
      </w:r>
      <w:r>
        <w:rPr>
          <w:rFonts w:ascii="DejaVu Sans" w:hAnsi="DejaVu Sans"/>
          <w:b w:val="0"/>
          <w:i w:val="0"/>
          <w:color w:val="2D5016"/>
          <w:sz w:val="22"/>
        </w:rPr>
        <w:t>: Fast-growing renewable resource with excellent strength-to-weight ratio and natural antimicrobial properties</w:t>
      </w:r>
    </w:p>
    <w:p>
      <w:pPr>
        <w:pStyle w:val="ListBullet"/>
        <w:ind w:left="360" w:hanging="360"/>
      </w:pPr>
      <w:r/>
      <w:r>
        <w:rPr>
          <w:rFonts w:ascii="DejaVu Sans" w:hAnsi="DejaVu Sans"/>
          <w:b/>
          <w:i w:val="0"/>
          <w:color w:val="2D5016"/>
          <w:sz w:val="22"/>
        </w:rPr>
        <w:t>Hemp</w:t>
      </w:r>
      <w:r>
        <w:rPr>
          <w:rFonts w:ascii="DejaVu Sans" w:hAnsi="DejaVu Sans"/>
          <w:b w:val="0"/>
          <w:i w:val="0"/>
          <w:color w:val="2D5016"/>
          <w:sz w:val="22"/>
        </w:rPr>
        <w:t>: Durable fiber requiring minimal pesticides and water, with superior tensile strength for structural applications</w:t>
      </w:r>
    </w:p>
    <w:p>
      <w:pPr>
        <w:pStyle w:val="ListBullet"/>
        <w:ind w:left="360" w:hanging="360"/>
      </w:pPr>
      <w:r/>
      <w:r>
        <w:rPr>
          <w:rFonts w:ascii="DejaVu Sans" w:hAnsi="DejaVu Sans"/>
          <w:b/>
          <w:i w:val="0"/>
          <w:color w:val="2D5016"/>
          <w:sz w:val="22"/>
        </w:rPr>
        <w:t>Jute</w:t>
      </w:r>
      <w:r>
        <w:rPr>
          <w:rFonts w:ascii="DejaVu Sans" w:hAnsi="DejaVu Sans"/>
          <w:b w:val="0"/>
          <w:i w:val="0"/>
          <w:color w:val="2D5016"/>
          <w:sz w:val="22"/>
        </w:rPr>
        <w:t>: Cost-effective biodegradable option ideal for bulk packaging and protective applications</w:t>
      </w:r>
    </w:p>
    <w:p>
      <w:pPr>
        <w:pStyle w:val="Heading3"/>
        <w:spacing w:before="280" w:after="200"/>
        <w:jc w:val="left"/>
      </w:pPr>
      <w:r>
        <w:rPr>
          <w:rFonts w:ascii="DejaVu Sans" w:hAnsi="DejaVu Sans"/>
          <w:b/>
          <w:i w:val="0"/>
          <w:color w:val="558B2F"/>
          <w:sz w:val="36"/>
        </w:rPr>
        <w:t>3.1.2 Bio-Based and Biodegradable Polymers</w:t>
      </w:r>
    </w:p>
    <w:p>
      <w:pPr>
        <w:spacing w:before="0" w:after="240"/>
        <w:jc w:val="both"/>
      </w:pPr>
      <w:r>
        <w:rPr>
          <w:rFonts w:ascii="DejaVu Sans" w:hAnsi="DejaVu Sans"/>
          <w:b w:val="0"/>
          <w:i w:val="0"/>
          <w:color w:val="2D5016"/>
          <w:sz w:val="22"/>
        </w:rPr>
        <w:t>Advanced polymer materials derived from renewable sources provide necessary barrier properties and flexibility while maintaining end-of-life sustainability. These include polylactic acid (PLA) from fermented plant sugars, polyhydroxyalkanoates (PHA) produced through bacterial fermentation, and starch-based blends. Some formulations require additional treatments to enhance moisture barriers or durability for specific applications.</w:t>
      </w:r>
    </w:p>
    <w:p>
      <w:pPr>
        <w:pStyle w:val="Heading3"/>
        <w:spacing w:before="280" w:after="200"/>
        <w:jc w:val="left"/>
      </w:pPr>
      <w:r>
        <w:rPr>
          <w:rFonts w:ascii="DejaVu Sans" w:hAnsi="DejaVu Sans"/>
          <w:b/>
          <w:i w:val="0"/>
          <w:color w:val="558B2F"/>
          <w:sz w:val="36"/>
        </w:rPr>
        <w:t>3.1.3 Recycled Content Integration</w:t>
      </w:r>
    </w:p>
    <w:p>
      <w:pPr>
        <w:spacing w:before="0" w:after="240"/>
        <w:jc w:val="both"/>
      </w:pPr>
      <w:r>
        <w:rPr>
          <w:rFonts w:ascii="DejaVu Sans" w:hAnsi="DejaVu Sans"/>
          <w:b w:val="0"/>
          <w:i w:val="0"/>
          <w:color w:val="2D5016"/>
          <w:sz w:val="22"/>
        </w:rPr>
        <w:t>Incorporating post-consumer and post-industrial recycled materials reduces virgin resource extraction and supports circular economy principles:</w:t>
      </w:r>
    </w:p>
    <w:p>
      <w:pPr>
        <w:pStyle w:val="ListBullet"/>
        <w:ind w:left="360" w:hanging="360"/>
      </w:pPr>
      <w:r/>
      <w:r>
        <w:rPr>
          <w:rFonts w:ascii="DejaVu Sans" w:hAnsi="DejaVu Sans"/>
          <w:b w:val="0"/>
          <w:i w:val="0"/>
          <w:color w:val="2D5016"/>
          <w:sz w:val="22"/>
        </w:rPr>
        <w:t>Recycled paper and cardboard for corrugated solutions and rigid packaging</w:t>
      </w:r>
    </w:p>
    <w:p>
      <w:pPr>
        <w:pStyle w:val="ListBullet"/>
        <w:ind w:left="360" w:hanging="360"/>
      </w:pPr>
      <w:r/>
      <w:r>
        <w:rPr>
          <w:rFonts w:ascii="DejaVu Sans" w:hAnsi="DejaVu Sans"/>
          <w:b w:val="0"/>
          <w:i w:val="0"/>
          <w:color w:val="2D5016"/>
          <w:sz w:val="22"/>
        </w:rPr>
        <w:t>Recycled plastics (rPET, rPP, rPE) for flexible packaging applications</w:t>
      </w:r>
    </w:p>
    <w:p>
      <w:pPr>
        <w:pStyle w:val="ListBullet"/>
        <w:ind w:left="360" w:hanging="360"/>
      </w:pPr>
      <w:r/>
      <w:r>
        <w:rPr>
          <w:rFonts w:ascii="DejaVu Sans" w:hAnsi="DejaVu Sans"/>
          <w:b w:val="0"/>
          <w:i w:val="0"/>
          <w:color w:val="2D5016"/>
          <w:sz w:val="22"/>
        </w:rPr>
        <w:t>Mixed material streams processed through advanced sorting and cleaning technologies</w:t>
      </w:r>
    </w:p>
    <w:p>
      <w:pPr>
        <w:pStyle w:val="Heading2"/>
        <w:spacing w:before="360" w:after="280"/>
        <w:jc w:val="left"/>
      </w:pPr>
      <w:r>
        <w:rPr>
          <w:rFonts w:ascii="DejaVu Sans" w:hAnsi="DejaVu Sans"/>
          <w:b/>
          <w:i w:val="0"/>
          <w:color w:val="2D5016"/>
          <w:sz w:val="44"/>
        </w:rPr>
        <w:t>3.2 Manufacturing Methods and Lifecycle Optimization</w:t>
      </w:r>
    </w:p>
    <w:p>
      <w:pPr>
        <w:spacing w:before="0" w:after="240"/>
        <w:jc w:val="both"/>
      </w:pPr>
      <w:r>
        <w:rPr>
          <w:rFonts w:ascii="DejaVu Sans" w:hAnsi="DejaVu Sans"/>
          <w:b w:val="0"/>
          <w:i w:val="0"/>
          <w:color w:val="2D5016"/>
          <w:sz w:val="22"/>
        </w:rPr>
        <w:t>Our manufacturing approach integrates energy efficiency, waste minimization, and lifecycle thinking from initial sourcing through production to end-of-life management. Every process decision considers the full environmental impact chain to optimize resource use and minimize emissions.</w:t>
      </w:r>
    </w:p>
    <w:p>
      <w:pPr>
        <w:pStyle w:val="Heading3"/>
        <w:spacing w:before="280" w:after="200"/>
        <w:jc w:val="left"/>
      </w:pPr>
      <w:r>
        <w:rPr>
          <w:rFonts w:ascii="DejaVu Sans" w:hAnsi="DejaVu Sans"/>
          <w:b/>
          <w:i w:val="0"/>
          <w:color w:val="558B2F"/>
          <w:sz w:val="36"/>
        </w:rPr>
        <w:t>3.2.1 Energy-Efficient Production Processes</w:t>
      </w:r>
    </w:p>
    <w:p>
      <w:pPr>
        <w:spacing w:before="0" w:after="240"/>
        <w:jc w:val="both"/>
      </w:pPr>
      <w:r>
        <w:rPr>
          <w:rFonts w:ascii="DejaVu Sans" w:hAnsi="DejaVu Sans"/>
          <w:b w:val="0"/>
          <w:i w:val="0"/>
          <w:color w:val="2D5016"/>
          <w:sz w:val="22"/>
        </w:rPr>
        <w:t>Production facilities employ state-of-the-art equipment and process controls to minimize energy consumption per unit output. Key strategies include heat recovery systems, variable frequency drives on motors, LED lighting throughout facilities, and optimized scheduling to reduce idle equipment time. For bio-based materials requiring fermentation, we actively manage energy-intensive byproducts to reduce Scope 1 and 2 emissions.</w:t>
      </w:r>
    </w:p>
    <w:p>
      <w:pPr>
        <w:pStyle w:val="Heading3"/>
        <w:spacing w:before="280" w:after="200"/>
        <w:jc w:val="left"/>
      </w:pPr>
      <w:r>
        <w:rPr>
          <w:rFonts w:ascii="DejaVu Sans" w:hAnsi="DejaVu Sans"/>
          <w:b/>
          <w:i w:val="0"/>
          <w:color w:val="558B2F"/>
          <w:sz w:val="36"/>
        </w:rPr>
        <w:t>3.2.2 Waste Minimization and Circular Design</w:t>
      </w:r>
    </w:p>
    <w:p>
      <w:pPr>
        <w:spacing w:before="0" w:after="240"/>
        <w:jc w:val="both"/>
      </w:pPr>
      <w:r>
        <w:rPr>
          <w:rFonts w:ascii="DejaVu Sans" w:hAnsi="DejaVu Sans"/>
          <w:b w:val="0"/>
          <w:i w:val="0"/>
          <w:color w:val="2D5016"/>
          <w:sz w:val="22"/>
        </w:rPr>
        <w:t>Designing for circular economy principles enables reuse, recycling, and composting to eliminate the concept of waste. Manufacturing processes incorporate:</w:t>
      </w:r>
    </w:p>
    <w:p>
      <w:pPr>
        <w:pStyle w:val="ListNumber"/>
        <w:numPr>
          <w:numId w:val="12"/>
          <w:ilvl w:val="0"/>
        </w:numPr>
        <w:ind w:left="360" w:hanging="360"/>
      </w:pPr>
      <w:r/>
      <w:r>
        <w:rPr>
          <w:rFonts w:ascii="DejaVu Sans" w:hAnsi="DejaVu Sans"/>
          <w:b w:val="0"/>
          <w:i w:val="0"/>
          <w:color w:val="2D5016"/>
          <w:sz w:val="22"/>
        </w:rPr>
        <w:t>Material optimization algorithms to reduce trim waste and offcuts</w:t>
      </w:r>
    </w:p>
    <w:p>
      <w:pPr>
        <w:pStyle w:val="ListNumber"/>
        <w:numPr>
          <w:ilvl w:val="0"/>
        </w:numPr>
        <w:ind w:left="360" w:hanging="360"/>
      </w:pPr>
      <w:r/>
      <w:r>
        <w:rPr>
          <w:rFonts w:ascii="DejaVu Sans" w:hAnsi="DejaVu Sans"/>
          <w:b w:val="0"/>
          <w:i w:val="0"/>
          <w:color w:val="2D5016"/>
          <w:sz w:val="22"/>
        </w:rPr>
        <w:t>Closed-loop water systems with filtration and reuse capabilities</w:t>
      </w:r>
    </w:p>
    <w:p>
      <w:pPr>
        <w:pStyle w:val="ListNumber"/>
        <w:numPr>
          <w:ilvl w:val="0"/>
        </w:numPr>
        <w:ind w:left="360" w:hanging="360"/>
      </w:pPr>
      <w:r/>
      <w:r>
        <w:rPr>
          <w:rFonts w:ascii="DejaVu Sans" w:hAnsi="DejaVu Sans"/>
          <w:b w:val="0"/>
          <w:i w:val="0"/>
          <w:color w:val="2D5016"/>
          <w:sz w:val="22"/>
        </w:rPr>
        <w:t>Scrap material collection and reintegration into production streams</w:t>
      </w:r>
    </w:p>
    <w:p>
      <w:pPr>
        <w:pStyle w:val="ListNumber"/>
        <w:numPr>
          <w:ilvl w:val="0"/>
        </w:numPr>
        <w:ind w:left="360" w:hanging="360"/>
      </w:pPr>
      <w:r/>
      <w:r>
        <w:rPr>
          <w:rFonts w:ascii="DejaVu Sans" w:hAnsi="DejaVu Sans"/>
          <w:b w:val="0"/>
          <w:i w:val="0"/>
          <w:color w:val="2D5016"/>
          <w:sz w:val="22"/>
        </w:rPr>
        <w:t>Modular packaging designs that facilitate disassembly and material separation</w:t>
      </w:r>
    </w:p>
    <w:p>
      <w:pPr>
        <w:pStyle w:val="Heading3"/>
        <w:spacing w:before="280" w:after="200"/>
        <w:jc w:val="left"/>
      </w:pPr>
      <w:r>
        <w:rPr>
          <w:rFonts w:ascii="DejaVu Sans" w:hAnsi="DejaVu Sans"/>
          <w:b/>
          <w:i w:val="0"/>
          <w:color w:val="558B2F"/>
          <w:sz w:val="36"/>
        </w:rPr>
        <w:t>3.2.3 Operational Workflow Efficiency</w:t>
      </w:r>
    </w:p>
    <w:p>
      <w:pPr>
        <w:spacing w:before="0" w:after="240"/>
        <w:jc w:val="both"/>
      </w:pPr>
      <w:r>
        <w:rPr>
          <w:rFonts w:ascii="DejaVu Sans" w:hAnsi="DejaVu Sans"/>
          <w:b w:val="0"/>
          <w:i w:val="0"/>
          <w:color w:val="2D5016"/>
          <w:sz w:val="22"/>
        </w:rPr>
        <w:t xml:space="preserve">Efficient packaging line processes reduce bottlenecks and product damages while improving resource utilization. Through continuous improvement methodologies, we achieve line efficiency improvements of up to </w:t>
      </w:r>
      <w:r>
        <w:rPr>
          <w:rFonts w:ascii="DejaVu Sans" w:hAnsi="DejaVu Sans"/>
          <w:b/>
          <w:i w:val="0"/>
          <w:color w:val="2D5016"/>
          <w:sz w:val="22"/>
        </w:rPr>
        <w:t>30%</w:t>
      </w:r>
      <w:r>
        <w:rPr>
          <w:rFonts w:ascii="DejaVu Sans" w:hAnsi="DejaVu Sans"/>
          <w:b w:val="0"/>
          <w:i w:val="0"/>
          <w:color w:val="2D5016"/>
          <w:sz w:val="22"/>
        </w:rPr>
        <w:t xml:space="preserve"> through incremental optimization. This enhances sustainability by lowering material waste, reducing energy consumption during manufacturing, and increasing throughput without proportional resource increases.</w:t>
      </w:r>
    </w:p>
    <w:p>
      <w:pPr>
        <w:pStyle w:val="Heading2"/>
        <w:spacing w:before="360" w:after="280"/>
        <w:jc w:val="left"/>
      </w:pPr>
      <w:r>
        <w:rPr>
          <w:rFonts w:ascii="DejaVu Sans" w:hAnsi="DejaVu Sans"/>
          <w:b/>
          <w:i w:val="0"/>
          <w:color w:val="2D5016"/>
          <w:sz w:val="44"/>
        </w:rPr>
        <w:t>3.3 Sustainability Metrics and Key Performance Indicators</w:t>
      </w:r>
    </w:p>
    <w:p>
      <w:pPr>
        <w:spacing w:before="0" w:after="240"/>
        <w:jc w:val="both"/>
      </w:pPr>
      <w:r>
        <w:rPr>
          <w:rFonts w:ascii="DejaVu Sans" w:hAnsi="DejaVu Sans"/>
          <w:b w:val="0"/>
          <w:i w:val="0"/>
          <w:color w:val="2D5016"/>
          <w:sz w:val="22"/>
        </w:rPr>
        <w:t>Measurable sustainability KPIs provide transparency and drive continuous improvement across our operations. We track comprehensive metrics across environmental, operational, and supply chain dimensions.</w:t>
      </w:r>
    </w:p>
    <w:p>
      <w:pPr>
        <w:spacing w:after="300"/>
      </w:pPr>
    </w:p>
    <w:tbl>
      <w:tblPr>
        <w:tblW w:type="auto" w:w="0"/>
        <w:tblLook w:firstColumn="1" w:firstRow="1" w:lastColumn="0" w:lastRow="0" w:noHBand="0" w:noVBand="1" w:val="04A0"/>
        <w:tblBorders>
          <w:top w:val="single" w:sz="12" w:space="0" w:color="1b5e20"/>
          <w:left w:val="single" w:sz="12" w:space="0" w:color="1b5e20"/>
          <w:bottom w:val="single" w:sz="12" w:space="0" w:color="1b5e20"/>
          <w:right w:val="single" w:sz="12" w:space="0" w:color="1b5e20"/>
          <w:insideH w:val="single" w:sz="4" w:space="0" w:color="c5e1a5"/>
          <w:insideV w:val="single" w:sz="4" w:space="0" w:color="c5e1a5"/>
        </w:tblBorders>
        <w:tblInd w:w="120" w:type="dxa"/>
      </w:tblPr>
      <w:tblGrid>
        <w:gridCol w:w="2409"/>
        <w:gridCol w:w="2409"/>
        <w:gridCol w:w="2409"/>
        <w:gridCol w:w="2409"/>
      </w:tblGrid>
      <w:tr>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Metric Category</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Key Performance Indicator</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Measurement Approach</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Target Range</w:t>
            </w:r>
          </w:p>
        </w:tc>
      </w:tr>
      <w:tr>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Carbon Emissions</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Scope 1 &amp; 2 Emissions</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Direct facility emissions + purchased energy</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20-30% reduction YoY</w:t>
            </w:r>
          </w:p>
        </w:tc>
      </w:tr>
      <w:tr>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Carbon Emissions</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Scope 3 Emissions</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Supply chain and transportation impacts</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15-25% reduction over 3 years</w:t>
            </w:r>
          </w:p>
        </w:tc>
      </w:tr>
      <w:tr>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Material Sustainability</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Recycled/Renewable Content %</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Weight percentage of sustainable inputs</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60-80% by material type</w:t>
            </w:r>
          </w:p>
        </w:tc>
      </w:tr>
      <w:tr>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Energy Efficiency</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Energy per Production Unit</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kWh per kilogram of output</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10-15% annual improvement</w:t>
            </w:r>
          </w:p>
        </w:tc>
      </w:tr>
      <w:tr>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Waste Reduction</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Manufacturing Waste Rate</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Waste weight vs. total material input</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&lt;5% waste to landfill</w:t>
            </w:r>
          </w:p>
        </w:tc>
      </w:tr>
      <w:tr>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Lifecycle Impact</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Carbon Footprint per Package</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Cradle-to-grave CO₂ equivalent</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40-60% lower than conventional</w:t>
            </w:r>
          </w:p>
        </w:tc>
      </w:tr>
    </w:tbl>
    <w:p>
      <w:pPr>
        <w:jc w:val="center"/>
      </w:pPr>
      <w:r>
        <w:rPr>
          <w:rFonts w:ascii="DejaVu Sans" w:hAnsi="DejaVu Sans"/>
          <w:b w:val="0"/>
          <w:i/>
          <w:color w:val="2D5016"/>
          <w:sz w:val="22"/>
        </w:rPr>
        <w:t>Core Sustainability KPIs and Targets</w:t>
      </w:r>
    </w:p>
    <w:p>
      <w:pPr>
        <w:spacing w:before="300"/>
      </w:pPr>
    </w:p>
    <w:p>
      <w:pPr>
        <w:spacing w:before="0" w:after="240"/>
        <w:jc w:val="both"/>
      </w:pPr>
      <w:r>
        <w:rPr>
          <w:rFonts w:ascii="DejaVu Sans" w:hAnsi="DejaVu Sans"/>
          <w:b w:val="0"/>
          <w:i w:val="0"/>
          <w:color w:val="2D5016"/>
          <w:sz w:val="22"/>
        </w:rPr>
        <w:t>Continuous material assessments and supply chain collaboration ensure these KPIs remain relevant and ambitious. Regular third-party audits and lifecycle assessment studies validate our environmental claims and identify improvement opportunities.</w:t>
      </w:r>
    </w:p>
    <w:p>
      <w:pPr>
        <w:pStyle w:val="Heading2"/>
        <w:spacing w:before="360" w:after="280"/>
        <w:jc w:val="left"/>
      </w:pPr>
      <w:r>
        <w:rPr>
          <w:rFonts w:ascii="DejaVu Sans" w:hAnsi="DejaVu Sans"/>
          <w:b/>
          <w:i w:val="0"/>
          <w:color w:val="2D5016"/>
          <w:sz w:val="44"/>
        </w:rPr>
        <w:t>3.4 Strategic Supplier Partnerships</w:t>
      </w:r>
    </w:p>
    <w:p>
      <w:pPr>
        <w:spacing w:before="0" w:after="240"/>
        <w:jc w:val="both"/>
      </w:pPr>
      <w:r>
        <w:rPr>
          <w:rFonts w:ascii="DejaVu Sans" w:hAnsi="DejaVu Sans"/>
          <w:b w:val="0"/>
          <w:i w:val="0"/>
          <w:color w:val="2D5016"/>
          <w:sz w:val="22"/>
        </w:rPr>
        <w:t>Sustainable supplier partnerships are critical to achieving our environmental goals and ensuring supply chain resilience. We apply rigorous selection criteria and maintain ongoing collaboration with material suppliers, equipment providers, and logistics partners.</w:t>
      </w:r>
    </w:p>
    <w:p>
      <w:pPr>
        <w:pStyle w:val="Heading3"/>
        <w:spacing w:before="280" w:after="200"/>
        <w:jc w:val="left"/>
      </w:pPr>
      <w:r>
        <w:rPr>
          <w:rFonts w:ascii="DejaVu Sans" w:hAnsi="DejaVu Sans"/>
          <w:b/>
          <w:i w:val="0"/>
          <w:color w:val="558B2F"/>
          <w:sz w:val="36"/>
        </w:rPr>
        <w:t>3.4.1 Supplier Selection Criteria</w:t>
      </w:r>
    </w:p>
    <w:p>
      <w:pPr>
        <w:spacing w:before="0" w:after="240"/>
        <w:jc w:val="both"/>
      </w:pPr>
      <w:r>
        <w:rPr>
          <w:rFonts w:ascii="DejaVu Sans" w:hAnsi="DejaVu Sans"/>
          <w:b w:val="0"/>
          <w:i w:val="0"/>
          <w:color w:val="2D5016"/>
          <w:sz w:val="22"/>
        </w:rPr>
        <w:t>All suppliers undergo evaluation across environmental and social performance dimensions:</w:t>
      </w:r>
    </w:p>
    <w:p>
      <w:pPr>
        <w:pStyle w:val="ListBullet"/>
        <w:ind w:left="360" w:hanging="360"/>
      </w:pPr>
      <w:r/>
      <w:r>
        <w:rPr>
          <w:rFonts w:ascii="DejaVu Sans" w:hAnsi="DejaVu Sans"/>
          <w:b/>
          <w:i w:val="0"/>
          <w:color w:val="2D5016"/>
          <w:sz w:val="22"/>
        </w:rPr>
        <w:t>Environmental certifications</w:t>
      </w:r>
      <w:r>
        <w:rPr>
          <w:rFonts w:ascii="DejaVu Sans" w:hAnsi="DejaVu Sans"/>
          <w:b w:val="0"/>
          <w:i w:val="0"/>
          <w:color w:val="2D5016"/>
          <w:sz w:val="22"/>
        </w:rPr>
        <w:t>: FSC, PEFC, Cradle to Cradle, or equivalent standards for responsible resource management</w:t>
      </w:r>
    </w:p>
    <w:p>
      <w:pPr>
        <w:pStyle w:val="ListBullet"/>
        <w:ind w:left="360" w:hanging="360"/>
      </w:pPr>
      <w:r/>
      <w:r>
        <w:rPr>
          <w:rFonts w:ascii="DejaVu Sans" w:hAnsi="DejaVu Sans"/>
          <w:b/>
          <w:i w:val="0"/>
          <w:color w:val="2D5016"/>
          <w:sz w:val="22"/>
        </w:rPr>
        <w:t>Carbon disclosure</w:t>
      </w:r>
      <w:r>
        <w:rPr>
          <w:rFonts w:ascii="DejaVu Sans" w:hAnsi="DejaVu Sans"/>
          <w:b w:val="0"/>
          <w:i w:val="0"/>
          <w:color w:val="2D5016"/>
          <w:sz w:val="22"/>
        </w:rPr>
        <w:t>: Transparent reporting of emissions and reduction targets aligned with science-based initiatives</w:t>
      </w:r>
    </w:p>
    <w:p>
      <w:pPr>
        <w:pStyle w:val="ListBullet"/>
        <w:ind w:left="360" w:hanging="360"/>
      </w:pPr>
      <w:r/>
      <w:r>
        <w:rPr>
          <w:rFonts w:ascii="DejaVu Sans" w:hAnsi="DejaVu Sans"/>
          <w:b/>
          <w:i w:val="0"/>
          <w:color w:val="2D5016"/>
          <w:sz w:val="22"/>
        </w:rPr>
        <w:t>Local sourcing priority</w:t>
      </w:r>
      <w:r>
        <w:rPr>
          <w:rFonts w:ascii="DejaVu Sans" w:hAnsi="DejaVu Sans"/>
          <w:b w:val="0"/>
          <w:i w:val="0"/>
          <w:color w:val="2D5016"/>
          <w:sz w:val="22"/>
        </w:rPr>
        <w:t>: Preference for regional suppliers to reduce transportation emissions and support local economies</w:t>
      </w:r>
    </w:p>
    <w:p>
      <w:pPr>
        <w:pStyle w:val="ListBullet"/>
        <w:ind w:left="360" w:hanging="360"/>
      </w:pPr>
      <w:r/>
      <w:r>
        <w:rPr>
          <w:rFonts w:ascii="DejaVu Sans" w:hAnsi="DejaVu Sans"/>
          <w:b/>
          <w:i w:val="0"/>
          <w:color w:val="2D5016"/>
          <w:sz w:val="22"/>
        </w:rPr>
        <w:t>Social responsibility</w:t>
      </w:r>
      <w:r>
        <w:rPr>
          <w:rFonts w:ascii="DejaVu Sans" w:hAnsi="DejaVu Sans"/>
          <w:b w:val="0"/>
          <w:i w:val="0"/>
          <w:color w:val="2D5016"/>
          <w:sz w:val="22"/>
        </w:rPr>
        <w:t>: Labor practices, community engagement, and ethical business conduct verification</w:t>
      </w:r>
    </w:p>
    <w:p>
      <w:pPr>
        <w:pStyle w:val="Heading3"/>
        <w:spacing w:before="280" w:after="200"/>
        <w:jc w:val="left"/>
      </w:pPr>
      <w:r>
        <w:rPr>
          <w:rFonts w:ascii="DejaVu Sans" w:hAnsi="DejaVu Sans"/>
          <w:b/>
          <w:i w:val="0"/>
          <w:color w:val="558B2F"/>
          <w:sz w:val="36"/>
        </w:rPr>
        <w:t>3.4.2 Collaborative Optimization</w:t>
      </w:r>
    </w:p>
    <w:p>
      <w:pPr>
        <w:spacing w:before="0" w:after="240"/>
        <w:jc w:val="both"/>
      </w:pPr>
      <w:r>
        <w:rPr>
          <w:rFonts w:ascii="DejaVu Sans" w:hAnsi="DejaVu Sans"/>
          <w:b w:val="0"/>
          <w:i w:val="0"/>
          <w:color w:val="2D5016"/>
          <w:sz w:val="22"/>
        </w:rPr>
        <w:t>Regular communication and collaboration with partners optimize resource use, consolidate shipments, and enhance supply chain transparency. Joint initiatives include material innovation projects, shared logistics platforms, demand forecasting alignment, and continuous improvement workshops. This collaborative approach reduces redundancies, minimizes environmental impacts, and strengthens supply chain resilience.</w:t>
      </w:r>
    </w:p>
    <w:p>
      <w:pPr>
        <w:pStyle w:val="Heading2"/>
        <w:spacing w:before="360" w:after="280"/>
        <w:jc w:val="left"/>
      </w:pPr>
      <w:r>
        <w:rPr>
          <w:rFonts w:ascii="DejaVu Sans" w:hAnsi="DejaVu Sans"/>
          <w:b/>
          <w:i w:val="0"/>
          <w:color w:val="2D5016"/>
          <w:sz w:val="44"/>
        </w:rPr>
        <w:t>3.5 Scaling Strategy and Growth Roadmap</w:t>
      </w:r>
    </w:p>
    <w:p>
      <w:pPr>
        <w:spacing w:before="0" w:after="240"/>
        <w:jc w:val="both"/>
      </w:pPr>
      <w:r>
        <w:rPr>
          <w:rFonts w:ascii="DejaVu Sans" w:hAnsi="DejaVu Sans"/>
          <w:b w:val="0"/>
          <w:i w:val="0"/>
          <w:color w:val="2D5016"/>
          <w:sz w:val="22"/>
        </w:rPr>
        <w:t>Our scaling strategy balances aggressive growth targets with unwavering commitment to sustainability principles. The roadmap prioritizes incremental adoption of sustainable materials and equipment while ensuring operational continuity and financial viability.</w:t>
      </w:r>
    </w:p>
    <w:p>
      <w:pPr>
        <w:pStyle w:val="Heading3"/>
        <w:spacing w:before="280" w:after="200"/>
        <w:jc w:val="left"/>
      </w:pPr>
      <w:r>
        <w:rPr>
          <w:rFonts w:ascii="DejaVu Sans" w:hAnsi="DejaVu Sans"/>
          <w:b/>
          <w:i w:val="0"/>
          <w:color w:val="558B2F"/>
          <w:sz w:val="36"/>
        </w:rPr>
        <w:t>3.5.1 Phased Capacity Expansion</w:t>
      </w:r>
    </w:p>
    <w:p>
      <w:pPr>
        <w:spacing w:before="0" w:after="240"/>
        <w:jc w:val="both"/>
      </w:pPr>
      <w:r>
        <w:rPr>
          <w:rFonts w:ascii="DejaVu Sans" w:hAnsi="DejaVu Sans"/>
          <w:b w:val="0"/>
          <w:i w:val="0"/>
          <w:color w:val="2D5016"/>
          <w:sz w:val="22"/>
        </w:rPr>
        <w:t>Capacity expansion follows a structured phase approach to manage capital requirements and operational risk:</w:t>
      </w:r>
    </w:p>
    <w:p>
      <w:pPr>
        <w:pStyle w:val="ListNumber"/>
        <w:numPr>
          <w:numId w:val="13"/>
          <w:ilvl w:val="0"/>
        </w:numPr>
        <w:ind w:left="360" w:hanging="360"/>
      </w:pPr>
      <w:r/>
      <w:r>
        <w:rPr>
          <w:rFonts w:ascii="DejaVu Sans" w:hAnsi="DejaVu Sans"/>
          <w:b/>
          <w:i w:val="0"/>
          <w:color w:val="2D5016"/>
          <w:sz w:val="22"/>
        </w:rPr>
        <w:t>Phase 1 (Year 1-2)</w:t>
      </w:r>
      <w:r>
        <w:rPr>
          <w:rFonts w:ascii="DejaVu Sans" w:hAnsi="DejaVu Sans"/>
          <w:b w:val="0"/>
          <w:i w:val="0"/>
          <w:color w:val="2D5016"/>
          <w:sz w:val="22"/>
        </w:rPr>
        <w:t>: Optimize existing production lines and establish baseline KPIs</w:t>
      </w:r>
    </w:p>
    <w:p>
      <w:pPr>
        <w:pStyle w:val="ListNumber"/>
        <w:numPr>
          <w:numId w:val="14"/>
          <w:ilvl w:val="1"/>
        </w:numPr>
        <w:ind w:left="936" w:hanging="360"/>
      </w:pPr>
      <w:r/>
      <w:r>
        <w:rPr>
          <w:rFonts w:ascii="DejaVu Sans" w:hAnsi="DejaVu Sans"/>
          <w:b w:val="0"/>
          <w:i w:val="0"/>
          <w:color w:val="2D5016"/>
          <w:sz w:val="22"/>
        </w:rPr>
        <w:t>Implement efficiency improvements targeting 30% throughput increase</w:t>
      </w:r>
    </w:p>
    <w:p>
      <w:pPr>
        <w:pStyle w:val="ListNumber"/>
        <w:numPr>
          <w:ilvl w:val="1"/>
        </w:numPr>
        <w:ind w:left="936" w:hanging="360"/>
      </w:pPr>
      <w:r/>
      <w:r>
        <w:rPr>
          <w:rFonts w:ascii="DejaVu Sans" w:hAnsi="DejaVu Sans"/>
          <w:b w:val="0"/>
          <w:i w:val="0"/>
          <w:color w:val="2D5016"/>
          <w:sz w:val="22"/>
        </w:rPr>
        <w:t>Integrate first-generation bio-based materials into existing equipment</w:t>
      </w:r>
    </w:p>
    <w:p>
      <w:pPr>
        <w:pStyle w:val="ListNumber"/>
        <w:numPr>
          <w:ilvl w:val="1"/>
        </w:numPr>
        <w:ind w:left="936" w:hanging="360"/>
      </w:pPr>
      <w:r/>
      <w:r>
        <w:rPr>
          <w:rFonts w:ascii="DejaVu Sans" w:hAnsi="DejaVu Sans"/>
          <w:b w:val="0"/>
          <w:i w:val="0"/>
          <w:color w:val="2D5016"/>
          <w:sz w:val="22"/>
        </w:rPr>
        <w:t>Establish supplier partnerships and certification frameworks</w:t>
      </w:r>
    </w:p>
    <w:p>
      <w:pPr>
        <w:pStyle w:val="ListNumber"/>
        <w:numPr>
          <w:ilvl w:val="0"/>
        </w:numPr>
        <w:ind w:left="360" w:hanging="360"/>
      </w:pPr>
      <w:r/>
      <w:r>
        <w:rPr>
          <w:rFonts w:ascii="DejaVu Sans" w:hAnsi="DejaVu Sans"/>
          <w:b/>
          <w:i w:val="0"/>
          <w:color w:val="2D5016"/>
          <w:sz w:val="22"/>
        </w:rPr>
        <w:t>Phase 2 (Year 2-3)</w:t>
      </w:r>
      <w:r>
        <w:rPr>
          <w:rFonts w:ascii="DejaVu Sans" w:hAnsi="DejaVu Sans"/>
          <w:b w:val="0"/>
          <w:i w:val="0"/>
          <w:color w:val="2D5016"/>
          <w:sz w:val="22"/>
        </w:rPr>
        <w:t>: Add dedicated sustainable packaging production lines</w:t>
      </w:r>
    </w:p>
    <w:p>
      <w:pPr>
        <w:pStyle w:val="ListNumber"/>
        <w:numPr>
          <w:numId w:val="15"/>
          <w:ilvl w:val="1"/>
        </w:numPr>
        <w:ind w:left="936" w:hanging="360"/>
      </w:pPr>
      <w:r/>
      <w:r>
        <w:rPr>
          <w:rFonts w:ascii="DejaVu Sans" w:hAnsi="DejaVu Sans"/>
          <w:b w:val="0"/>
          <w:i w:val="0"/>
          <w:color w:val="2D5016"/>
          <w:sz w:val="22"/>
        </w:rPr>
        <w:t>Install specialized equipment for compostable flexible packaging</w:t>
      </w:r>
    </w:p>
    <w:p>
      <w:pPr>
        <w:pStyle w:val="ListNumber"/>
        <w:numPr>
          <w:ilvl w:val="1"/>
        </w:numPr>
        <w:ind w:left="936" w:hanging="360"/>
      </w:pPr>
      <w:r/>
      <w:r>
        <w:rPr>
          <w:rFonts w:ascii="DejaVu Sans" w:hAnsi="DejaVu Sans"/>
          <w:b w:val="0"/>
          <w:i w:val="0"/>
          <w:color w:val="2D5016"/>
          <w:sz w:val="22"/>
        </w:rPr>
        <w:t>Double production capacity while maintaining sustainability KPIs</w:t>
      </w:r>
    </w:p>
    <w:p>
      <w:pPr>
        <w:pStyle w:val="ListNumber"/>
        <w:numPr>
          <w:ilvl w:val="1"/>
        </w:numPr>
        <w:ind w:left="936" w:hanging="360"/>
      </w:pPr>
      <w:r/>
      <w:r>
        <w:rPr>
          <w:rFonts w:ascii="DejaVu Sans" w:hAnsi="DejaVu Sans"/>
          <w:b w:val="0"/>
          <w:i w:val="0"/>
          <w:color w:val="2D5016"/>
          <w:sz w:val="22"/>
        </w:rPr>
        <w:t>Expand material portfolio with advanced bio-polymers and composites</w:t>
      </w:r>
    </w:p>
    <w:p>
      <w:pPr>
        <w:pStyle w:val="ListNumber"/>
        <w:numPr>
          <w:ilvl w:val="0"/>
        </w:numPr>
        <w:ind w:left="360" w:hanging="360"/>
      </w:pPr>
      <w:r/>
      <w:r>
        <w:rPr>
          <w:rFonts w:ascii="DejaVu Sans" w:hAnsi="DejaVu Sans"/>
          <w:b/>
          <w:i w:val="0"/>
          <w:color w:val="2D5016"/>
          <w:sz w:val="22"/>
        </w:rPr>
        <w:t>Phase 3 (Year 4-5)</w:t>
      </w:r>
      <w:r>
        <w:rPr>
          <w:rFonts w:ascii="DejaVu Sans" w:hAnsi="DejaVu Sans"/>
          <w:b w:val="0"/>
          <w:i w:val="0"/>
          <w:color w:val="2D5016"/>
          <w:sz w:val="22"/>
        </w:rPr>
        <w:t>: Regional expansion and vertical integration</w:t>
      </w:r>
    </w:p>
    <w:p>
      <w:pPr>
        <w:pStyle w:val="ListNumber"/>
        <w:numPr>
          <w:numId w:val="16"/>
          <w:ilvl w:val="1"/>
        </w:numPr>
        <w:ind w:left="936" w:hanging="360"/>
      </w:pPr>
      <w:r/>
      <w:r>
        <w:rPr>
          <w:rFonts w:ascii="DejaVu Sans" w:hAnsi="DejaVu Sans"/>
          <w:b w:val="0"/>
          <w:i w:val="0"/>
          <w:color w:val="2D5016"/>
          <w:sz w:val="22"/>
        </w:rPr>
        <w:t>Establish secondary production facilities in key markets</w:t>
      </w:r>
    </w:p>
    <w:p>
      <w:pPr>
        <w:pStyle w:val="ListNumber"/>
        <w:numPr>
          <w:ilvl w:val="1"/>
        </w:numPr>
        <w:ind w:left="936" w:hanging="360"/>
      </w:pPr>
      <w:r/>
      <w:r>
        <w:rPr>
          <w:rFonts w:ascii="DejaVu Sans" w:hAnsi="DejaVu Sans"/>
          <w:b w:val="0"/>
          <w:i w:val="0"/>
          <w:color w:val="2D5016"/>
          <w:sz w:val="22"/>
        </w:rPr>
        <w:t>Develop proprietary material formulations and processing technologies</w:t>
      </w:r>
    </w:p>
    <w:p>
      <w:pPr>
        <w:pStyle w:val="ListNumber"/>
        <w:numPr>
          <w:ilvl w:val="1"/>
        </w:numPr>
        <w:ind w:left="936" w:hanging="360"/>
      </w:pPr>
      <w:r/>
      <w:r>
        <w:rPr>
          <w:rFonts w:ascii="DejaVu Sans" w:hAnsi="DejaVu Sans"/>
          <w:b w:val="0"/>
          <w:i w:val="0"/>
          <w:color w:val="2D5016"/>
          <w:sz w:val="22"/>
        </w:rPr>
        <w:t>Integrate upstream supply chain elements for enhanced control</w:t>
      </w:r>
    </w:p>
    <w:p>
      <w:pPr>
        <w:pStyle w:val="Heading3"/>
        <w:spacing w:before="280" w:after="200"/>
        <w:jc w:val="left"/>
      </w:pPr>
      <w:r>
        <w:rPr>
          <w:rFonts w:ascii="DejaVu Sans" w:hAnsi="DejaVu Sans"/>
          <w:b/>
          <w:i w:val="0"/>
          <w:color w:val="558B2F"/>
          <w:sz w:val="36"/>
        </w:rPr>
        <w:t>3.5.2 Technology and Innovation Integration</w:t>
      </w:r>
    </w:p>
    <w:p>
      <w:pPr>
        <w:spacing w:before="0" w:after="240"/>
        <w:jc w:val="both"/>
      </w:pPr>
      <w:r>
        <w:rPr>
          <w:rFonts w:ascii="DejaVu Sans" w:hAnsi="DejaVu Sans"/>
          <w:b w:val="0"/>
          <w:i w:val="0"/>
          <w:color w:val="2D5016"/>
          <w:sz w:val="22"/>
        </w:rPr>
        <w:t>Continuous innovation drives competitive advantage and environmental performance improvements. Our scaling strategy incorporates emerging technologies including compostable flexible packaging systems, advanced barrier coatings from renewable sources, digital printing for reduced setup waste, and AI-powered quality control systems for defect reduction.</w:t>
      </w:r>
    </w:p>
    <w:p>
      <w:pPr>
        <w:pStyle w:val="Heading3"/>
        <w:spacing w:before="280" w:after="200"/>
        <w:jc w:val="left"/>
      </w:pPr>
      <w:r>
        <w:rPr>
          <w:rFonts w:ascii="DejaVu Sans" w:hAnsi="DejaVu Sans"/>
          <w:b/>
          <w:i w:val="0"/>
          <w:color w:val="558B2F"/>
          <w:sz w:val="36"/>
        </w:rPr>
        <w:t>3.5.3 Market Reach Expansion</w:t>
      </w:r>
    </w:p>
    <w:p>
      <w:pPr>
        <w:spacing w:before="0" w:after="240"/>
        <w:jc w:val="both"/>
      </w:pPr>
      <w:r>
        <w:rPr>
          <w:rFonts w:ascii="DejaVu Sans" w:hAnsi="DejaVu Sans"/>
          <w:b w:val="0"/>
          <w:i w:val="0"/>
          <w:color w:val="2D5016"/>
          <w:sz w:val="22"/>
        </w:rPr>
        <w:t>Geographic and sector expansion follows demand patterns and regulatory drivers:</w:t>
      </w:r>
    </w:p>
    <w:p>
      <w:pPr>
        <w:spacing w:before="300" w:after="300"/>
        <w:jc w:val="left"/>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tmp28nyfxzn.png"/>
                    <pic:cNvPicPr/>
                  </pic:nvPicPr>
                  <pic:blipFill>
                    <a:blip r:embed="rId15"/>
                    <a:stretch>
                      <a:fillRect/>
                    </a:stretch>
                  </pic:blipFill>
                  <pic:spPr>
                    <a:xfrm>
                      <a:off x="0" y="0"/>
                      <a:ext cx="5486400" cy="2743200"/>
                    </a:xfrm>
                    <a:prstGeom prst="rect"/>
                  </pic:spPr>
                </pic:pic>
              </a:graphicData>
            </a:graphic>
          </wp:inline>
        </w:drawing>
      </w:r>
    </w:p>
    <w:p>
      <w:pPr>
        <w:pStyle w:val="Heading3"/>
        <w:spacing w:before="280" w:after="200"/>
        <w:jc w:val="left"/>
      </w:pPr>
      <w:r>
        <w:rPr>
          <w:rFonts w:ascii="DejaVu Sans" w:hAnsi="DejaVu Sans"/>
          <w:b/>
          <w:i w:val="0"/>
          <w:color w:val="558B2F"/>
          <w:sz w:val="36"/>
        </w:rPr>
        <w:t>3.5.4 Maintaining Sustainability During Growth</w:t>
      </w:r>
    </w:p>
    <w:p>
      <w:pPr>
        <w:spacing w:before="0" w:after="240"/>
        <w:jc w:val="both"/>
      </w:pPr>
      <w:r>
        <w:rPr>
          <w:rFonts w:ascii="DejaVu Sans" w:hAnsi="DejaVu Sans"/>
          <w:b w:val="0"/>
          <w:i w:val="0"/>
          <w:color w:val="2D5016"/>
          <w:sz w:val="22"/>
        </w:rPr>
        <w:t>Scaling operations while maintaining or improving sustainability KPIs requires disciplined management and strategic investments. Key commitments include ensuring all new facilities meet or exceed environmental performance of existing operations, maintaining minimum recycled/renewable content percentages regardless of volume, investing in renewable energy for expanded capacity, and implementing real-time monitoring systems for immediate deviation detection and correction.</w:t>
      </w:r>
    </w:p>
    <w:p>
      <w:pPr>
        <w:pStyle w:val="Heading2"/>
        <w:spacing w:before="360" w:after="280"/>
        <w:jc w:val="left"/>
      </w:pPr>
      <w:r>
        <w:rPr>
          <w:rFonts w:ascii="DejaVu Sans" w:hAnsi="DejaVu Sans"/>
          <w:b/>
          <w:i w:val="0"/>
          <w:color w:val="2D5016"/>
          <w:sz w:val="44"/>
        </w:rPr>
        <w:t>3.6 Supply Chain Logistics Optimization</w:t>
      </w:r>
    </w:p>
    <w:p>
      <w:pPr>
        <w:spacing w:before="0" w:after="240"/>
        <w:jc w:val="both"/>
      </w:pPr>
      <w:r>
        <w:rPr>
          <w:rFonts w:ascii="DejaVu Sans" w:hAnsi="DejaVu Sans"/>
          <w:b w:val="0"/>
          <w:i w:val="0"/>
          <w:color w:val="2D5016"/>
          <w:sz w:val="22"/>
        </w:rPr>
        <w:t>Efficient supply chain logistics reduce transportation emissions, minimize inventory waste, and enhance customer satisfaction. Our optimization strategy includes regional distribution centers positioned near customer clusters, consolidated shipments using route optimization algorithms, partnership with carbon-neutral logistics providers, and returnable packaging systems for B2B customers.</w:t>
      </w:r>
    </w:p>
    <w:p>
      <w:pPr>
        <w:spacing w:before="0" w:after="240"/>
        <w:jc w:val="both"/>
      </w:pPr>
      <w:r>
        <w:rPr>
          <w:rFonts w:ascii="DejaVu Sans" w:hAnsi="DejaVu Sans"/>
          <w:b w:val="0"/>
          <w:i w:val="0"/>
          <w:color w:val="2D5016"/>
          <w:sz w:val="22"/>
        </w:rPr>
        <w:t>By integrating these manufacturing methods, sustainability metrics, supplier partnerships, and scaling strategies, we establish a robust operational foundation capable of meeting growing market demand while advancing environmental stewardship. This comprehensive approach positions the company as a leader in sustainable packaging innovation and demonstrates that profitability and planet-positive practices are mutually reinforcing objectives.</w:t>
      </w:r>
    </w:p>
    <w:p>
      <w:r>
        <w:br w:type="page"/>
      </w:r>
    </w:p>
    <w:p>
      <w:pPr>
        <w:pStyle w:val="Heading1"/>
        <w:spacing w:before="480" w:after="360"/>
        <w:jc w:val="center"/>
      </w:pPr>
      <w:r>
        <w:rPr>
          <w:rFonts w:ascii="DejaVu Sans" w:hAnsi="DejaVu Sans"/>
          <w:b/>
          <w:i w:val="0"/>
          <w:color w:val="1B5E20"/>
          <w:sz w:val="56"/>
        </w:rPr>
        <w:t>4. Pricing, Financial Outlook, and Industry References</w:t>
      </w:r>
    </w:p>
    <w:p>
      <w:pPr>
        <w:spacing w:before="0" w:after="240"/>
        <w:jc w:val="both"/>
      </w:pPr>
      <w:r>
        <w:rPr>
          <w:rFonts w:ascii="DejaVu Sans" w:hAnsi="DejaVu Sans"/>
          <w:b w:val="0"/>
          <w:i w:val="0"/>
          <w:color w:val="2D5016"/>
          <w:sz w:val="22"/>
        </w:rPr>
        <w:t>This chapter presents a comprehensive analysis of the financial framework supporting our sustainable packaging startup, including strategic pricing models, detailed cost structures, financial projections, and industry benchmarks that validate our business case in the rapidly evolving sustainable packaging market.</w:t>
      </w:r>
    </w:p>
    <w:p>
      <w:pPr>
        <w:pStyle w:val="Heading2"/>
        <w:spacing w:before="360" w:after="280"/>
        <w:jc w:val="left"/>
      </w:pPr>
      <w:r>
        <w:rPr>
          <w:rFonts w:ascii="DejaVu Sans" w:hAnsi="DejaVu Sans"/>
          <w:b/>
          <w:i w:val="0"/>
          <w:color w:val="2D5016"/>
          <w:sz w:val="44"/>
        </w:rPr>
        <w:t>4.1 Strategic Pricing Models</w:t>
      </w:r>
    </w:p>
    <w:p>
      <w:pPr>
        <w:spacing w:before="0" w:after="240"/>
        <w:jc w:val="both"/>
      </w:pPr>
      <w:r>
        <w:rPr>
          <w:rFonts w:ascii="DejaVu Sans" w:hAnsi="DejaVu Sans"/>
          <w:b w:val="0"/>
          <w:i w:val="0"/>
          <w:color w:val="2D5016"/>
          <w:sz w:val="22"/>
        </w:rPr>
        <w:t xml:space="preserve">Our pricing strategy departs from traditional cost-plus models, embracing a </w:t>
      </w:r>
      <w:r>
        <w:rPr>
          <w:rFonts w:ascii="DejaVu Sans" w:hAnsi="DejaVu Sans"/>
          <w:b/>
          <w:i w:val="0"/>
          <w:color w:val="2D5016"/>
          <w:sz w:val="22"/>
        </w:rPr>
        <w:t>value-based pricing approach</w:t>
      </w:r>
      <w:r>
        <w:rPr>
          <w:rFonts w:ascii="DejaVu Sans" w:hAnsi="DejaVu Sans"/>
          <w:b w:val="0"/>
          <w:i w:val="0"/>
          <w:color w:val="2D5016"/>
          <w:sz w:val="22"/>
        </w:rPr>
        <w:t xml:space="preserve"> that leverages growing eco-conscious consumer demand and the demonstrated market premium for sustainable solutions. This strategic positioning allows us to capture additional value while maintaining competitive market positioning.</w:t>
      </w:r>
    </w:p>
    <w:p>
      <w:pPr>
        <w:pStyle w:val="Heading3"/>
        <w:spacing w:before="280" w:after="200"/>
        <w:jc w:val="left"/>
      </w:pPr>
      <w:r>
        <w:rPr>
          <w:rFonts w:ascii="DejaVu Sans" w:hAnsi="DejaVu Sans"/>
          <w:b/>
          <w:i w:val="0"/>
          <w:color w:val="558B2F"/>
          <w:sz w:val="36"/>
        </w:rPr>
        <w:t>4.1.1 Value-Based Pricing Framework</w:t>
      </w:r>
    </w:p>
    <w:p>
      <w:pPr>
        <w:spacing w:before="0" w:after="240"/>
        <w:jc w:val="both"/>
      </w:pPr>
      <w:r>
        <w:rPr>
          <w:rFonts w:ascii="DejaVu Sans" w:hAnsi="DejaVu Sans"/>
          <w:b w:val="0"/>
          <w:i w:val="0"/>
          <w:color w:val="2D5016"/>
          <w:sz w:val="22"/>
        </w:rPr>
        <w:t xml:space="preserve">Research demonstrates that products with sustainability claims achieve approximately </w:t>
      </w:r>
      <w:r>
        <w:rPr>
          <w:rFonts w:ascii="DejaVu Sans" w:hAnsi="DejaVu Sans"/>
          <w:b/>
          <w:i w:val="0"/>
          <w:color w:val="2D5016"/>
          <w:sz w:val="22"/>
        </w:rPr>
        <w:t>28% higher sales growth</w:t>
      </w:r>
      <w:r>
        <w:rPr>
          <w:rFonts w:ascii="DejaVu Sans" w:hAnsi="DejaVu Sans"/>
          <w:b w:val="0"/>
          <w:i w:val="0"/>
          <w:color w:val="2D5016"/>
          <w:sz w:val="22"/>
        </w:rPr>
        <w:t xml:space="preserve"> compared to conventional alternatives, providing strong justification for premium pricing. Our value-based model considers:</w:t>
      </w:r>
    </w:p>
    <w:p>
      <w:pPr>
        <w:pStyle w:val="ListBullet"/>
        <w:ind w:left="360" w:hanging="360"/>
      </w:pPr>
      <w:r/>
      <w:r>
        <w:rPr>
          <w:rFonts w:ascii="DejaVu Sans" w:hAnsi="DejaVu Sans"/>
          <w:b w:val="0"/>
          <w:i w:val="0"/>
          <w:color w:val="2D5016"/>
          <w:sz w:val="22"/>
        </w:rPr>
        <w:t>Environmental impact reduction and measurable sustainability metrics</w:t>
      </w:r>
    </w:p>
    <w:p>
      <w:pPr>
        <w:pStyle w:val="ListBullet"/>
        <w:ind w:left="360" w:hanging="360"/>
      </w:pPr>
      <w:r/>
      <w:r>
        <w:rPr>
          <w:rFonts w:ascii="DejaVu Sans" w:hAnsi="DejaVu Sans"/>
          <w:b w:val="0"/>
          <w:i w:val="0"/>
          <w:color w:val="2D5016"/>
          <w:sz w:val="22"/>
        </w:rPr>
        <w:t>Brand value enhancement and consumer loyalty benefits</w:t>
      </w:r>
    </w:p>
    <w:p>
      <w:pPr>
        <w:pStyle w:val="ListBullet"/>
        <w:ind w:left="360" w:hanging="360"/>
      </w:pPr>
      <w:r/>
      <w:r>
        <w:rPr>
          <w:rFonts w:ascii="DejaVu Sans" w:hAnsi="DejaVu Sans"/>
          <w:b w:val="0"/>
          <w:i w:val="0"/>
          <w:color w:val="2D5016"/>
          <w:sz w:val="22"/>
        </w:rPr>
        <w:t>Regulatory compliance advantages and future-proofing</w:t>
      </w:r>
    </w:p>
    <w:p>
      <w:pPr>
        <w:pStyle w:val="ListBullet"/>
        <w:ind w:left="360" w:hanging="360"/>
      </w:pPr>
      <w:r/>
      <w:r>
        <w:rPr>
          <w:rFonts w:ascii="DejaVu Sans" w:hAnsi="DejaVu Sans"/>
          <w:b w:val="0"/>
          <w:i w:val="0"/>
          <w:color w:val="2D5016"/>
          <w:sz w:val="22"/>
        </w:rPr>
        <w:t>Total cost of ownership including disposal and waste management savings</w:t>
      </w:r>
    </w:p>
    <w:p>
      <w:pPr>
        <w:pStyle w:val="ListBullet"/>
        <w:ind w:left="360" w:hanging="360"/>
      </w:pPr>
      <w:r/>
      <w:r>
        <w:rPr>
          <w:rFonts w:ascii="DejaVu Sans" w:hAnsi="DejaVu Sans"/>
          <w:b w:val="0"/>
          <w:i w:val="0"/>
          <w:color w:val="2D5016"/>
          <w:sz w:val="22"/>
        </w:rPr>
        <w:t>Market positioning within the premium sustainable segment</w:t>
      </w:r>
    </w:p>
    <w:p>
      <w:pPr>
        <w:spacing w:before="0" w:after="240"/>
        <w:jc w:val="both"/>
      </w:pPr>
      <w:r>
        <w:rPr>
          <w:rFonts w:ascii="DejaVu Sans" w:hAnsi="DejaVu Sans"/>
          <w:b w:val="0"/>
          <w:i w:val="0"/>
          <w:color w:val="2D5016"/>
          <w:sz w:val="22"/>
        </w:rPr>
        <w:t xml:space="preserve">Consumer research indicates that approximately </w:t>
      </w:r>
      <w:r>
        <w:rPr>
          <w:rFonts w:ascii="DejaVu Sans" w:hAnsi="DejaVu Sans"/>
          <w:b/>
          <w:i w:val="0"/>
          <w:color w:val="2D5016"/>
          <w:sz w:val="22"/>
        </w:rPr>
        <w:t>55% of consumers are willing to pay premium prices</w:t>
      </w:r>
      <w:r>
        <w:rPr>
          <w:rFonts w:ascii="DejaVu Sans" w:hAnsi="DejaVu Sans"/>
          <w:b w:val="0"/>
          <w:i w:val="0"/>
          <w:color w:val="2D5016"/>
          <w:sz w:val="22"/>
        </w:rPr>
        <w:t xml:space="preserve"> for environmentally responsible brands, creating substantial market opportunity for differentiated pricing strategies.</w:t>
      </w:r>
    </w:p>
    <w:p>
      <w:pPr>
        <w:pStyle w:val="Heading3"/>
        <w:spacing w:before="280" w:after="200"/>
        <w:jc w:val="left"/>
      </w:pPr>
      <w:r>
        <w:rPr>
          <w:rFonts w:ascii="DejaVu Sans" w:hAnsi="DejaVu Sans"/>
          <w:b/>
          <w:i w:val="0"/>
          <w:color w:val="558B2F"/>
          <w:sz w:val="36"/>
        </w:rPr>
        <w:t>4.1.2 Tiered Pricing Structure</w:t>
      </w:r>
    </w:p>
    <w:p>
      <w:pPr>
        <w:spacing w:before="0" w:after="240"/>
        <w:jc w:val="both"/>
      </w:pPr>
      <w:r>
        <w:rPr>
          <w:rFonts w:ascii="DejaVu Sans" w:hAnsi="DejaVu Sans"/>
          <w:b w:val="0"/>
          <w:i w:val="0"/>
          <w:color w:val="2D5016"/>
          <w:sz w:val="22"/>
        </w:rPr>
        <w:t>To accommodate diverse client needs while maximizing market penetration, we implement a tiered pricing model that provides flexibility and scalability:</w:t>
      </w:r>
    </w:p>
    <w:p>
      <w:pPr>
        <w:spacing w:after="300"/>
      </w:pPr>
    </w:p>
    <w:tbl>
      <w:tblPr>
        <w:tblW w:type="auto" w:w="0"/>
        <w:tblLook w:firstColumn="1" w:firstRow="1" w:lastColumn="0" w:lastRow="0" w:noHBand="0" w:noVBand="1" w:val="04A0"/>
        <w:tblBorders>
          <w:top w:val="single" w:sz="12" w:space="0" w:color="1b5e20"/>
          <w:left w:val="single" w:sz="12" w:space="0" w:color="1b5e20"/>
          <w:bottom w:val="single" w:sz="12" w:space="0" w:color="1b5e20"/>
          <w:right w:val="single" w:sz="12" w:space="0" w:color="1b5e20"/>
          <w:insideH w:val="single" w:sz="4" w:space="0" w:color="c5e1a5"/>
          <w:insideV w:val="single" w:sz="4" w:space="0" w:color="c5e1a5"/>
        </w:tblBorders>
        <w:tblInd w:w="120" w:type="dxa"/>
      </w:tblPr>
      <w:tblGrid>
        <w:gridCol w:w="2409"/>
        <w:gridCol w:w="2409"/>
        <w:gridCol w:w="2409"/>
        <w:gridCol w:w="2409"/>
      </w:tblGrid>
      <w:tr>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Tier</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Volume Range</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Features</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Target Segment</w:t>
            </w:r>
          </w:p>
        </w:tc>
      </w:tr>
      <w:tr>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Starter</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5,000-25,000 units</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Standard sustainable materials, basic customization, digital design support</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Small businesses, startups</w:t>
            </w:r>
          </w:p>
        </w:tc>
      </w:tr>
      <w:tr>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Professional</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25,000-100,000 units</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Premium materials, custom design, prototyping, sustainability reporting</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Mid-market companies</w:t>
            </w:r>
          </w:p>
        </w:tc>
      </w:tr>
      <w:tr>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Enterprise</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100,000+ units</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Full material range, dedicated account management, R&amp;D collaboration, comprehensive analytics</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Large corporations</w:t>
            </w:r>
          </w:p>
        </w:tc>
      </w:tr>
    </w:tbl>
    <w:p>
      <w:pPr>
        <w:jc w:val="center"/>
      </w:pPr>
      <w:r>
        <w:rPr>
          <w:rFonts w:ascii="DejaVu Sans" w:hAnsi="DejaVu Sans"/>
          <w:b w:val="0"/>
          <w:i/>
          <w:color w:val="2D5016"/>
          <w:sz w:val="22"/>
        </w:rPr>
        <w:t>Tiered Pricing Model for Sustainable Packaging Solutions</w:t>
      </w:r>
    </w:p>
    <w:p>
      <w:pPr>
        <w:spacing w:before="300"/>
      </w:pPr>
    </w:p>
    <w:p>
      <w:pPr>
        <w:spacing w:before="0" w:after="240"/>
        <w:jc w:val="both"/>
      </w:pPr>
      <w:r>
        <w:rPr>
          <w:rFonts w:ascii="DejaVu Sans" w:hAnsi="DejaVu Sans"/>
          <w:b w:val="0"/>
          <w:i w:val="0"/>
          <w:color w:val="2D5016"/>
          <w:sz w:val="22"/>
        </w:rPr>
        <w:t>This tiered approach enables clear value communication, increases conversion rates through defined entry points, and maintains flexibility for scaling as client needs evolve.</w:t>
      </w:r>
    </w:p>
    <w:p>
      <w:pPr>
        <w:pStyle w:val="Heading2"/>
        <w:spacing w:before="360" w:after="280"/>
        <w:jc w:val="left"/>
      </w:pPr>
      <w:r>
        <w:rPr>
          <w:rFonts w:ascii="DejaVu Sans" w:hAnsi="DejaVu Sans"/>
          <w:b/>
          <w:i w:val="0"/>
          <w:color w:val="2D5016"/>
          <w:sz w:val="44"/>
        </w:rPr>
        <w:t>4.2 Cost Structure and Economic Drivers</w:t>
      </w:r>
    </w:p>
    <w:p>
      <w:pPr>
        <w:spacing w:before="0" w:after="240"/>
        <w:jc w:val="both"/>
      </w:pPr>
      <w:r>
        <w:rPr>
          <w:rFonts w:ascii="DejaVu Sans" w:hAnsi="DejaVu Sans"/>
          <w:b w:val="0"/>
          <w:i w:val="0"/>
          <w:color w:val="2D5016"/>
          <w:sz w:val="22"/>
        </w:rPr>
        <w:t>Understanding our cost structure is essential for maintaining profitability while scaling operations. Our cost framework encompasses raw materials, production efficiency, and economies of scale that improve as volumes increase.</w:t>
      </w:r>
    </w:p>
    <w:p>
      <w:pPr>
        <w:pStyle w:val="Heading3"/>
        <w:spacing w:before="280" w:after="200"/>
        <w:jc w:val="left"/>
      </w:pPr>
      <w:r>
        <w:rPr>
          <w:rFonts w:ascii="DejaVu Sans" w:hAnsi="DejaVu Sans"/>
          <w:b/>
          <w:i w:val="0"/>
          <w:color w:val="558B2F"/>
          <w:sz w:val="36"/>
        </w:rPr>
        <w:t>4.2.1 Raw Material Costs</w:t>
      </w:r>
    </w:p>
    <w:p>
      <w:pPr>
        <w:spacing w:before="0" w:after="240"/>
        <w:jc w:val="both"/>
      </w:pPr>
      <w:r>
        <w:rPr>
          <w:rFonts w:ascii="DejaVu Sans" w:hAnsi="DejaVu Sans"/>
          <w:b w:val="0"/>
          <w:i w:val="0"/>
          <w:color w:val="2D5016"/>
          <w:sz w:val="22"/>
        </w:rPr>
        <w:t xml:space="preserve">Sustainable materials represent our primary cost driver, with biopolymers such as PLA (polylactic acid) currently priced between </w:t>
      </w:r>
      <w:r>
        <w:rPr>
          <w:rFonts w:ascii="DejaVu Sans" w:hAnsi="DejaVu Sans"/>
          <w:b/>
          <w:i w:val="0"/>
          <w:color w:val="2D5016"/>
          <w:sz w:val="22"/>
        </w:rPr>
        <w:t>$2,800 and $4,500 per ton</w:t>
      </w:r>
      <w:r>
        <w:rPr>
          <w:rFonts w:ascii="DejaVu Sans" w:hAnsi="DejaVu Sans"/>
          <w:b w:val="0"/>
          <w:i w:val="0"/>
          <w:color w:val="2D5016"/>
          <w:sz w:val="22"/>
        </w:rPr>
        <w:t>. Material selection balances performance requirements, sustainability credentials, and cost optimization:</w:t>
      </w:r>
    </w:p>
    <w:p>
      <w:pPr>
        <w:pStyle w:val="ListNumber"/>
        <w:numPr>
          <w:numId w:val="17"/>
          <w:ilvl w:val="0"/>
        </w:numPr>
        <w:ind w:left="360" w:hanging="360"/>
      </w:pPr>
      <w:r/>
      <w:r>
        <w:rPr>
          <w:rFonts w:ascii="DejaVu Sans" w:hAnsi="DejaVu Sans"/>
          <w:b/>
          <w:i w:val="0"/>
          <w:color w:val="2D5016"/>
          <w:sz w:val="22"/>
        </w:rPr>
        <w:t>Biopolymers (PLA, PHA):</w:t>
      </w:r>
      <w:r>
        <w:rPr>
          <w:rFonts w:ascii="DejaVu Sans" w:hAnsi="DejaVu Sans"/>
          <w:b w:val="0"/>
          <w:i w:val="0"/>
          <w:color w:val="2D5016"/>
          <w:sz w:val="22"/>
        </w:rPr>
        <w:t xml:space="preserve"> $2,800-$4,500 per ton - High sustainability, moderate processing costs</w:t>
      </w:r>
    </w:p>
    <w:p>
      <w:pPr>
        <w:pStyle w:val="ListNumber"/>
        <w:numPr>
          <w:ilvl w:val="0"/>
        </w:numPr>
        <w:ind w:left="360" w:hanging="360"/>
      </w:pPr>
      <w:r/>
      <w:r>
        <w:rPr>
          <w:rFonts w:ascii="DejaVu Sans" w:hAnsi="DejaVu Sans"/>
          <w:b/>
          <w:i w:val="0"/>
          <w:color w:val="2D5016"/>
          <w:sz w:val="22"/>
        </w:rPr>
        <w:t>Recycled materials:</w:t>
      </w:r>
      <w:r>
        <w:rPr>
          <w:rFonts w:ascii="DejaVu Sans" w:hAnsi="DejaVu Sans"/>
          <w:b w:val="0"/>
          <w:i w:val="0"/>
          <w:color w:val="2D5016"/>
          <w:sz w:val="22"/>
        </w:rPr>
        <w:t xml:space="preserve"> $1,800-$3,200 per ton - Lower cost, established supply chains</w:t>
      </w:r>
    </w:p>
    <w:p>
      <w:pPr>
        <w:pStyle w:val="ListNumber"/>
        <w:numPr>
          <w:ilvl w:val="0"/>
        </w:numPr>
        <w:ind w:left="360" w:hanging="360"/>
      </w:pPr>
      <w:r/>
      <w:r>
        <w:rPr>
          <w:rFonts w:ascii="DejaVu Sans" w:hAnsi="DejaVu Sans"/>
          <w:b/>
          <w:i w:val="0"/>
          <w:color w:val="2D5016"/>
          <w:sz w:val="22"/>
        </w:rPr>
        <w:t>Fiber-based alternatives:</w:t>
      </w:r>
      <w:r>
        <w:rPr>
          <w:rFonts w:ascii="DejaVu Sans" w:hAnsi="DejaVu Sans"/>
          <w:b w:val="0"/>
          <w:i w:val="0"/>
          <w:color w:val="2D5016"/>
          <w:sz w:val="22"/>
        </w:rPr>
        <w:t xml:space="preserve"> $1,200-$2,500 per ton - Cost-effective, limited application range</w:t>
      </w:r>
    </w:p>
    <w:p>
      <w:pPr>
        <w:pStyle w:val="ListNumber"/>
        <w:numPr>
          <w:ilvl w:val="0"/>
        </w:numPr>
        <w:ind w:left="360" w:hanging="360"/>
      </w:pPr>
      <w:r/>
      <w:r>
        <w:rPr>
          <w:rFonts w:ascii="DejaVu Sans" w:hAnsi="DejaVu Sans"/>
          <w:b/>
          <w:i w:val="0"/>
          <w:color w:val="2D5016"/>
          <w:sz w:val="22"/>
        </w:rPr>
        <w:t>Advanced composites:</w:t>
      </w:r>
      <w:r>
        <w:rPr>
          <w:rFonts w:ascii="DejaVu Sans" w:hAnsi="DejaVu Sans"/>
          <w:b w:val="0"/>
          <w:i w:val="0"/>
          <w:color w:val="2D5016"/>
          <w:sz w:val="22"/>
        </w:rPr>
        <w:t xml:space="preserve"> $4,000-$6,500 per ton - Premium performance, specialized applications</w:t>
      </w:r>
    </w:p>
    <w:p>
      <w:pPr>
        <w:pStyle w:val="Heading3"/>
        <w:spacing w:before="280" w:after="200"/>
        <w:jc w:val="left"/>
      </w:pPr>
      <w:r>
        <w:rPr>
          <w:rFonts w:ascii="DejaVu Sans" w:hAnsi="DejaVu Sans"/>
          <w:b/>
          <w:i w:val="0"/>
          <w:color w:val="558B2F"/>
          <w:sz w:val="36"/>
        </w:rPr>
        <w:t>4.2.2 Production Efficiency and Energy Savings</w:t>
      </w:r>
    </w:p>
    <w:p>
      <w:pPr>
        <w:spacing w:before="0" w:after="240"/>
        <w:jc w:val="both"/>
      </w:pPr>
      <w:r>
        <w:rPr>
          <w:rFonts w:ascii="DejaVu Sans" w:hAnsi="DejaVu Sans"/>
          <w:b w:val="0"/>
          <w:i w:val="0"/>
          <w:color w:val="2D5016"/>
          <w:sz w:val="22"/>
        </w:rPr>
        <w:t xml:space="preserve">Our manufacturing processes leverage modern equipment and optimized workflows to achieve significant efficiency gains. Energy consumption analysis demonstrates potential savings of </w:t>
      </w:r>
      <w:r>
        <w:rPr>
          <w:rFonts w:ascii="DejaVu Sans" w:hAnsi="DejaVu Sans"/>
          <w:b/>
          <w:i w:val="0"/>
          <w:color w:val="2D5016"/>
          <w:sz w:val="22"/>
        </w:rPr>
        <w:t>up to 30%</w:t>
      </w:r>
      <w:r>
        <w:rPr>
          <w:rFonts w:ascii="DejaVu Sans" w:hAnsi="DejaVu Sans"/>
          <w:b w:val="0"/>
          <w:i w:val="0"/>
          <w:color w:val="2D5016"/>
          <w:sz w:val="22"/>
        </w:rPr>
        <w:t xml:space="preserve"> compared to traditional packaging production through:</w:t>
      </w:r>
    </w:p>
    <w:p>
      <w:pPr>
        <w:pStyle w:val="ListBullet"/>
        <w:ind w:left="360" w:hanging="360"/>
      </w:pPr>
      <w:r/>
      <w:r>
        <w:rPr>
          <w:rFonts w:ascii="DejaVu Sans" w:hAnsi="DejaVu Sans"/>
          <w:b w:val="0"/>
          <w:i w:val="0"/>
          <w:color w:val="2D5016"/>
          <w:sz w:val="22"/>
        </w:rPr>
        <w:t>Lower processing temperatures for biopolymer materials</w:t>
      </w:r>
    </w:p>
    <w:p>
      <w:pPr>
        <w:pStyle w:val="ListBullet"/>
        <w:ind w:left="360" w:hanging="360"/>
      </w:pPr>
      <w:r/>
      <w:r>
        <w:rPr>
          <w:rFonts w:ascii="DejaVu Sans" w:hAnsi="DejaVu Sans"/>
          <w:b w:val="0"/>
          <w:i w:val="0"/>
          <w:color w:val="2D5016"/>
          <w:sz w:val="22"/>
        </w:rPr>
        <w:t>Efficient machinery with reduced cycle times</w:t>
      </w:r>
    </w:p>
    <w:p>
      <w:pPr>
        <w:pStyle w:val="ListBullet"/>
        <w:ind w:left="360" w:hanging="360"/>
      </w:pPr>
      <w:r/>
      <w:r>
        <w:rPr>
          <w:rFonts w:ascii="DejaVu Sans" w:hAnsi="DejaVu Sans"/>
          <w:b w:val="0"/>
          <w:i w:val="0"/>
          <w:color w:val="2D5016"/>
          <w:sz w:val="22"/>
        </w:rPr>
        <w:t>Waste minimization protocols reducing material loss</w:t>
      </w:r>
    </w:p>
    <w:p>
      <w:pPr>
        <w:pStyle w:val="ListBullet"/>
        <w:ind w:left="360" w:hanging="360"/>
      </w:pPr>
      <w:r/>
      <w:r>
        <w:rPr>
          <w:rFonts w:ascii="DejaVu Sans" w:hAnsi="DejaVu Sans"/>
          <w:b w:val="0"/>
          <w:i w:val="0"/>
          <w:color w:val="2D5016"/>
          <w:sz w:val="22"/>
        </w:rPr>
        <w:t>Renewable energy integration where feasible</w:t>
      </w:r>
    </w:p>
    <w:p>
      <w:pPr>
        <w:pStyle w:val="Heading3"/>
        <w:spacing w:before="280" w:after="200"/>
        <w:jc w:val="left"/>
      </w:pPr>
      <w:r>
        <w:rPr>
          <w:rFonts w:ascii="DejaVu Sans" w:hAnsi="DejaVu Sans"/>
          <w:b/>
          <w:i w:val="0"/>
          <w:color w:val="558B2F"/>
          <w:sz w:val="36"/>
        </w:rPr>
        <w:t>4.2.3 Economies of Scale</w:t>
      </w:r>
    </w:p>
    <w:p>
      <w:pPr>
        <w:spacing w:before="0" w:after="240"/>
        <w:jc w:val="both"/>
      </w:pPr>
      <w:r>
        <w:rPr>
          <w:rFonts w:ascii="DejaVu Sans" w:hAnsi="DejaVu Sans"/>
          <w:b w:val="0"/>
          <w:i w:val="0"/>
          <w:color w:val="2D5016"/>
          <w:sz w:val="22"/>
        </w:rPr>
        <w:t xml:space="preserve">Critical production thresholds significantly impact per-unit costs. Analysis indicates substantial cost reduction beyond production volumes of </w:t>
      </w:r>
      <w:r>
        <w:rPr>
          <w:rFonts w:ascii="DejaVu Sans" w:hAnsi="DejaVu Sans"/>
          <w:b/>
          <w:i w:val="0"/>
          <w:color w:val="2D5016"/>
          <w:sz w:val="22"/>
        </w:rPr>
        <w:t>50,000 to 100,000 units</w:t>
      </w:r>
      <w:r>
        <w:rPr>
          <w:rFonts w:ascii="DejaVu Sans" w:hAnsi="DejaVu Sans"/>
          <w:b w:val="0"/>
          <w:i w:val="0"/>
          <w:color w:val="2D5016"/>
          <w:sz w:val="22"/>
        </w:rPr>
        <w:t>, with progressive improvements at higher volumes:</w:t>
      </w:r>
    </w:p>
    <w:p>
      <w:pPr>
        <w:spacing w:before="300" w:after="300"/>
        <w:jc w:val="left"/>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tmpr6lmtv9o.png"/>
                    <pic:cNvPicPr/>
                  </pic:nvPicPr>
                  <pic:blipFill>
                    <a:blip r:embed="rId16"/>
                    <a:stretch>
                      <a:fillRect/>
                    </a:stretch>
                  </pic:blipFill>
                  <pic:spPr>
                    <a:xfrm>
                      <a:off x="0" y="0"/>
                      <a:ext cx="5486400" cy="2743200"/>
                    </a:xfrm>
                    <a:prstGeom prst="rect"/>
                  </pic:spPr>
                </pic:pic>
              </a:graphicData>
            </a:graphic>
          </wp:inline>
        </w:drawing>
      </w:r>
    </w:p>
    <w:p>
      <w:pPr>
        <w:pStyle w:val="Heading3"/>
        <w:spacing w:before="280" w:after="200"/>
        <w:jc w:val="left"/>
      </w:pPr>
      <w:r>
        <w:rPr>
          <w:rFonts w:ascii="DejaVu Sans" w:hAnsi="DejaVu Sans"/>
          <w:b/>
          <w:i w:val="0"/>
          <w:color w:val="558B2F"/>
          <w:sz w:val="36"/>
        </w:rPr>
        <w:t>4.2.4 Initial Investment Requirements</w:t>
      </w:r>
    </w:p>
    <w:p>
      <w:pPr>
        <w:spacing w:before="0" w:after="240"/>
        <w:jc w:val="both"/>
      </w:pPr>
      <w:r>
        <w:rPr>
          <w:rFonts w:ascii="DejaVu Sans" w:hAnsi="DejaVu Sans"/>
          <w:b w:val="0"/>
          <w:i w:val="0"/>
          <w:color w:val="2D5016"/>
          <w:sz w:val="22"/>
        </w:rPr>
        <w:t xml:space="preserve">Startup costs for biodegradable packaging manufacturing typically range from </w:t>
      </w:r>
      <w:r>
        <w:rPr>
          <w:rFonts w:ascii="DejaVu Sans" w:hAnsi="DejaVu Sans"/>
          <w:b/>
          <w:i w:val="0"/>
          <w:color w:val="2D5016"/>
          <w:sz w:val="22"/>
        </w:rPr>
        <w:t>$100,000 to $300,000</w:t>
      </w:r>
      <w:r>
        <w:rPr>
          <w:rFonts w:ascii="DejaVu Sans" w:hAnsi="DejaVu Sans"/>
          <w:b w:val="0"/>
          <w:i w:val="0"/>
          <w:color w:val="2D5016"/>
          <w:sz w:val="22"/>
        </w:rPr>
        <w:t>, depending on production scale, technology selection, and facility requirements. This investment encompasses:</w:t>
      </w:r>
    </w:p>
    <w:p>
      <w:pPr>
        <w:spacing w:after="300"/>
      </w:pPr>
    </w:p>
    <w:tbl>
      <w:tblPr>
        <w:tblW w:type="auto" w:w="0"/>
        <w:tblLook w:firstColumn="1" w:firstRow="1" w:lastColumn="0" w:lastRow="0" w:noHBand="0" w:noVBand="1" w:val="04A0"/>
        <w:tblBorders>
          <w:top w:val="single" w:sz="12" w:space="0" w:color="1b5e20"/>
          <w:left w:val="single" w:sz="12" w:space="0" w:color="1b5e20"/>
          <w:bottom w:val="single" w:sz="12" w:space="0" w:color="1b5e20"/>
          <w:right w:val="single" w:sz="12" w:space="0" w:color="1b5e20"/>
          <w:insideH w:val="single" w:sz="4" w:space="0" w:color="c5e1a5"/>
          <w:insideV w:val="single" w:sz="4" w:space="0" w:color="c5e1a5"/>
        </w:tblBorders>
        <w:tblInd w:w="120" w:type="dxa"/>
      </w:tblPr>
      <w:tblGrid>
        <w:gridCol w:w="3213"/>
        <w:gridCol w:w="3213"/>
        <w:gridCol w:w="3213"/>
      </w:tblGrid>
      <w:tr>
        <w:tc>
          <w:tcPr>
            <w:tcW w:type="dxa" w:w="3213"/>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Category</w:t>
            </w:r>
          </w:p>
        </w:tc>
        <w:tc>
          <w:tcPr>
            <w:tcW w:type="dxa" w:w="3213"/>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Investment Range</w:t>
            </w:r>
          </w:p>
        </w:tc>
        <w:tc>
          <w:tcPr>
            <w:tcW w:type="dxa" w:w="3213"/>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Percentage of Total</w:t>
            </w:r>
          </w:p>
        </w:tc>
      </w:tr>
      <w:tr>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Manufacturing equipment</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$40,000 - $120,000</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35-40%</w:t>
            </w:r>
          </w:p>
        </w:tc>
      </w:tr>
      <w:tr>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Facility setup and infrastructure</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$25,000 - $75,000</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20-25%</w:t>
            </w:r>
          </w:p>
        </w:tc>
      </w:tr>
      <w:tr>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Initial material inventory</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$15,000 - $45,000</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12-15%</w:t>
            </w:r>
          </w:p>
        </w:tc>
      </w:tr>
      <w:tr>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Quality control and testing</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$8,000 - $25,000</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8-10%</w:t>
            </w:r>
          </w:p>
        </w:tc>
      </w:tr>
      <w:tr>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Certifications and compliance</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$3,000 - $8,000</w:t>
            </w:r>
          </w:p>
        </w:tc>
        <w:tc>
          <w:tcPr>
            <w:tcW w:type="dxa" w:w="3213"/>
            <w:tcMar>
              <w:top w:w="160" w:type="dxa"/>
              <w:left w:w="160" w:type="dxa"/>
              <w:bottom w:w="160" w:type="dxa"/>
              <w:right w:w="160" w:type="dxa"/>
            </w:tcMar>
            <w:shd w:val="clear" w:color="auto" w:fill="f1f8e9"/>
          </w:tcPr>
          <w:p>
            <w:pPr>
              <w:jc w:val="left"/>
            </w:pPr>
            <w:r/>
            <w:r>
              <w:rPr>
                <w:rFonts w:ascii="Liberation Sans" w:hAnsi="Liberation Sans"/>
                <w:b w:val="0"/>
                <w:i w:val="0"/>
                <w:color w:val="2D5016"/>
              </w:rPr>
              <w:t>3-5%</w:t>
            </w:r>
          </w:p>
        </w:tc>
      </w:tr>
      <w:tr>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Working capital and contingency</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$9,000 - $27,000</w:t>
            </w:r>
          </w:p>
        </w:tc>
        <w:tc>
          <w:tcPr>
            <w:tcW w:type="dxa" w:w="3213"/>
            <w:tcMar>
              <w:top w:w="160" w:type="dxa"/>
              <w:left w:w="160" w:type="dxa"/>
              <w:bottom w:w="160" w:type="dxa"/>
              <w:right w:w="160" w:type="dxa"/>
            </w:tcMar>
            <w:shd w:val="clear" w:color="auto" w:fill="dcedc8"/>
          </w:tcPr>
          <w:p>
            <w:pPr>
              <w:jc w:val="left"/>
            </w:pPr>
            <w:r/>
            <w:r>
              <w:rPr>
                <w:rFonts w:ascii="Liberation Sans" w:hAnsi="Liberation Sans"/>
                <w:b w:val="0"/>
                <w:i w:val="0"/>
                <w:color w:val="2D5016"/>
              </w:rPr>
              <w:t>10-15%</w:t>
            </w:r>
          </w:p>
        </w:tc>
      </w:tr>
    </w:tbl>
    <w:p>
      <w:pPr>
        <w:jc w:val="center"/>
      </w:pPr>
      <w:r>
        <w:rPr>
          <w:rFonts w:ascii="DejaVu Sans" w:hAnsi="DejaVu Sans"/>
          <w:b w:val="0"/>
          <w:i/>
          <w:color w:val="2D5016"/>
          <w:sz w:val="22"/>
        </w:rPr>
        <w:t>Initial Capital Investment Breakdown</w:t>
      </w:r>
    </w:p>
    <w:p>
      <w:pPr>
        <w:spacing w:before="300"/>
      </w:pPr>
    </w:p>
    <w:p>
      <w:pPr>
        <w:pStyle w:val="Heading2"/>
        <w:spacing w:before="360" w:after="280"/>
        <w:jc w:val="left"/>
      </w:pPr>
      <w:r>
        <w:rPr>
          <w:rFonts w:ascii="DejaVu Sans" w:hAnsi="DejaVu Sans"/>
          <w:b/>
          <w:i w:val="0"/>
          <w:color w:val="2D5016"/>
          <w:sz w:val="44"/>
        </w:rPr>
        <w:t>4.3 Financial Projections and Long-Term Outlook</w:t>
      </w:r>
    </w:p>
    <w:p>
      <w:pPr>
        <w:spacing w:before="0" w:after="240"/>
        <w:jc w:val="both"/>
      </w:pPr>
      <w:r>
        <w:rPr>
          <w:rFonts w:ascii="DejaVu Sans" w:hAnsi="DejaVu Sans"/>
          <w:b w:val="0"/>
          <w:i w:val="0"/>
          <w:color w:val="2D5016"/>
          <w:sz w:val="22"/>
        </w:rPr>
        <w:t>While sustainable packaging involves higher upfront investments and navigating supply chain complexities, the long-term financial outlook remains highly favorable due to multiple value drivers and market trends supporting premium positioning.</w:t>
      </w:r>
    </w:p>
    <w:p>
      <w:pPr>
        <w:pStyle w:val="Heading3"/>
        <w:spacing w:before="280" w:after="200"/>
        <w:jc w:val="left"/>
      </w:pPr>
      <w:r>
        <w:rPr>
          <w:rFonts w:ascii="DejaVu Sans" w:hAnsi="DejaVu Sans"/>
          <w:b/>
          <w:i w:val="0"/>
          <w:color w:val="558B2F"/>
          <w:sz w:val="36"/>
        </w:rPr>
        <w:t>4.3.1 Revenue Growth Projections</w:t>
      </w:r>
    </w:p>
    <w:p>
      <w:pPr>
        <w:spacing w:before="0" w:after="240"/>
        <w:jc w:val="both"/>
      </w:pPr>
      <w:r>
        <w:rPr>
          <w:rFonts w:ascii="DejaVu Sans" w:hAnsi="DejaVu Sans"/>
          <w:b w:val="0"/>
          <w:i w:val="0"/>
          <w:color w:val="2D5016"/>
          <w:sz w:val="22"/>
        </w:rPr>
        <w:t>Our financial model projects aggressive but achievable growth based on market expansion, client acquisition, and scaling economies. Conservative projections assume steady market penetration with increasing operational efficiency:</w:t>
      </w:r>
    </w:p>
    <w:p>
      <w:pPr>
        <w:spacing w:after="300"/>
      </w:pPr>
    </w:p>
    <w:tbl>
      <w:tblPr>
        <w:tblW w:type="auto" w:w="0"/>
        <w:tblLook w:firstColumn="1" w:firstRow="1" w:lastColumn="0" w:lastRow="0" w:noHBand="0" w:noVBand="1" w:val="04A0"/>
        <w:tblBorders>
          <w:top w:val="single" w:sz="12" w:space="0" w:color="1b5e20"/>
          <w:left w:val="single" w:sz="12" w:space="0" w:color="1b5e20"/>
          <w:bottom w:val="single" w:sz="12" w:space="0" w:color="1b5e20"/>
          <w:right w:val="single" w:sz="12" w:space="0" w:color="1b5e20"/>
          <w:insideH w:val="single" w:sz="4" w:space="0" w:color="c5e1a5"/>
          <w:insideV w:val="single" w:sz="4" w:space="0" w:color="c5e1a5"/>
        </w:tblBorders>
        <w:tblInd w:w="120" w:type="dxa"/>
      </w:tblPr>
      <w:tblGrid>
        <w:gridCol w:w="1928"/>
        <w:gridCol w:w="1928"/>
        <w:gridCol w:w="1928"/>
        <w:gridCol w:w="1928"/>
        <w:gridCol w:w="1928"/>
      </w:tblGrid>
      <w:tr>
        <w:tc>
          <w:tcPr>
            <w:tcW w:type="dxa" w:w="1928"/>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Year</w:t>
            </w:r>
          </w:p>
        </w:tc>
        <w:tc>
          <w:tcPr>
            <w:tcW w:type="dxa" w:w="1928"/>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Revenue</w:t>
            </w:r>
          </w:p>
        </w:tc>
        <w:tc>
          <w:tcPr>
            <w:tcW w:type="dxa" w:w="1928"/>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Gross Margin</w:t>
            </w:r>
          </w:p>
        </w:tc>
        <w:tc>
          <w:tcPr>
            <w:tcW w:type="dxa" w:w="1928"/>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EBITDA Margin</w:t>
            </w:r>
          </w:p>
        </w:tc>
        <w:tc>
          <w:tcPr>
            <w:tcW w:type="dxa" w:w="1928"/>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Key Milestones</w:t>
            </w:r>
          </w:p>
        </w:tc>
      </w:tr>
      <w:tr>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Year 1</w:t>
            </w:r>
          </w:p>
        </w:tc>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$450,000</w:t>
            </w:r>
          </w:p>
        </w:tc>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32%</w:t>
            </w:r>
          </w:p>
        </w:tc>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-8%</w:t>
            </w:r>
          </w:p>
        </w:tc>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Market entry, initial clients</w:t>
            </w:r>
          </w:p>
        </w:tc>
      </w:tr>
      <w:tr>
        <w:tc>
          <w:tcPr>
            <w:tcW w:type="dxa" w:w="1928"/>
            <w:tcMar>
              <w:top w:w="160" w:type="dxa"/>
              <w:left w:w="160" w:type="dxa"/>
              <w:bottom w:w="160" w:type="dxa"/>
              <w:right w:w="160" w:type="dxa"/>
            </w:tcMar>
            <w:shd w:val="clear" w:color="auto" w:fill="dcedc8"/>
          </w:tcPr>
          <w:p>
            <w:pPr>
              <w:jc w:val="left"/>
            </w:pPr>
            <w:r/>
            <w:r>
              <w:rPr>
                <w:rFonts w:ascii="Liberation Sans" w:hAnsi="Liberation Sans"/>
                <w:b w:val="0"/>
                <w:i w:val="0"/>
                <w:color w:val="2D5016"/>
              </w:rPr>
              <w:t>Year 2</w:t>
            </w:r>
          </w:p>
        </w:tc>
        <w:tc>
          <w:tcPr>
            <w:tcW w:type="dxa" w:w="1928"/>
            <w:tcMar>
              <w:top w:w="160" w:type="dxa"/>
              <w:left w:w="160" w:type="dxa"/>
              <w:bottom w:w="160" w:type="dxa"/>
              <w:right w:w="160" w:type="dxa"/>
            </w:tcMar>
            <w:shd w:val="clear" w:color="auto" w:fill="dcedc8"/>
          </w:tcPr>
          <w:p>
            <w:pPr>
              <w:jc w:val="left"/>
            </w:pPr>
            <w:r/>
            <w:r>
              <w:rPr>
                <w:rFonts w:ascii="Liberation Sans" w:hAnsi="Liberation Sans"/>
                <w:b w:val="0"/>
                <w:i w:val="0"/>
                <w:color w:val="2D5016"/>
              </w:rPr>
              <w:t>$1,200,000</w:t>
            </w:r>
          </w:p>
        </w:tc>
        <w:tc>
          <w:tcPr>
            <w:tcW w:type="dxa" w:w="1928"/>
            <w:tcMar>
              <w:top w:w="160" w:type="dxa"/>
              <w:left w:w="160" w:type="dxa"/>
              <w:bottom w:w="160" w:type="dxa"/>
              <w:right w:w="160" w:type="dxa"/>
            </w:tcMar>
            <w:shd w:val="clear" w:color="auto" w:fill="dcedc8"/>
          </w:tcPr>
          <w:p>
            <w:pPr>
              <w:jc w:val="left"/>
            </w:pPr>
            <w:r/>
            <w:r>
              <w:rPr>
                <w:rFonts w:ascii="Liberation Sans" w:hAnsi="Liberation Sans"/>
                <w:b w:val="0"/>
                <w:i w:val="0"/>
                <w:color w:val="2D5016"/>
              </w:rPr>
              <w:t>38%</w:t>
            </w:r>
          </w:p>
        </w:tc>
        <w:tc>
          <w:tcPr>
            <w:tcW w:type="dxa" w:w="1928"/>
            <w:tcMar>
              <w:top w:w="160" w:type="dxa"/>
              <w:left w:w="160" w:type="dxa"/>
              <w:bottom w:w="160" w:type="dxa"/>
              <w:right w:w="160" w:type="dxa"/>
            </w:tcMar>
            <w:shd w:val="clear" w:color="auto" w:fill="dcedc8"/>
          </w:tcPr>
          <w:p>
            <w:pPr>
              <w:jc w:val="left"/>
            </w:pPr>
            <w:r/>
            <w:r>
              <w:rPr>
                <w:rFonts w:ascii="Liberation Sans" w:hAnsi="Liberation Sans"/>
                <w:b w:val="0"/>
                <w:i w:val="0"/>
                <w:color w:val="2D5016"/>
              </w:rPr>
              <w:t>5%</w:t>
            </w:r>
          </w:p>
        </w:tc>
        <w:tc>
          <w:tcPr>
            <w:tcW w:type="dxa" w:w="1928"/>
            <w:tcMar>
              <w:top w:w="160" w:type="dxa"/>
              <w:left w:w="160" w:type="dxa"/>
              <w:bottom w:w="160" w:type="dxa"/>
              <w:right w:w="160" w:type="dxa"/>
            </w:tcMar>
            <w:shd w:val="clear" w:color="auto" w:fill="dcedc8"/>
          </w:tcPr>
          <w:p>
            <w:pPr>
              <w:jc w:val="left"/>
            </w:pPr>
            <w:r/>
            <w:r>
              <w:rPr>
                <w:rFonts w:ascii="Liberation Sans" w:hAnsi="Liberation Sans"/>
                <w:b w:val="0"/>
                <w:i w:val="0"/>
                <w:color w:val="2D5016"/>
              </w:rPr>
              <w:t>Scale production, certification</w:t>
            </w:r>
          </w:p>
        </w:tc>
      </w:tr>
      <w:tr>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Year 3</w:t>
            </w:r>
          </w:p>
        </w:tc>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$2,800,000</w:t>
            </w:r>
          </w:p>
        </w:tc>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42%</w:t>
            </w:r>
          </w:p>
        </w:tc>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12%</w:t>
            </w:r>
          </w:p>
        </w:tc>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Break-even, expand capacity</w:t>
            </w:r>
          </w:p>
        </w:tc>
      </w:tr>
      <w:tr>
        <w:tc>
          <w:tcPr>
            <w:tcW w:type="dxa" w:w="1928"/>
            <w:tcMar>
              <w:top w:w="160" w:type="dxa"/>
              <w:left w:w="160" w:type="dxa"/>
              <w:bottom w:w="160" w:type="dxa"/>
              <w:right w:w="160" w:type="dxa"/>
            </w:tcMar>
            <w:shd w:val="clear" w:color="auto" w:fill="dcedc8"/>
          </w:tcPr>
          <w:p>
            <w:pPr>
              <w:jc w:val="left"/>
            </w:pPr>
            <w:r/>
            <w:r>
              <w:rPr>
                <w:rFonts w:ascii="Liberation Sans" w:hAnsi="Liberation Sans"/>
                <w:b w:val="0"/>
                <w:i w:val="0"/>
                <w:color w:val="2D5016"/>
              </w:rPr>
              <w:t>Year 4</w:t>
            </w:r>
          </w:p>
        </w:tc>
        <w:tc>
          <w:tcPr>
            <w:tcW w:type="dxa" w:w="1928"/>
            <w:tcMar>
              <w:top w:w="160" w:type="dxa"/>
              <w:left w:w="160" w:type="dxa"/>
              <w:bottom w:w="160" w:type="dxa"/>
              <w:right w:w="160" w:type="dxa"/>
            </w:tcMar>
            <w:shd w:val="clear" w:color="auto" w:fill="dcedc8"/>
          </w:tcPr>
          <w:p>
            <w:pPr>
              <w:jc w:val="left"/>
            </w:pPr>
            <w:r/>
            <w:r>
              <w:rPr>
                <w:rFonts w:ascii="Liberation Sans" w:hAnsi="Liberation Sans"/>
                <w:b w:val="0"/>
                <w:i w:val="0"/>
                <w:color w:val="2D5016"/>
              </w:rPr>
              <w:t>$5,200,000</w:t>
            </w:r>
          </w:p>
        </w:tc>
        <w:tc>
          <w:tcPr>
            <w:tcW w:type="dxa" w:w="1928"/>
            <w:tcMar>
              <w:top w:w="160" w:type="dxa"/>
              <w:left w:w="160" w:type="dxa"/>
              <w:bottom w:w="160" w:type="dxa"/>
              <w:right w:w="160" w:type="dxa"/>
            </w:tcMar>
            <w:shd w:val="clear" w:color="auto" w:fill="dcedc8"/>
          </w:tcPr>
          <w:p>
            <w:pPr>
              <w:jc w:val="left"/>
            </w:pPr>
            <w:r/>
            <w:r>
              <w:rPr>
                <w:rFonts w:ascii="Liberation Sans" w:hAnsi="Liberation Sans"/>
                <w:b w:val="0"/>
                <w:i w:val="0"/>
                <w:color w:val="2D5016"/>
              </w:rPr>
              <w:t>45%</w:t>
            </w:r>
          </w:p>
        </w:tc>
        <w:tc>
          <w:tcPr>
            <w:tcW w:type="dxa" w:w="1928"/>
            <w:tcMar>
              <w:top w:w="160" w:type="dxa"/>
              <w:left w:w="160" w:type="dxa"/>
              <w:bottom w:w="160" w:type="dxa"/>
              <w:right w:w="160" w:type="dxa"/>
            </w:tcMar>
            <w:shd w:val="clear" w:color="auto" w:fill="dcedc8"/>
          </w:tcPr>
          <w:p>
            <w:pPr>
              <w:jc w:val="left"/>
            </w:pPr>
            <w:r/>
            <w:r>
              <w:rPr>
                <w:rFonts w:ascii="Liberation Sans" w:hAnsi="Liberation Sans"/>
                <w:b w:val="0"/>
                <w:i w:val="0"/>
                <w:color w:val="2D5016"/>
              </w:rPr>
              <w:t>18%</w:t>
            </w:r>
          </w:p>
        </w:tc>
        <w:tc>
          <w:tcPr>
            <w:tcW w:type="dxa" w:w="1928"/>
            <w:tcMar>
              <w:top w:w="160" w:type="dxa"/>
              <w:left w:w="160" w:type="dxa"/>
              <w:bottom w:w="160" w:type="dxa"/>
              <w:right w:w="160" w:type="dxa"/>
            </w:tcMar>
            <w:shd w:val="clear" w:color="auto" w:fill="dcedc8"/>
          </w:tcPr>
          <w:p>
            <w:pPr>
              <w:jc w:val="left"/>
            </w:pPr>
            <w:r/>
            <w:r>
              <w:rPr>
                <w:rFonts w:ascii="Liberation Sans" w:hAnsi="Liberation Sans"/>
                <w:b w:val="0"/>
                <w:i w:val="0"/>
                <w:color w:val="2D5016"/>
              </w:rPr>
              <w:t>Market leadership, R&amp;D investment</w:t>
            </w:r>
          </w:p>
        </w:tc>
      </w:tr>
      <w:tr>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Year 5</w:t>
            </w:r>
          </w:p>
        </w:tc>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$8,500,000</w:t>
            </w:r>
          </w:p>
        </w:tc>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47%</w:t>
            </w:r>
          </w:p>
        </w:tc>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22%</w:t>
            </w:r>
          </w:p>
        </w:tc>
        <w:tc>
          <w:tcPr>
            <w:tcW w:type="dxa" w:w="1928"/>
            <w:tcMar>
              <w:top w:w="160" w:type="dxa"/>
              <w:left w:w="160" w:type="dxa"/>
              <w:bottom w:w="160" w:type="dxa"/>
              <w:right w:w="160" w:type="dxa"/>
            </w:tcMar>
            <w:shd w:val="clear" w:color="auto" w:fill="f1f8e9"/>
          </w:tcPr>
          <w:p>
            <w:pPr>
              <w:jc w:val="left"/>
            </w:pPr>
            <w:r/>
            <w:r>
              <w:rPr>
                <w:rFonts w:ascii="Liberation Sans" w:hAnsi="Liberation Sans"/>
                <w:b w:val="0"/>
                <w:i w:val="0"/>
                <w:color w:val="2D5016"/>
              </w:rPr>
              <w:t>Full-scale operations, diversification</w:t>
            </w:r>
          </w:p>
        </w:tc>
      </w:tr>
    </w:tbl>
    <w:p>
      <w:pPr>
        <w:jc w:val="center"/>
      </w:pPr>
      <w:r>
        <w:rPr>
          <w:rFonts w:ascii="DejaVu Sans" w:hAnsi="DejaVu Sans"/>
          <w:b w:val="0"/>
          <w:i/>
          <w:color w:val="2D5016"/>
          <w:sz w:val="22"/>
        </w:rPr>
        <w:t>Five-Year Revenue and Profitability Projection</w:t>
      </w:r>
    </w:p>
    <w:p>
      <w:pPr>
        <w:spacing w:before="300"/>
      </w:pPr>
    </w:p>
    <w:p>
      <w:pPr>
        <w:spacing w:before="0" w:after="240"/>
        <w:jc w:val="both"/>
      </w:pPr>
      <w:r>
        <w:rPr>
          <w:rFonts w:ascii="DejaVu Sans" w:hAnsi="DejaVu Sans"/>
          <w:b w:val="0"/>
          <w:i w:val="0"/>
          <w:color w:val="2D5016"/>
          <w:sz w:val="22"/>
        </w:rPr>
        <w:t xml:space="preserve">These projections incorporate the demonstrated </w:t>
      </w:r>
      <w:r>
        <w:rPr>
          <w:rFonts w:ascii="DejaVu Sans" w:hAnsi="DejaVu Sans"/>
          <w:b/>
          <w:i w:val="0"/>
          <w:color w:val="2D5016"/>
          <w:sz w:val="22"/>
        </w:rPr>
        <w:t>28% higher sales growth</w:t>
      </w:r>
      <w:r>
        <w:rPr>
          <w:rFonts w:ascii="DejaVu Sans" w:hAnsi="DejaVu Sans"/>
          <w:b w:val="0"/>
          <w:i w:val="0"/>
          <w:color w:val="2D5016"/>
          <w:sz w:val="22"/>
        </w:rPr>
        <w:t xml:space="preserve"> for sustainable products and assume progressive market penetration aligned with industry growth rates.</w:t>
      </w:r>
    </w:p>
    <w:p>
      <w:pPr>
        <w:pStyle w:val="Heading3"/>
        <w:spacing w:before="280" w:after="200"/>
        <w:jc w:val="left"/>
      </w:pPr>
      <w:r>
        <w:rPr>
          <w:rFonts w:ascii="DejaVu Sans" w:hAnsi="DejaVu Sans"/>
          <w:b/>
          <w:i w:val="0"/>
          <w:color w:val="558B2F"/>
          <w:sz w:val="36"/>
        </w:rPr>
        <w:t>4.3.2 Long-Term Cost Savings</w:t>
      </w:r>
    </w:p>
    <w:p>
      <w:pPr>
        <w:spacing w:before="0" w:after="240"/>
        <w:jc w:val="both"/>
      </w:pPr>
      <w:r>
        <w:rPr>
          <w:rFonts w:ascii="DejaVu Sans" w:hAnsi="DejaVu Sans"/>
          <w:b w:val="0"/>
          <w:i w:val="0"/>
          <w:color w:val="2D5016"/>
          <w:sz w:val="22"/>
        </w:rPr>
        <w:t>Beyond direct revenue, sustainable packaging delivers quantifiable long-term savings and value creation across multiple dimensions:</w:t>
      </w:r>
    </w:p>
    <w:p>
      <w:pPr>
        <w:pStyle w:val="ListBullet"/>
        <w:ind w:left="360" w:hanging="360"/>
      </w:pPr>
      <w:r/>
      <w:r>
        <w:rPr>
          <w:rFonts w:ascii="DejaVu Sans" w:hAnsi="DejaVu Sans"/>
          <w:b/>
          <w:i w:val="0"/>
          <w:color w:val="2D5016"/>
          <w:sz w:val="22"/>
        </w:rPr>
        <w:t>Waste disposal fee reduction:</w:t>
      </w:r>
      <w:r>
        <w:rPr>
          <w:rFonts w:ascii="DejaVu Sans" w:hAnsi="DejaVu Sans"/>
          <w:b w:val="0"/>
          <w:i w:val="0"/>
          <w:color w:val="2D5016"/>
          <w:sz w:val="22"/>
        </w:rPr>
        <w:t xml:space="preserve"> Biodegradable materials significantly reduce end-of-life costs for clients</w:t>
      </w:r>
    </w:p>
    <w:p>
      <w:pPr>
        <w:pStyle w:val="ListBullet"/>
        <w:ind w:left="360" w:hanging="360"/>
      </w:pPr>
      <w:r/>
      <w:r>
        <w:rPr>
          <w:rFonts w:ascii="DejaVu Sans" w:hAnsi="DejaVu Sans"/>
          <w:b/>
          <w:i w:val="0"/>
          <w:color w:val="2D5016"/>
          <w:sz w:val="22"/>
        </w:rPr>
        <w:t>Regulatory incentives:</w:t>
      </w:r>
      <w:r>
        <w:rPr>
          <w:rFonts w:ascii="DejaVu Sans" w:hAnsi="DejaVu Sans"/>
          <w:b w:val="0"/>
          <w:i w:val="0"/>
          <w:color w:val="2D5016"/>
          <w:sz w:val="22"/>
        </w:rPr>
        <w:t xml:space="preserve"> Access to government programs, tax benefits, and compliance advantages</w:t>
      </w:r>
    </w:p>
    <w:p>
      <w:pPr>
        <w:pStyle w:val="ListBullet"/>
        <w:ind w:left="360" w:hanging="360"/>
      </w:pPr>
      <w:r/>
      <w:r>
        <w:rPr>
          <w:rFonts w:ascii="DejaVu Sans" w:hAnsi="DejaVu Sans"/>
          <w:b/>
          <w:i w:val="0"/>
          <w:color w:val="2D5016"/>
          <w:sz w:val="22"/>
        </w:rPr>
        <w:t>Brand value enhancement:</w:t>
      </w:r>
      <w:r>
        <w:rPr>
          <w:rFonts w:ascii="DejaVu Sans" w:hAnsi="DejaVu Sans"/>
          <w:b w:val="0"/>
          <w:i w:val="0"/>
          <w:color w:val="2D5016"/>
          <w:sz w:val="22"/>
        </w:rPr>
        <w:t xml:space="preserve"> Increased customer loyalty and market differentiation worth 15-25% premium</w:t>
      </w:r>
    </w:p>
    <w:p>
      <w:pPr>
        <w:pStyle w:val="ListBullet"/>
        <w:ind w:left="360" w:hanging="360"/>
      </w:pPr>
      <w:r/>
      <w:r>
        <w:rPr>
          <w:rFonts w:ascii="DejaVu Sans" w:hAnsi="DejaVu Sans"/>
          <w:b/>
          <w:i w:val="0"/>
          <w:color w:val="2D5016"/>
          <w:sz w:val="22"/>
        </w:rPr>
        <w:t>Supply chain resilience:</w:t>
      </w:r>
      <w:r>
        <w:rPr>
          <w:rFonts w:ascii="DejaVu Sans" w:hAnsi="DejaVu Sans"/>
          <w:b w:val="0"/>
          <w:i w:val="0"/>
          <w:color w:val="2D5016"/>
          <w:sz w:val="22"/>
        </w:rPr>
        <w:t xml:space="preserve"> Diversified material sources reducing dependency on volatile petroleum markets</w:t>
      </w:r>
    </w:p>
    <w:p>
      <w:pPr>
        <w:pStyle w:val="ListBullet"/>
        <w:ind w:left="360" w:hanging="360"/>
      </w:pPr>
      <w:r/>
      <w:r>
        <w:rPr>
          <w:rFonts w:ascii="DejaVu Sans" w:hAnsi="DejaVu Sans"/>
          <w:b/>
          <w:i w:val="0"/>
          <w:color w:val="2D5016"/>
          <w:sz w:val="22"/>
        </w:rPr>
        <w:t>Future-proofing:</w:t>
      </w:r>
      <w:r>
        <w:rPr>
          <w:rFonts w:ascii="DejaVu Sans" w:hAnsi="DejaVu Sans"/>
          <w:b w:val="0"/>
          <w:i w:val="0"/>
          <w:color w:val="2D5016"/>
          <w:sz w:val="22"/>
        </w:rPr>
        <w:t xml:space="preserve"> Ahead of regulatory curve as restrictions on conventional packaging increase</w:t>
      </w:r>
    </w:p>
    <w:p>
      <w:pPr>
        <w:pStyle w:val="Heading3"/>
        <w:spacing w:before="280" w:after="200"/>
        <w:jc w:val="left"/>
      </w:pPr>
      <w:r>
        <w:rPr>
          <w:rFonts w:ascii="DejaVu Sans" w:hAnsi="DejaVu Sans"/>
          <w:b/>
          <w:i w:val="0"/>
          <w:color w:val="558B2F"/>
          <w:sz w:val="36"/>
        </w:rPr>
        <w:t>4.3.3 Investment and Funding Landscape</w:t>
      </w:r>
    </w:p>
    <w:p>
      <w:pPr>
        <w:spacing w:before="0" w:after="240"/>
        <w:jc w:val="both"/>
      </w:pPr>
      <w:r>
        <w:rPr>
          <w:rFonts w:ascii="DejaVu Sans" w:hAnsi="DejaVu Sans"/>
          <w:b w:val="0"/>
          <w:i w:val="0"/>
          <w:color w:val="2D5016"/>
          <w:sz w:val="22"/>
        </w:rPr>
        <w:t>The sustainable packaging sector is experiencing significant investment momentum, with investors increasingly funding innovations in this space. Key funding trends include:</w:t>
      </w:r>
    </w:p>
    <w:p>
      <w:pPr>
        <w:pStyle w:val="ListNumber"/>
        <w:numPr>
          <w:numId w:val="18"/>
          <w:ilvl w:val="0"/>
        </w:numPr>
        <w:ind w:left="360" w:hanging="360"/>
      </w:pPr>
      <w:r/>
      <w:r>
        <w:rPr>
          <w:rFonts w:ascii="DejaVu Sans" w:hAnsi="DejaVu Sans"/>
          <w:b/>
          <w:i w:val="0"/>
          <w:color w:val="2D5016"/>
          <w:sz w:val="22"/>
        </w:rPr>
        <w:t>ESG-focused venture capital:</w:t>
      </w:r>
      <w:r>
        <w:rPr>
          <w:rFonts w:ascii="DejaVu Sans" w:hAnsi="DejaVu Sans"/>
          <w:b w:val="0"/>
          <w:i w:val="0"/>
          <w:color w:val="2D5016"/>
          <w:sz w:val="22"/>
        </w:rPr>
        <w:t xml:space="preserve"> Growing allocation to sustainability-focused startups</w:t>
      </w:r>
    </w:p>
    <w:p>
      <w:pPr>
        <w:pStyle w:val="ListNumber"/>
        <w:numPr>
          <w:ilvl w:val="0"/>
        </w:numPr>
        <w:ind w:left="360" w:hanging="360"/>
      </w:pPr>
      <w:r/>
      <w:r>
        <w:rPr>
          <w:rFonts w:ascii="DejaVu Sans" w:hAnsi="DejaVu Sans"/>
          <w:b/>
          <w:i w:val="0"/>
          <w:color w:val="2D5016"/>
          <w:sz w:val="22"/>
        </w:rPr>
        <w:t>Strategic corporate investment:</w:t>
      </w:r>
      <w:r>
        <w:rPr>
          <w:rFonts w:ascii="DejaVu Sans" w:hAnsi="DejaVu Sans"/>
          <w:b w:val="0"/>
          <w:i w:val="0"/>
          <w:color w:val="2D5016"/>
          <w:sz w:val="22"/>
        </w:rPr>
        <w:t xml:space="preserve"> Major brands investing in supply chain innovation</w:t>
      </w:r>
    </w:p>
    <w:p>
      <w:pPr>
        <w:pStyle w:val="ListNumber"/>
        <w:numPr>
          <w:ilvl w:val="0"/>
        </w:numPr>
        <w:ind w:left="360" w:hanging="360"/>
      </w:pPr>
      <w:r/>
      <w:r>
        <w:rPr>
          <w:rFonts w:ascii="DejaVu Sans" w:hAnsi="DejaVu Sans"/>
          <w:b/>
          <w:i w:val="0"/>
          <w:color w:val="2D5016"/>
          <w:sz w:val="22"/>
        </w:rPr>
        <w:t>Government grants and incentives:</w:t>
      </w:r>
      <w:r>
        <w:rPr>
          <w:rFonts w:ascii="DejaVu Sans" w:hAnsi="DejaVu Sans"/>
          <w:b w:val="0"/>
          <w:i w:val="0"/>
          <w:color w:val="2D5016"/>
          <w:sz w:val="22"/>
        </w:rPr>
        <w:t xml:space="preserve"> Public sector support for green technology development</w:t>
      </w:r>
    </w:p>
    <w:p>
      <w:pPr>
        <w:pStyle w:val="ListNumber"/>
        <w:numPr>
          <w:ilvl w:val="0"/>
        </w:numPr>
        <w:ind w:left="360" w:hanging="360"/>
      </w:pPr>
      <w:r/>
      <w:r>
        <w:rPr>
          <w:rFonts w:ascii="DejaVu Sans" w:hAnsi="DejaVu Sans"/>
          <w:b/>
          <w:i w:val="0"/>
          <w:color w:val="2D5016"/>
          <w:sz w:val="22"/>
        </w:rPr>
        <w:t>Impact investment funds:</w:t>
      </w:r>
      <w:r>
        <w:rPr>
          <w:rFonts w:ascii="DejaVu Sans" w:hAnsi="DejaVu Sans"/>
          <w:b w:val="0"/>
          <w:i w:val="0"/>
          <w:color w:val="2D5016"/>
          <w:sz w:val="22"/>
        </w:rPr>
        <w:t xml:space="preserve"> Dedicated capital seeking environmental and financial returns</w:t>
      </w:r>
    </w:p>
    <w:p>
      <w:pPr>
        <w:spacing w:before="0" w:after="240"/>
        <w:jc w:val="both"/>
      </w:pPr>
      <w:r>
        <w:rPr>
          <w:rFonts w:ascii="DejaVu Sans" w:hAnsi="DejaVu Sans"/>
          <w:b w:val="0"/>
          <w:i w:val="0"/>
          <w:color w:val="2D5016"/>
          <w:sz w:val="22"/>
        </w:rPr>
        <w:t>This favorable funding environment provides multiple pathways for growth capital as we demonstrate market traction and operational milestones.</w:t>
      </w:r>
    </w:p>
    <w:p>
      <w:pPr>
        <w:pStyle w:val="Heading2"/>
        <w:spacing w:before="360" w:after="280"/>
        <w:jc w:val="left"/>
      </w:pPr>
      <w:r>
        <w:rPr>
          <w:rFonts w:ascii="DejaVu Sans" w:hAnsi="DejaVu Sans"/>
          <w:b/>
          <w:i w:val="0"/>
          <w:color w:val="2D5016"/>
          <w:sz w:val="44"/>
        </w:rPr>
        <w:t>4.4 Industry Research and Market Trends</w:t>
      </w:r>
    </w:p>
    <w:p>
      <w:pPr>
        <w:spacing w:before="0" w:after="240"/>
        <w:jc w:val="both"/>
      </w:pPr>
      <w:r>
        <w:rPr>
          <w:rFonts w:ascii="DejaVu Sans" w:hAnsi="DejaVu Sans"/>
          <w:b w:val="0"/>
          <w:i w:val="0"/>
          <w:color w:val="2D5016"/>
          <w:sz w:val="22"/>
        </w:rPr>
        <w:t>Current industry research validates our business model and highlights accelerating trends that strengthen the sustainable packaging business case. Multiple converging factors drive market transformation.</w:t>
      </w:r>
    </w:p>
    <w:p>
      <w:pPr>
        <w:pStyle w:val="Heading3"/>
        <w:spacing w:before="280" w:after="200"/>
        <w:jc w:val="left"/>
      </w:pPr>
      <w:r>
        <w:rPr>
          <w:rFonts w:ascii="DejaVu Sans" w:hAnsi="DejaVu Sans"/>
          <w:b/>
          <w:i w:val="0"/>
          <w:color w:val="558B2F"/>
          <w:sz w:val="36"/>
        </w:rPr>
        <w:t>4.4.1 ESG-Driven Consumer Demand</w:t>
      </w:r>
    </w:p>
    <w:p>
      <w:pPr>
        <w:spacing w:before="0" w:after="240"/>
        <w:jc w:val="both"/>
      </w:pPr>
      <w:r>
        <w:rPr>
          <w:rFonts w:ascii="DejaVu Sans" w:hAnsi="DejaVu Sans"/>
          <w:b w:val="0"/>
          <w:i w:val="0"/>
          <w:color w:val="2D5016"/>
          <w:sz w:val="22"/>
        </w:rPr>
        <w:t xml:space="preserve">Environmental, Social, and Governance (ESG) considerations increasingly influence purchasing decisions across demographics. Research demonstrates that </w:t>
      </w:r>
      <w:r>
        <w:rPr>
          <w:rFonts w:ascii="DejaVu Sans" w:hAnsi="DejaVu Sans"/>
          <w:b/>
          <w:i w:val="0"/>
          <w:color w:val="2D5016"/>
          <w:sz w:val="22"/>
        </w:rPr>
        <w:t>55% of consumers are willing to pay premium prices</w:t>
      </w:r>
      <w:r>
        <w:rPr>
          <w:rFonts w:ascii="DejaVu Sans" w:hAnsi="DejaVu Sans"/>
          <w:b w:val="0"/>
          <w:i w:val="0"/>
          <w:color w:val="2D5016"/>
          <w:sz w:val="22"/>
        </w:rPr>
        <w:t xml:space="preserve"> for environmentally responsible brands, with higher percentages among younger demographics:</w:t>
      </w:r>
    </w:p>
    <w:p>
      <w:pPr>
        <w:spacing w:before="300" w:after="300"/>
        <w:jc w:val="left"/>
      </w:pPr>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tmpjpn43lf8.png"/>
                    <pic:cNvPicPr/>
                  </pic:nvPicPr>
                  <pic:blipFill>
                    <a:blip r:embed="rId17"/>
                    <a:stretch>
                      <a:fillRect/>
                    </a:stretch>
                  </pic:blipFill>
                  <pic:spPr>
                    <a:xfrm>
                      <a:off x="0" y="0"/>
                      <a:ext cx="5486400" cy="2743200"/>
                    </a:xfrm>
                    <a:prstGeom prst="rect"/>
                  </pic:spPr>
                </pic:pic>
              </a:graphicData>
            </a:graphic>
          </wp:inline>
        </w:drawing>
      </w:r>
    </w:p>
    <w:p>
      <w:pPr>
        <w:pStyle w:val="Heading3"/>
        <w:spacing w:before="280" w:after="200"/>
        <w:jc w:val="left"/>
      </w:pPr>
      <w:r>
        <w:rPr>
          <w:rFonts w:ascii="DejaVu Sans" w:hAnsi="DejaVu Sans"/>
          <w:b/>
          <w:i w:val="0"/>
          <w:color w:val="558B2F"/>
          <w:sz w:val="36"/>
        </w:rPr>
        <w:t>4.4.2 Regulatory Pressure and Compliance Drivers</w:t>
      </w:r>
    </w:p>
    <w:p>
      <w:pPr>
        <w:spacing w:before="0" w:after="240"/>
        <w:jc w:val="both"/>
      </w:pPr>
      <w:r>
        <w:rPr>
          <w:rFonts w:ascii="DejaVu Sans" w:hAnsi="DejaVu Sans"/>
          <w:b w:val="0"/>
          <w:i w:val="0"/>
          <w:color w:val="2D5016"/>
          <w:sz w:val="22"/>
        </w:rPr>
        <w:t>Governments worldwide are implementing increasingly stringent packaging regulations that favor sustainable alternatives. Major regulatory initiatives include:</w:t>
      </w:r>
    </w:p>
    <w:p>
      <w:pPr>
        <w:pStyle w:val="ListBullet"/>
        <w:ind w:left="360" w:hanging="360"/>
      </w:pPr>
      <w:r/>
      <w:r>
        <w:rPr>
          <w:rFonts w:ascii="DejaVu Sans" w:hAnsi="DejaVu Sans"/>
          <w:b/>
          <w:i w:val="0"/>
          <w:color w:val="2D5016"/>
          <w:sz w:val="22"/>
        </w:rPr>
        <w:t>European Union:</w:t>
      </w:r>
      <w:r>
        <w:rPr>
          <w:rFonts w:ascii="DejaVu Sans" w:hAnsi="DejaVu Sans"/>
          <w:b w:val="0"/>
          <w:i w:val="0"/>
          <w:color w:val="2D5016"/>
          <w:sz w:val="22"/>
        </w:rPr>
        <w:t xml:space="preserve"> Single-Use Plastics Directive banning specific conventional packaging by 2025-2030</w:t>
      </w:r>
    </w:p>
    <w:p>
      <w:pPr>
        <w:pStyle w:val="ListBullet"/>
        <w:ind w:left="360" w:hanging="360"/>
      </w:pPr>
      <w:r/>
      <w:r>
        <w:rPr>
          <w:rFonts w:ascii="DejaVu Sans" w:hAnsi="DejaVu Sans"/>
          <w:b/>
          <w:i w:val="0"/>
          <w:color w:val="2D5016"/>
          <w:sz w:val="22"/>
        </w:rPr>
        <w:t>United States:</w:t>
      </w:r>
      <w:r>
        <w:rPr>
          <w:rFonts w:ascii="DejaVu Sans" w:hAnsi="DejaVu Sans"/>
          <w:b w:val="0"/>
          <w:i w:val="0"/>
          <w:color w:val="2D5016"/>
          <w:sz w:val="22"/>
        </w:rPr>
        <w:t xml:space="preserve"> State-level extended producer responsibility (EPR) laws expanding rapidly</w:t>
      </w:r>
    </w:p>
    <w:p>
      <w:pPr>
        <w:pStyle w:val="ListBullet"/>
        <w:ind w:left="360" w:hanging="360"/>
      </w:pPr>
      <w:r/>
      <w:r>
        <w:rPr>
          <w:rFonts w:ascii="DejaVu Sans" w:hAnsi="DejaVu Sans"/>
          <w:b/>
          <w:i w:val="0"/>
          <w:color w:val="2D5016"/>
          <w:sz w:val="22"/>
        </w:rPr>
        <w:t>Asia-Pacific:</w:t>
      </w:r>
      <w:r>
        <w:rPr>
          <w:rFonts w:ascii="DejaVu Sans" w:hAnsi="DejaVu Sans"/>
          <w:b w:val="0"/>
          <w:i w:val="0"/>
          <w:color w:val="2D5016"/>
          <w:sz w:val="22"/>
        </w:rPr>
        <w:t xml:space="preserve"> China's plastic ban and circular economy initiatives creating massive market shifts</w:t>
      </w:r>
    </w:p>
    <w:p>
      <w:pPr>
        <w:pStyle w:val="ListBullet"/>
        <w:ind w:left="360" w:hanging="360"/>
      </w:pPr>
      <w:r/>
      <w:r>
        <w:rPr>
          <w:rFonts w:ascii="DejaVu Sans" w:hAnsi="DejaVu Sans"/>
          <w:b/>
          <w:i w:val="0"/>
          <w:color w:val="2D5016"/>
          <w:sz w:val="22"/>
        </w:rPr>
        <w:t>Global:</w:t>
      </w:r>
      <w:r>
        <w:rPr>
          <w:rFonts w:ascii="DejaVu Sans" w:hAnsi="DejaVu Sans"/>
          <w:b w:val="0"/>
          <w:i w:val="0"/>
          <w:color w:val="2D5016"/>
          <w:sz w:val="22"/>
        </w:rPr>
        <w:t xml:space="preserve"> Over 60 countries implementing plastic bag bans or taxes</w:t>
      </w:r>
    </w:p>
    <w:p>
      <w:pPr>
        <w:spacing w:before="0" w:after="240"/>
        <w:jc w:val="both"/>
      </w:pPr>
      <w:r>
        <w:rPr>
          <w:rFonts w:ascii="DejaVu Sans" w:hAnsi="DejaVu Sans"/>
          <w:b w:val="0"/>
          <w:i w:val="0"/>
          <w:color w:val="2D5016"/>
          <w:sz w:val="22"/>
        </w:rPr>
        <w:t>These regulatory trends create both compliance requirements and competitive advantages for sustainable packaging providers positioned ahead of the curve.</w:t>
      </w:r>
    </w:p>
    <w:p>
      <w:pPr>
        <w:pStyle w:val="Heading3"/>
        <w:spacing w:before="280" w:after="200"/>
        <w:jc w:val="left"/>
      </w:pPr>
      <w:r>
        <w:rPr>
          <w:rFonts w:ascii="DejaVu Sans" w:hAnsi="DejaVu Sans"/>
          <w:b/>
          <w:i w:val="0"/>
          <w:color w:val="558B2F"/>
          <w:sz w:val="36"/>
        </w:rPr>
        <w:t>4.4.3 Technological Innovations and Material Science</w:t>
      </w:r>
    </w:p>
    <w:p>
      <w:pPr>
        <w:spacing w:before="0" w:after="240"/>
        <w:jc w:val="both"/>
      </w:pPr>
      <w:r>
        <w:rPr>
          <w:rFonts w:ascii="DejaVu Sans" w:hAnsi="DejaVu Sans"/>
          <w:b w:val="0"/>
          <w:i w:val="0"/>
          <w:color w:val="2D5016"/>
          <w:sz w:val="22"/>
        </w:rPr>
        <w:t>Industry innovations focus on minimizing material use, simplifying recycling processes, and leveraging advanced technologies for improved performance and cost-effectiveness:</w:t>
      </w:r>
    </w:p>
    <w:p>
      <w:pPr>
        <w:pStyle w:val="ListNumber"/>
        <w:numPr>
          <w:numId w:val="19"/>
          <w:ilvl w:val="0"/>
        </w:numPr>
        <w:ind w:left="360" w:hanging="360"/>
      </w:pPr>
      <w:r/>
      <w:r>
        <w:rPr>
          <w:rFonts w:ascii="DejaVu Sans" w:hAnsi="DejaVu Sans"/>
          <w:b/>
          <w:i w:val="0"/>
          <w:color w:val="2D5016"/>
          <w:sz w:val="22"/>
        </w:rPr>
        <w:t>AI-assisted material design:</w:t>
      </w:r>
      <w:r>
        <w:rPr>
          <w:rFonts w:ascii="DejaVu Sans" w:hAnsi="DejaVu Sans"/>
          <w:b w:val="0"/>
          <w:i w:val="0"/>
          <w:color w:val="2D5016"/>
          <w:sz w:val="22"/>
        </w:rPr>
        <w:t xml:space="preserve"> Machine learning optimizing material composition for performance and sustainability</w:t>
      </w:r>
    </w:p>
    <w:p>
      <w:pPr>
        <w:pStyle w:val="ListNumber"/>
        <w:numPr>
          <w:ilvl w:val="0"/>
        </w:numPr>
        <w:ind w:left="360" w:hanging="360"/>
      </w:pPr>
      <w:r/>
      <w:r>
        <w:rPr>
          <w:rFonts w:ascii="DejaVu Sans" w:hAnsi="DejaVu Sans"/>
          <w:b/>
          <w:i w:val="0"/>
          <w:color w:val="2D5016"/>
          <w:sz w:val="22"/>
        </w:rPr>
        <w:t>Nanotechnology applications:</w:t>
      </w:r>
      <w:r>
        <w:rPr>
          <w:rFonts w:ascii="DejaVu Sans" w:hAnsi="DejaVu Sans"/>
          <w:b w:val="0"/>
          <w:i w:val="0"/>
          <w:color w:val="2D5016"/>
          <w:sz w:val="22"/>
        </w:rPr>
        <w:t xml:space="preserve"> Enhanced barrier properties enabling thinner, lighter packaging</w:t>
      </w:r>
    </w:p>
    <w:p>
      <w:pPr>
        <w:pStyle w:val="ListNumber"/>
        <w:numPr>
          <w:ilvl w:val="0"/>
        </w:numPr>
        <w:ind w:left="360" w:hanging="360"/>
      </w:pPr>
      <w:r/>
      <w:r>
        <w:rPr>
          <w:rFonts w:ascii="DejaVu Sans" w:hAnsi="DejaVu Sans"/>
          <w:b/>
          <w:i w:val="0"/>
          <w:color w:val="2D5016"/>
          <w:sz w:val="22"/>
        </w:rPr>
        <w:t>Bio-based polymer advances:</w:t>
      </w:r>
      <w:r>
        <w:rPr>
          <w:rFonts w:ascii="DejaVu Sans" w:hAnsi="DejaVu Sans"/>
          <w:b w:val="0"/>
          <w:i w:val="0"/>
          <w:color w:val="2D5016"/>
          <w:sz w:val="22"/>
        </w:rPr>
        <w:t xml:space="preserve"> New generations of PLA and PHA with improved properties and lower costs</w:t>
      </w:r>
    </w:p>
    <w:p>
      <w:pPr>
        <w:pStyle w:val="ListNumber"/>
        <w:numPr>
          <w:ilvl w:val="0"/>
        </w:numPr>
        <w:ind w:left="360" w:hanging="360"/>
      </w:pPr>
      <w:r/>
      <w:r>
        <w:rPr>
          <w:rFonts w:ascii="DejaVu Sans" w:hAnsi="DejaVu Sans"/>
          <w:b/>
          <w:i w:val="0"/>
          <w:color w:val="2D5016"/>
          <w:sz w:val="22"/>
        </w:rPr>
        <w:t>Recycling technology:</w:t>
      </w:r>
      <w:r>
        <w:rPr>
          <w:rFonts w:ascii="DejaVu Sans" w:hAnsi="DejaVu Sans"/>
          <w:b w:val="0"/>
          <w:i w:val="0"/>
          <w:color w:val="2D5016"/>
          <w:sz w:val="22"/>
        </w:rPr>
        <w:t xml:space="preserve"> Chemical recycling enabling closed-loop systems for complex materials</w:t>
      </w:r>
    </w:p>
    <w:p>
      <w:pPr>
        <w:spacing w:before="0" w:after="240"/>
        <w:jc w:val="both"/>
      </w:pPr>
      <w:r>
        <w:rPr>
          <w:rFonts w:ascii="DejaVu Sans" w:hAnsi="DejaVu Sans"/>
          <w:b w:val="0"/>
          <w:i w:val="0"/>
          <w:color w:val="2D5016"/>
          <w:sz w:val="22"/>
        </w:rPr>
        <w:t>These innovations progressively reduce the cost gap between sustainable and conventional packaging while enhancing performance characteristics.</w:t>
      </w:r>
    </w:p>
    <w:p>
      <w:pPr>
        <w:pStyle w:val="Heading3"/>
        <w:spacing w:before="280" w:after="200"/>
        <w:jc w:val="left"/>
      </w:pPr>
      <w:r>
        <w:rPr>
          <w:rFonts w:ascii="DejaVu Sans" w:hAnsi="DejaVu Sans"/>
          <w:b/>
          <w:i w:val="0"/>
          <w:color w:val="558B2F"/>
          <w:sz w:val="36"/>
        </w:rPr>
        <w:t>4.4.4 Industry Collaboration and Consortium Models</w:t>
      </w:r>
    </w:p>
    <w:p>
      <w:pPr>
        <w:spacing w:before="0" w:after="240"/>
        <w:jc w:val="both"/>
      </w:pPr>
      <w:r>
        <w:rPr>
          <w:rFonts w:ascii="DejaVu Sans" w:hAnsi="DejaVu Sans"/>
          <w:b w:val="0"/>
          <w:i w:val="0"/>
          <w:color w:val="2D5016"/>
          <w:sz w:val="22"/>
        </w:rPr>
        <w:t>Market trends emphasize collaboration through industry consortiums to achieve economies of scale and technical advances that individual startups cannot accomplish alone. Strategic partnerships enable:</w:t>
      </w:r>
    </w:p>
    <w:p>
      <w:pPr>
        <w:pStyle w:val="ListBullet"/>
        <w:ind w:left="360" w:hanging="360"/>
      </w:pPr>
      <w:r/>
      <w:r>
        <w:rPr>
          <w:rFonts w:ascii="DejaVu Sans" w:hAnsi="DejaVu Sans"/>
          <w:b w:val="0"/>
          <w:i w:val="0"/>
          <w:color w:val="2D5016"/>
          <w:sz w:val="22"/>
        </w:rPr>
        <w:t>Shared R&amp;D costs reducing innovation barriers</w:t>
      </w:r>
    </w:p>
    <w:p>
      <w:pPr>
        <w:pStyle w:val="ListBullet"/>
        <w:ind w:left="360" w:hanging="360"/>
      </w:pPr>
      <w:r/>
      <w:r>
        <w:rPr>
          <w:rFonts w:ascii="DejaVu Sans" w:hAnsi="DejaVu Sans"/>
          <w:b w:val="0"/>
          <w:i w:val="0"/>
          <w:color w:val="2D5016"/>
          <w:sz w:val="22"/>
        </w:rPr>
        <w:t>Collective purchasing power for raw materials</w:t>
      </w:r>
    </w:p>
    <w:p>
      <w:pPr>
        <w:pStyle w:val="ListBullet"/>
        <w:ind w:left="360" w:hanging="360"/>
      </w:pPr>
      <w:r/>
      <w:r>
        <w:rPr>
          <w:rFonts w:ascii="DejaVu Sans" w:hAnsi="DejaVu Sans"/>
          <w:b w:val="0"/>
          <w:i w:val="0"/>
          <w:color w:val="2D5016"/>
          <w:sz w:val="22"/>
        </w:rPr>
        <w:t>Standardization efforts improving supply chain efficiency</w:t>
      </w:r>
    </w:p>
    <w:p>
      <w:pPr>
        <w:pStyle w:val="ListBullet"/>
        <w:ind w:left="360" w:hanging="360"/>
      </w:pPr>
      <w:r/>
      <w:r>
        <w:rPr>
          <w:rFonts w:ascii="DejaVu Sans" w:hAnsi="DejaVu Sans"/>
          <w:b w:val="0"/>
          <w:i w:val="0"/>
          <w:color w:val="2D5016"/>
          <w:sz w:val="22"/>
        </w:rPr>
        <w:t>Knowledge sharing accelerating best practice adoption</w:t>
      </w:r>
    </w:p>
    <w:p>
      <w:pPr>
        <w:pStyle w:val="Heading2"/>
        <w:spacing w:before="360" w:after="280"/>
        <w:jc w:val="left"/>
      </w:pPr>
      <w:r>
        <w:rPr>
          <w:rFonts w:ascii="DejaVu Sans" w:hAnsi="DejaVu Sans"/>
          <w:b/>
          <w:i w:val="0"/>
          <w:color w:val="2D5016"/>
          <w:sz w:val="44"/>
        </w:rPr>
        <w:t>4.5 Sustainability Standards and Certifications</w:t>
      </w:r>
    </w:p>
    <w:p>
      <w:pPr>
        <w:spacing w:before="0" w:after="240"/>
        <w:jc w:val="both"/>
      </w:pPr>
      <w:r>
        <w:rPr>
          <w:rFonts w:ascii="DejaVu Sans" w:hAnsi="DejaVu Sans"/>
          <w:b w:val="0"/>
          <w:i w:val="0"/>
          <w:color w:val="2D5016"/>
          <w:sz w:val="22"/>
        </w:rPr>
        <w:t>Compliance with recognized sustainability certifications and legal packaging requirements provides essential market credibility and access to premium client segments. While certifications involve initial investment, they deliver substantial returns through enhanced brand positioning and expanded market opportunities.</w:t>
      </w:r>
    </w:p>
    <w:p>
      <w:pPr>
        <w:pStyle w:val="Heading3"/>
        <w:spacing w:before="280" w:after="200"/>
        <w:jc w:val="left"/>
      </w:pPr>
      <w:r>
        <w:rPr>
          <w:rFonts w:ascii="DejaVu Sans" w:hAnsi="DejaVu Sans"/>
          <w:b/>
          <w:i w:val="0"/>
          <w:color w:val="558B2F"/>
          <w:sz w:val="36"/>
        </w:rPr>
        <w:t>4.5.1 Key Certification Standards</w:t>
      </w:r>
    </w:p>
    <w:p>
      <w:pPr>
        <w:spacing w:before="0" w:after="240"/>
        <w:jc w:val="both"/>
      </w:pPr>
      <w:r>
        <w:rPr>
          <w:rFonts w:ascii="DejaVu Sans" w:hAnsi="DejaVu Sans"/>
          <w:b w:val="0"/>
          <w:i w:val="0"/>
          <w:color w:val="2D5016"/>
          <w:sz w:val="22"/>
        </w:rPr>
        <w:t>Our certification strategy targets the most recognized and market-relevant standards that validate our sustainability claims and meet customer requirements:</w:t>
      </w:r>
    </w:p>
    <w:p>
      <w:pPr>
        <w:spacing w:after="300"/>
      </w:pPr>
    </w:p>
    <w:tbl>
      <w:tblPr>
        <w:tblW w:type="auto" w:w="0"/>
        <w:tblLook w:firstColumn="1" w:firstRow="1" w:lastColumn="0" w:lastRow="0" w:noHBand="0" w:noVBand="1" w:val="04A0"/>
        <w:tblBorders>
          <w:top w:val="single" w:sz="12" w:space="0" w:color="1b5e20"/>
          <w:left w:val="single" w:sz="12" w:space="0" w:color="1b5e20"/>
          <w:bottom w:val="single" w:sz="12" w:space="0" w:color="1b5e20"/>
          <w:right w:val="single" w:sz="12" w:space="0" w:color="1b5e20"/>
          <w:insideH w:val="single" w:sz="4" w:space="0" w:color="c5e1a5"/>
          <w:insideV w:val="single" w:sz="4" w:space="0" w:color="c5e1a5"/>
        </w:tblBorders>
        <w:tblInd w:w="120" w:type="dxa"/>
      </w:tblPr>
      <w:tblGrid>
        <w:gridCol w:w="2409"/>
        <w:gridCol w:w="2409"/>
        <w:gridCol w:w="2409"/>
        <w:gridCol w:w="2409"/>
      </w:tblGrid>
      <w:tr>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Certification</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Scope</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Initial Cost</w:t>
            </w:r>
          </w:p>
        </w:tc>
        <w:tc>
          <w:tcPr>
            <w:tcW w:type="dxa" w:w="2409"/>
            <w:tcMar>
              <w:top w:w="160" w:type="dxa"/>
              <w:left w:w="160" w:type="dxa"/>
              <w:bottom w:w="160" w:type="dxa"/>
              <w:right w:w="160" w:type="dxa"/>
            </w:tcMar>
            <w:shd w:val="clear" w:color="auto" w:fill="1b5e20"/>
          </w:tcPr>
          <w:p>
            <w:pPr>
              <w:jc w:val="center"/>
            </w:pPr>
            <w:r/>
            <w:r>
              <w:rPr>
                <w:rFonts w:ascii="Liberation Sans" w:hAnsi="Liberation Sans"/>
                <w:b/>
                <w:i w:val="0"/>
                <w:color w:val="FFFFFF"/>
                <w:sz w:val="24"/>
              </w:rPr>
              <w:t>Strategic Value</w:t>
            </w:r>
          </w:p>
        </w:tc>
      </w:tr>
      <w:tr>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ASTM D6400/D6868</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Compostability standards</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$2,500-$4,000</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North American market access</w:t>
            </w:r>
          </w:p>
        </w:tc>
      </w:tr>
      <w:tr>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EN 13432</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European compostability</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$3,000-$5,000</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EU market compliance</w:t>
            </w:r>
          </w:p>
        </w:tc>
      </w:tr>
      <w:tr>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FSC/PEFC</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Sustainable forestry</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$1,500-$3,000</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Fiber-based materials credibility</w:t>
            </w:r>
          </w:p>
        </w:tc>
      </w:tr>
      <w:tr>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Cradle to Cradle</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Circular economy design</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$5,000-$8,000</w:t>
            </w:r>
          </w:p>
        </w:tc>
        <w:tc>
          <w:tcPr>
            <w:tcW w:type="dxa" w:w="2409"/>
            <w:tcMar>
              <w:top w:w="160" w:type="dxa"/>
              <w:left w:w="160" w:type="dxa"/>
              <w:bottom w:w="160" w:type="dxa"/>
              <w:right w:w="160" w:type="dxa"/>
            </w:tcMar>
            <w:shd w:val="clear" w:color="auto" w:fill="dcedc8"/>
          </w:tcPr>
          <w:p>
            <w:pPr>
              <w:jc w:val="left"/>
            </w:pPr>
            <w:r/>
            <w:r>
              <w:rPr>
                <w:rFonts w:ascii="Liberation Sans" w:hAnsi="Liberation Sans"/>
                <w:b w:val="0"/>
                <w:i w:val="0"/>
                <w:color w:val="2D5016"/>
              </w:rPr>
              <w:t>Premium brand positioning</w:t>
            </w:r>
          </w:p>
        </w:tc>
      </w:tr>
      <w:tr>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ISO 14001</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Environmental management</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$3,000-$6,000</w:t>
            </w:r>
          </w:p>
        </w:tc>
        <w:tc>
          <w:tcPr>
            <w:tcW w:type="dxa" w:w="2409"/>
            <w:tcMar>
              <w:top w:w="160" w:type="dxa"/>
              <w:left w:w="160" w:type="dxa"/>
              <w:bottom w:w="160" w:type="dxa"/>
              <w:right w:w="160" w:type="dxa"/>
            </w:tcMar>
            <w:shd w:val="clear" w:color="auto" w:fill="f1f8e9"/>
          </w:tcPr>
          <w:p>
            <w:pPr>
              <w:jc w:val="left"/>
            </w:pPr>
            <w:r/>
            <w:r>
              <w:rPr>
                <w:rFonts w:ascii="Liberation Sans" w:hAnsi="Liberation Sans"/>
                <w:b w:val="0"/>
                <w:i w:val="0"/>
                <w:color w:val="2D5016"/>
              </w:rPr>
              <w:t>Enterprise client requirement</w:t>
            </w:r>
          </w:p>
        </w:tc>
      </w:tr>
    </w:tbl>
    <w:p>
      <w:pPr>
        <w:jc w:val="center"/>
      </w:pPr>
      <w:r>
        <w:rPr>
          <w:rFonts w:ascii="DejaVu Sans" w:hAnsi="DejaVu Sans"/>
          <w:b w:val="0"/>
          <w:i/>
          <w:color w:val="2D5016"/>
          <w:sz w:val="22"/>
        </w:rPr>
        <w:t>Priority Sustainability Certifications and Standards</w:t>
      </w:r>
    </w:p>
    <w:p>
      <w:pPr>
        <w:spacing w:before="300"/>
      </w:pPr>
    </w:p>
    <w:p>
      <w:pPr>
        <w:spacing w:before="0" w:after="240"/>
        <w:jc w:val="both"/>
      </w:pPr>
      <w:r>
        <w:rPr>
          <w:rFonts w:ascii="DejaVu Sans" w:hAnsi="DejaVu Sans"/>
          <w:b w:val="0"/>
          <w:i w:val="0"/>
          <w:color w:val="2D5016"/>
          <w:sz w:val="22"/>
        </w:rPr>
        <w:t xml:space="preserve">Total initial certification investment ranges from </w:t>
      </w:r>
      <w:r>
        <w:rPr>
          <w:rFonts w:ascii="DejaVu Sans" w:hAnsi="DejaVu Sans"/>
          <w:b/>
          <w:i w:val="0"/>
          <w:color w:val="2D5016"/>
          <w:sz w:val="22"/>
        </w:rPr>
        <w:t>$3,000 to $8,000</w:t>
      </w:r>
      <w:r>
        <w:rPr>
          <w:rFonts w:ascii="DejaVu Sans" w:hAnsi="DejaVu Sans"/>
          <w:b w:val="0"/>
          <w:i w:val="0"/>
          <w:color w:val="2D5016"/>
          <w:sz w:val="22"/>
        </w:rPr>
        <w:t xml:space="preserve"> depending on scope and priority, with ongoing compliance costs representing 2-3% of annual revenue.</w:t>
      </w:r>
    </w:p>
    <w:p>
      <w:pPr>
        <w:pStyle w:val="Heading3"/>
        <w:spacing w:before="280" w:after="200"/>
        <w:jc w:val="left"/>
      </w:pPr>
      <w:r>
        <w:rPr>
          <w:rFonts w:ascii="DejaVu Sans" w:hAnsi="DejaVu Sans"/>
          <w:b/>
          <w:i w:val="0"/>
          <w:color w:val="558B2F"/>
          <w:sz w:val="36"/>
        </w:rPr>
        <w:t>4.5.2 Market Impact of Certifications</w:t>
      </w:r>
    </w:p>
    <w:p>
      <w:pPr>
        <w:spacing w:before="0" w:after="240"/>
        <w:jc w:val="both"/>
      </w:pPr>
      <w:r>
        <w:rPr>
          <w:rFonts w:ascii="DejaVu Sans" w:hAnsi="DejaVu Sans"/>
          <w:b w:val="0"/>
          <w:i w:val="0"/>
          <w:color w:val="2D5016"/>
          <w:sz w:val="22"/>
        </w:rPr>
        <w:t>Industry data demonstrates that certified sustainable packaging commands significant market premiums and opens access to restricted customer segments:</w:t>
      </w:r>
    </w:p>
    <w:p>
      <w:pPr>
        <w:pStyle w:val="ListBullet"/>
        <w:ind w:left="360" w:hanging="360"/>
      </w:pPr>
      <w:r/>
      <w:r>
        <w:rPr>
          <w:rFonts w:ascii="DejaVu Sans" w:hAnsi="DejaVu Sans"/>
          <w:b/>
          <w:i w:val="0"/>
          <w:color w:val="2D5016"/>
          <w:sz w:val="22"/>
        </w:rPr>
        <w:t>15-25% price premium</w:t>
      </w:r>
      <w:r>
        <w:rPr>
          <w:rFonts w:ascii="DejaVu Sans" w:hAnsi="DejaVu Sans"/>
          <w:b w:val="0"/>
          <w:i w:val="0"/>
          <w:color w:val="2D5016"/>
          <w:sz w:val="22"/>
        </w:rPr>
        <w:t xml:space="preserve"> for certified versus non-certified sustainable packaging</w:t>
      </w:r>
    </w:p>
    <w:p>
      <w:pPr>
        <w:pStyle w:val="ListBullet"/>
        <w:ind w:left="360" w:hanging="360"/>
      </w:pPr>
      <w:r/>
      <w:r>
        <w:rPr>
          <w:rFonts w:ascii="DejaVu Sans" w:hAnsi="DejaVu Sans"/>
          <w:b/>
          <w:i w:val="0"/>
          <w:color w:val="2D5016"/>
          <w:sz w:val="22"/>
        </w:rPr>
        <w:t>Enterprise client access:</w:t>
      </w:r>
      <w:r>
        <w:rPr>
          <w:rFonts w:ascii="DejaVu Sans" w:hAnsi="DejaVu Sans"/>
          <w:b w:val="0"/>
          <w:i w:val="0"/>
          <w:color w:val="2D5016"/>
          <w:sz w:val="22"/>
        </w:rPr>
        <w:t xml:space="preserve"> Many large corporations require third-party certification</w:t>
      </w:r>
    </w:p>
    <w:p>
      <w:pPr>
        <w:pStyle w:val="ListBullet"/>
        <w:ind w:left="360" w:hanging="360"/>
      </w:pPr>
      <w:r/>
      <w:r>
        <w:rPr>
          <w:rFonts w:ascii="DejaVu Sans" w:hAnsi="DejaVu Sans"/>
          <w:b/>
          <w:i w:val="0"/>
          <w:color w:val="2D5016"/>
          <w:sz w:val="22"/>
        </w:rPr>
        <w:t>Retail placement:</w:t>
      </w:r>
      <w:r>
        <w:rPr>
          <w:rFonts w:ascii="DejaVu Sans" w:hAnsi="DejaVu Sans"/>
          <w:b w:val="0"/>
          <w:i w:val="0"/>
          <w:color w:val="2D5016"/>
          <w:sz w:val="22"/>
        </w:rPr>
        <w:t xml:space="preserve"> Major retailers increasingly mandate sustainability certifications for suppliers</w:t>
      </w:r>
    </w:p>
    <w:p>
      <w:pPr>
        <w:pStyle w:val="ListBullet"/>
        <w:ind w:left="360" w:hanging="360"/>
      </w:pPr>
      <w:r/>
      <w:r>
        <w:rPr>
          <w:rFonts w:ascii="DejaVu Sans" w:hAnsi="DejaVu Sans"/>
          <w:b/>
          <w:i w:val="0"/>
          <w:color w:val="2D5016"/>
          <w:sz w:val="22"/>
        </w:rPr>
        <w:t>Brand loyalty:</w:t>
      </w:r>
      <w:r>
        <w:rPr>
          <w:rFonts w:ascii="DejaVu Sans" w:hAnsi="DejaVu Sans"/>
          <w:b w:val="0"/>
          <w:i w:val="0"/>
          <w:color w:val="2D5016"/>
          <w:sz w:val="22"/>
        </w:rPr>
        <w:t xml:space="preserve"> Certified products show 30-40% higher customer retention rates</w:t>
      </w:r>
    </w:p>
    <w:p>
      <w:pPr>
        <w:pStyle w:val="ListBullet"/>
        <w:ind w:left="360" w:hanging="360"/>
      </w:pPr>
      <w:r/>
      <w:r>
        <w:rPr>
          <w:rFonts w:ascii="DejaVu Sans" w:hAnsi="DejaVu Sans"/>
          <w:b/>
          <w:i w:val="0"/>
          <w:color w:val="2D5016"/>
          <w:sz w:val="22"/>
        </w:rPr>
        <w:t>Marketing differentiation:</w:t>
      </w:r>
      <w:r>
        <w:rPr>
          <w:rFonts w:ascii="DejaVu Sans" w:hAnsi="DejaVu Sans"/>
          <w:b w:val="0"/>
          <w:i w:val="0"/>
          <w:color w:val="2D5016"/>
          <w:sz w:val="22"/>
        </w:rPr>
        <w:t xml:space="preserve"> Certified claims reduce greenwashing concerns and build trust</w:t>
      </w:r>
    </w:p>
    <w:p>
      <w:pPr>
        <w:pStyle w:val="Heading2"/>
        <w:spacing w:before="360" w:after="280"/>
        <w:jc w:val="left"/>
      </w:pPr>
      <w:r>
        <w:rPr>
          <w:rFonts w:ascii="DejaVu Sans" w:hAnsi="DejaVu Sans"/>
          <w:b/>
          <w:i w:val="0"/>
          <w:color w:val="2D5016"/>
          <w:sz w:val="44"/>
        </w:rPr>
        <w:t>4.6 Competitive Financial Positioning</w:t>
      </w:r>
    </w:p>
    <w:p>
      <w:pPr>
        <w:spacing w:before="0" w:after="240"/>
        <w:jc w:val="both"/>
      </w:pPr>
      <w:r>
        <w:rPr>
          <w:rFonts w:ascii="DejaVu Sans" w:hAnsi="DejaVu Sans"/>
          <w:b w:val="0"/>
          <w:i w:val="0"/>
          <w:color w:val="2D5016"/>
          <w:sz w:val="22"/>
        </w:rPr>
        <w:t>Our financial model positions us competitively within the sustainable packaging landscape while maintaining healthy margins and growth trajectory. Key competitive advantages include:</w:t>
      </w:r>
    </w:p>
    <w:p>
      <w:pPr>
        <w:pStyle w:val="ListNumber"/>
        <w:numPr>
          <w:numId w:val="20"/>
          <w:ilvl w:val="0"/>
        </w:numPr>
        <w:ind w:left="360" w:hanging="360"/>
      </w:pPr>
      <w:r/>
      <w:r>
        <w:rPr>
          <w:rFonts w:ascii="DejaVu Sans" w:hAnsi="DejaVu Sans"/>
          <w:b/>
          <w:i w:val="0"/>
          <w:color w:val="2D5016"/>
          <w:sz w:val="22"/>
        </w:rPr>
        <w:t>Value-based pricing:</w:t>
      </w:r>
      <w:r>
        <w:rPr>
          <w:rFonts w:ascii="DejaVu Sans" w:hAnsi="DejaVu Sans"/>
          <w:b w:val="0"/>
          <w:i w:val="0"/>
          <w:color w:val="2D5016"/>
          <w:sz w:val="22"/>
        </w:rPr>
        <w:t xml:space="preserve"> Capturing premium from demonstrable sustainability benefits rather than competing on cost</w:t>
      </w:r>
    </w:p>
    <w:p>
      <w:pPr>
        <w:pStyle w:val="ListNumber"/>
        <w:numPr>
          <w:ilvl w:val="0"/>
        </w:numPr>
        <w:ind w:left="360" w:hanging="360"/>
      </w:pPr>
      <w:r/>
      <w:r>
        <w:rPr>
          <w:rFonts w:ascii="DejaVu Sans" w:hAnsi="DejaVu Sans"/>
          <w:b/>
          <w:i w:val="0"/>
          <w:color w:val="2D5016"/>
          <w:sz w:val="22"/>
        </w:rPr>
        <w:t>Efficient operations:</w:t>
      </w:r>
      <w:r>
        <w:rPr>
          <w:rFonts w:ascii="DejaVu Sans" w:hAnsi="DejaVu Sans"/>
          <w:b w:val="0"/>
          <w:i w:val="0"/>
          <w:color w:val="2D5016"/>
          <w:sz w:val="22"/>
        </w:rPr>
        <w:t xml:space="preserve"> Technology and process optimization achieving 30% energy savings</w:t>
      </w:r>
    </w:p>
    <w:p>
      <w:pPr>
        <w:pStyle w:val="ListNumber"/>
        <w:numPr>
          <w:ilvl w:val="0"/>
        </w:numPr>
        <w:ind w:left="360" w:hanging="360"/>
      </w:pPr>
      <w:r/>
      <w:r>
        <w:rPr>
          <w:rFonts w:ascii="DejaVu Sans" w:hAnsi="DejaVu Sans"/>
          <w:b/>
          <w:i w:val="0"/>
          <w:color w:val="2D5016"/>
          <w:sz w:val="22"/>
        </w:rPr>
        <w:t>Scalability path:</w:t>
      </w:r>
      <w:r>
        <w:rPr>
          <w:rFonts w:ascii="DejaVu Sans" w:hAnsi="DejaVu Sans"/>
          <w:b w:val="0"/>
          <w:i w:val="0"/>
          <w:color w:val="2D5016"/>
          <w:sz w:val="22"/>
        </w:rPr>
        <w:t xml:space="preserve"> Clear roadmap to volume thresholds (50,000-100,000 units) where unit economics dramatically improve</w:t>
      </w:r>
    </w:p>
    <w:p>
      <w:pPr>
        <w:pStyle w:val="ListNumber"/>
        <w:numPr>
          <w:ilvl w:val="0"/>
        </w:numPr>
        <w:ind w:left="360" w:hanging="360"/>
      </w:pPr>
      <w:r/>
      <w:r>
        <w:rPr>
          <w:rFonts w:ascii="DejaVu Sans" w:hAnsi="DejaVu Sans"/>
          <w:b/>
          <w:i w:val="0"/>
          <w:color w:val="2D5016"/>
          <w:sz w:val="22"/>
        </w:rPr>
        <w:t>Certification portfolio:</w:t>
      </w:r>
      <w:r>
        <w:rPr>
          <w:rFonts w:ascii="DejaVu Sans" w:hAnsi="DejaVu Sans"/>
          <w:b w:val="0"/>
          <w:i w:val="0"/>
          <w:color w:val="2D5016"/>
          <w:sz w:val="22"/>
        </w:rPr>
        <w:t xml:space="preserve"> Comprehensive standards compliance opening premium market segments</w:t>
      </w:r>
    </w:p>
    <w:p>
      <w:pPr>
        <w:pStyle w:val="ListNumber"/>
        <w:numPr>
          <w:ilvl w:val="0"/>
        </w:numPr>
        <w:ind w:left="360" w:hanging="360"/>
      </w:pPr>
      <w:r/>
      <w:r>
        <w:rPr>
          <w:rFonts w:ascii="DejaVu Sans" w:hAnsi="DejaVu Sans"/>
          <w:b/>
          <w:i w:val="0"/>
          <w:color w:val="2D5016"/>
          <w:sz w:val="22"/>
        </w:rPr>
        <w:t>Market timing:</w:t>
      </w:r>
      <w:r>
        <w:rPr>
          <w:rFonts w:ascii="DejaVu Sans" w:hAnsi="DejaVu Sans"/>
          <w:b w:val="0"/>
          <w:i w:val="0"/>
          <w:color w:val="2D5016"/>
          <w:sz w:val="22"/>
        </w:rPr>
        <w:t xml:space="preserve"> Entering during regulatory transition period with first-mover advantages</w:t>
      </w:r>
    </w:p>
    <w:p>
      <w:pPr>
        <w:spacing w:before="0" w:after="240"/>
        <w:jc w:val="both"/>
      </w:pPr>
      <w:r>
        <w:rPr>
          <w:rFonts w:ascii="DejaVu Sans" w:hAnsi="DejaVu Sans"/>
          <w:b w:val="0"/>
          <w:i w:val="0"/>
          <w:color w:val="2D5016"/>
          <w:sz w:val="22"/>
        </w:rPr>
        <w:t>The intersection of favorable market trends, growing consumer willingness to pay premiums, regulatory support, and improving cost structures creates a compelling financial case for sustainable packaging innovation. Our pricing models, cost management strategies, and market positioning align to capture this opportunity while building a financially sustainable business.</w:t>
      </w:r>
    </w:p>
    <w:p>
      <w:pPr>
        <w:pStyle w:val="Heading3"/>
        <w:spacing w:before="280" w:after="200"/>
        <w:jc w:val="left"/>
      </w:pPr>
      <w:r>
        <w:rPr>
          <w:rFonts w:ascii="DejaVu Sans" w:hAnsi="DejaVu Sans"/>
          <w:b/>
          <w:i w:val="0"/>
          <w:color w:val="558B2F"/>
          <w:sz w:val="36"/>
        </w:rPr>
        <w:t>4.6.1 Risk Mitigation and Financial Resilience</w:t>
      </w:r>
    </w:p>
    <w:p>
      <w:pPr>
        <w:spacing w:before="0" w:after="240"/>
        <w:jc w:val="both"/>
      </w:pPr>
      <w:r>
        <w:rPr>
          <w:rFonts w:ascii="DejaVu Sans" w:hAnsi="DejaVu Sans"/>
          <w:b w:val="0"/>
          <w:i w:val="0"/>
          <w:color w:val="2D5016"/>
          <w:sz w:val="22"/>
        </w:rPr>
        <w:t>Our financial planning incorporates comprehensive risk mitigation strategies to ensure resilience across various market scenarios:</w:t>
      </w:r>
    </w:p>
    <w:p>
      <w:pPr>
        <w:pStyle w:val="ListBullet"/>
        <w:ind w:left="360" w:hanging="360"/>
      </w:pPr>
      <w:r/>
      <w:r>
        <w:rPr>
          <w:rFonts w:ascii="DejaVu Sans" w:hAnsi="DejaVu Sans"/>
          <w:b/>
          <w:i w:val="0"/>
          <w:color w:val="2D5016"/>
          <w:sz w:val="22"/>
        </w:rPr>
        <w:t>Material price volatility:</w:t>
      </w:r>
      <w:r>
        <w:rPr>
          <w:rFonts w:ascii="DejaVu Sans" w:hAnsi="DejaVu Sans"/>
          <w:b w:val="0"/>
          <w:i w:val="0"/>
          <w:color w:val="2D5016"/>
          <w:sz w:val="22"/>
        </w:rPr>
        <w:t xml:space="preserve"> Diversified supplier network and strategic inventory management</w:t>
      </w:r>
    </w:p>
    <w:p>
      <w:pPr>
        <w:pStyle w:val="ListBullet"/>
        <w:ind w:left="360" w:hanging="360"/>
      </w:pPr>
      <w:r/>
      <w:r>
        <w:rPr>
          <w:rFonts w:ascii="DejaVu Sans" w:hAnsi="DejaVu Sans"/>
          <w:b/>
          <w:i w:val="0"/>
          <w:color w:val="2D5016"/>
          <w:sz w:val="22"/>
        </w:rPr>
        <w:t>Market adoption pace:</w:t>
      </w:r>
      <w:r>
        <w:rPr>
          <w:rFonts w:ascii="DejaVu Sans" w:hAnsi="DejaVu Sans"/>
          <w:b w:val="0"/>
          <w:i w:val="0"/>
          <w:color w:val="2D5016"/>
          <w:sz w:val="22"/>
        </w:rPr>
        <w:t xml:space="preserve"> Tiered product offerings serving multiple market segments simultaneously</w:t>
      </w:r>
    </w:p>
    <w:p>
      <w:pPr>
        <w:pStyle w:val="ListBullet"/>
        <w:ind w:left="360" w:hanging="360"/>
      </w:pPr>
      <w:r/>
      <w:r>
        <w:rPr>
          <w:rFonts w:ascii="DejaVu Sans" w:hAnsi="DejaVu Sans"/>
          <w:b/>
          <w:i w:val="0"/>
          <w:color w:val="2D5016"/>
          <w:sz w:val="22"/>
        </w:rPr>
        <w:t>Regulatory changes:</w:t>
      </w:r>
      <w:r>
        <w:rPr>
          <w:rFonts w:ascii="DejaVu Sans" w:hAnsi="DejaVu Sans"/>
          <w:b w:val="0"/>
          <w:i w:val="0"/>
          <w:color w:val="2D5016"/>
          <w:sz w:val="22"/>
        </w:rPr>
        <w:t xml:space="preserve"> Proactive compliance positioning ahead of requirements</w:t>
      </w:r>
    </w:p>
    <w:p>
      <w:pPr>
        <w:pStyle w:val="ListBullet"/>
        <w:ind w:left="360" w:hanging="360"/>
      </w:pPr>
      <w:r/>
      <w:r>
        <w:rPr>
          <w:rFonts w:ascii="DejaVu Sans" w:hAnsi="DejaVu Sans"/>
          <w:b/>
          <w:i w:val="0"/>
          <w:color w:val="2D5016"/>
          <w:sz w:val="22"/>
        </w:rPr>
        <w:t>Competition:</w:t>
      </w:r>
      <w:r>
        <w:rPr>
          <w:rFonts w:ascii="DejaVu Sans" w:hAnsi="DejaVu Sans"/>
          <w:b w:val="0"/>
          <w:i w:val="0"/>
          <w:color w:val="2D5016"/>
          <w:sz w:val="22"/>
        </w:rPr>
        <w:t xml:space="preserve"> Continuous innovation and strong customer relationships creating switching costs</w:t>
      </w:r>
    </w:p>
    <w:p>
      <w:pPr>
        <w:pStyle w:val="ListBullet"/>
        <w:ind w:left="360" w:hanging="360"/>
      </w:pPr>
      <w:r/>
      <w:r>
        <w:rPr>
          <w:rFonts w:ascii="DejaVu Sans" w:hAnsi="DejaVu Sans"/>
          <w:b/>
          <w:i w:val="0"/>
          <w:color w:val="2D5016"/>
          <w:sz w:val="22"/>
        </w:rPr>
        <w:t>Economic cycles:</w:t>
      </w:r>
      <w:r>
        <w:rPr>
          <w:rFonts w:ascii="DejaVu Sans" w:hAnsi="DejaVu Sans"/>
          <w:b w:val="0"/>
          <w:i w:val="0"/>
          <w:color w:val="2D5016"/>
          <w:sz w:val="22"/>
        </w:rPr>
        <w:t xml:space="preserve"> Focus on necessity goods sectors less sensitive to economic downturns</w:t>
      </w:r>
    </w:p>
    <w:p>
      <w:pPr>
        <w:spacing w:before="0" w:after="240"/>
        <w:jc w:val="both"/>
      </w:pPr>
      <w:r>
        <w:rPr>
          <w:rFonts w:ascii="DejaVu Sans" w:hAnsi="DejaVu Sans"/>
          <w:b w:val="0"/>
          <w:i w:val="0"/>
          <w:color w:val="2D5016"/>
          <w:sz w:val="22"/>
        </w:rPr>
        <w:t>This comprehensive financial framework, grounded in current industry research and validated by market trends, demonstrates the viability and growth potential of sustainable packaging as both an environmental imperative and a profitable business opportunity.</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DejaVu Sans" w:hAnsi="DejaVu Sans"/>
        <w:b w:val="0"/>
        <w:i w:val="0"/>
        <w:color w:val="2D5016"/>
        <w:sz w:val="22"/>
      </w:rPr>
      <w:t xml:space="preserve">Page </w:t>
    </w:r>
    <w:r>
      <w:rPr>
        <w:rFonts w:ascii="DejaVu Sans" w:hAnsi="DejaVu Sans"/>
        <w:sz w:val="22"/>
      </w:rPr>
      <w:fldChar w:fldCharType="begin"/>
      <w:instrText xml:space="preserve">PAGE</w:instrText>
      <w:fldChar w:fldCharType="end"/>
    </w:r>
    <w:r>
      <w:rPr>
        <w:b w:val="0"/>
        <w:i w:val="0"/>
        <w:sz w:val="22"/>
      </w:rPr>
      <w:t xml:space="preserve"> of </w:t>
    </w:r>
    <w:r>
      <w:rPr>
        <w:rFonts w:ascii="DejaVu Sans" w:hAnsi="DejaVu Sans"/>
        <w:sz w:val="22"/>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819"/>
      <w:gridCol w:w="0"/>
      <w:gridCol w:w="4819"/>
    </w:tblGrid>
    <w:tr>
      <w:tc>
        <w:tcPr>
          <w:tcW w:type="dxa" w:w="3213"/>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jc w:val="left"/>
          </w:pPr>
          <w:r/>
          <w:r>
            <w:rPr>
              <w:rFonts w:ascii="DejaVu Sans" w:hAnsi="DejaVu Sans"/>
              <w:b w:val="0"/>
              <w:i w:val="0"/>
              <w:color w:val="2D5016"/>
              <w:sz w:val="22"/>
            </w:rPr>
            <w:t>Sustainability LLC</w:t>
          </w:r>
        </w:p>
      </w:tc>
      <w:tc>
        <w:tcPr>
          <w:tcW w:type="dxa" w:w="3213"/>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tc>
      <w:tc>
        <w:tcPr>
          <w:tcW w:type="dxa" w:w="3213"/>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jc w:val="right"/>
          </w:pPr>
          <w:r/>
          <w:r>
            <w:drawing>
              <wp:inline xmlns:a="http://schemas.openxmlformats.org/drawingml/2006/main" xmlns:pic="http://schemas.openxmlformats.org/drawingml/2006/picture">
                <wp:extent cx="406400" cy="406400"/>
                <wp:docPr id="1" name="Picture 1"/>
                <wp:cNvGraphicFramePr>
                  <a:graphicFrameLocks noChangeAspect="1"/>
                </wp:cNvGraphicFramePr>
                <a:graphic>
                  <a:graphicData uri="http://schemas.openxmlformats.org/drawingml/2006/picture">
                    <pic:pic>
                      <pic:nvPicPr>
                        <pic:cNvPr id="0" name="tmpld1jmyr2.png"/>
                        <pic:cNvPicPr/>
                      </pic:nvPicPr>
                      <pic:blipFill>
                        <a:blip r:embed="rId1"/>
                        <a:stretch>
                          <a:fillRect/>
                        </a:stretch>
                      </pic:blipFill>
                      <pic:spPr>
                        <a:xfrm>
                          <a:off x="0" y="0"/>
                          <a:ext cx="406400" cy="4064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1">
      <w:startOverride w:val="1"/>
    </w:lvlOverride>
  </w:num>
  <w:num w:numId="15">
    <w:abstractNumId w:val="7"/>
    <w:lvlOverride w:ilvl="1">
      <w:startOverride w:val="1"/>
    </w:lvlOverride>
  </w:num>
  <w:num w:numId="16">
    <w:abstractNumId w:val="7"/>
    <w:lvlOverride w:ilvl="1">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