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5C79" w14:textId="4A5D3F94" w:rsidR="00823CCA" w:rsidRPr="00823CCA" w:rsidRDefault="00823CCA" w:rsidP="00823CCA">
      <w:pPr>
        <w:rPr>
          <w:b/>
          <w:bCs/>
          <w:sz w:val="36"/>
          <w:szCs w:val="36"/>
        </w:rPr>
      </w:pPr>
      <w:r w:rsidRPr="00823CCA">
        <w:rPr>
          <w:b/>
          <w:bCs/>
          <w:sz w:val="36"/>
          <w:szCs w:val="36"/>
        </w:rPr>
        <w:t>Project 1, PSL Fall 2024</w:t>
      </w:r>
    </w:p>
    <w:p w14:paraId="667004AB" w14:textId="33F53DBD" w:rsidR="00823CCA" w:rsidRDefault="00823CCA" w:rsidP="00823CCA">
      <w:r>
        <w:t xml:space="preserve">Olivia </w:t>
      </w:r>
      <w:r w:rsidRPr="00823CCA">
        <w:t>Dalglish</w:t>
      </w:r>
      <w:r w:rsidR="00676B31">
        <w:t xml:space="preserve"> (od4)</w:t>
      </w:r>
      <w:r w:rsidRPr="00823CCA">
        <w:t xml:space="preserve"> and Arindam Saha</w:t>
      </w:r>
      <w:r w:rsidR="00676B31">
        <w:t xml:space="preserve"> (saha2)</w:t>
      </w:r>
    </w:p>
    <w:p w14:paraId="37696EB1" w14:textId="77777777" w:rsidR="00DA7735" w:rsidRDefault="00DA7735" w:rsidP="00823CCA"/>
    <w:p w14:paraId="39D71DAD" w14:textId="1DCB13A2" w:rsidR="00DA7735" w:rsidRPr="00E045F8" w:rsidRDefault="00DA7735" w:rsidP="00823CCA">
      <w:pPr>
        <w:rPr>
          <w:b/>
          <w:bCs/>
        </w:rPr>
      </w:pPr>
      <w:r w:rsidRPr="00E045F8">
        <w:rPr>
          <w:b/>
          <w:bCs/>
        </w:rPr>
        <w:t>Contribution:</w:t>
      </w:r>
    </w:p>
    <w:p w14:paraId="77A0B132" w14:textId="6E507FBE" w:rsidR="00DA7735" w:rsidRDefault="00DA7735" w:rsidP="00823CCA">
      <w:r>
        <w:t xml:space="preserve">Olivia: Primarily worked on the linear </w:t>
      </w:r>
      <w:proofErr w:type="gramStart"/>
      <w:r>
        <w:t>model</w:t>
      </w:r>
      <w:proofErr w:type="gramEnd"/>
    </w:p>
    <w:p w14:paraId="6B640237" w14:textId="57CBECCC" w:rsidR="00DA7735" w:rsidRDefault="00DA7735" w:rsidP="00823CCA">
      <w:r>
        <w:t xml:space="preserve">Arindam: Primarily worked on the tree </w:t>
      </w:r>
      <w:proofErr w:type="gramStart"/>
      <w:r>
        <w:t>model</w:t>
      </w:r>
      <w:proofErr w:type="gramEnd"/>
    </w:p>
    <w:p w14:paraId="7FC37DD2" w14:textId="1B3C73FF" w:rsidR="00DA7735" w:rsidRPr="00823CCA" w:rsidRDefault="00DA7735" w:rsidP="00823CCA">
      <w:r>
        <w:t xml:space="preserve">We brainstormed various ideas </w:t>
      </w:r>
      <w:r w:rsidR="007B5971">
        <w:t xml:space="preserve">regarding both models </w:t>
      </w:r>
      <w:r w:rsidR="00402995">
        <w:t>to</w:t>
      </w:r>
      <w:r>
        <w:t xml:space="preserve"> </w:t>
      </w:r>
      <w:r w:rsidR="0025670D">
        <w:t>achieve the</w:t>
      </w:r>
      <w:r w:rsidR="00447E4A">
        <w:t xml:space="preserve"> </w:t>
      </w:r>
      <w:r>
        <w:t>benchmark.</w:t>
      </w:r>
    </w:p>
    <w:p w14:paraId="7F911FD3" w14:textId="77777777" w:rsidR="00823CCA" w:rsidRDefault="00823CCA" w:rsidP="00823CCA"/>
    <w:p w14:paraId="340A33FC" w14:textId="57809C93" w:rsidR="00823CCA" w:rsidRPr="007C271D" w:rsidRDefault="00823CCA" w:rsidP="00823CCA">
      <w:pPr>
        <w:rPr>
          <w:rFonts w:cs="Arial"/>
        </w:rPr>
      </w:pPr>
      <w:r w:rsidRPr="007C271D">
        <w:rPr>
          <w:rFonts w:cs="Arial"/>
        </w:rPr>
        <w:t xml:space="preserve">The goal of this project is to predict the sale price from homes in Ames, Iowa. The dataset </w:t>
      </w:r>
      <w:r w:rsidR="008F5131" w:rsidRPr="007C271D">
        <w:rPr>
          <w:rFonts w:cs="Arial"/>
        </w:rPr>
        <w:t xml:space="preserve">contains 81 variables on the homes in the dataset, </w:t>
      </w:r>
      <w:r w:rsidR="00346572">
        <w:rPr>
          <w:rFonts w:cs="Arial"/>
        </w:rPr>
        <w:t xml:space="preserve">which was split into 10 separate folds. The folds were effectively treated as individual datasets, and preprocessing steps were applied individually to the folds. </w:t>
      </w:r>
      <w:r w:rsidRPr="007C271D">
        <w:rPr>
          <w:rFonts w:cs="Arial"/>
        </w:rPr>
        <w:t xml:space="preserve">This report outlines the key steps taken in preprocessing the dataset and implementing </w:t>
      </w:r>
      <w:r w:rsidR="008F5131" w:rsidRPr="007C271D">
        <w:rPr>
          <w:rFonts w:cs="Arial"/>
        </w:rPr>
        <w:t>predictive</w:t>
      </w:r>
      <w:r w:rsidRPr="007C271D">
        <w:rPr>
          <w:rFonts w:cs="Arial"/>
        </w:rPr>
        <w:t xml:space="preserve"> models. </w:t>
      </w:r>
    </w:p>
    <w:p w14:paraId="08DA7B59" w14:textId="77777777" w:rsidR="00823CCA" w:rsidRPr="007C271D" w:rsidRDefault="00823CCA" w:rsidP="00823CCA">
      <w:pPr>
        <w:rPr>
          <w:rFonts w:cs="Arial"/>
          <w:b/>
          <w:bCs/>
        </w:rPr>
      </w:pPr>
    </w:p>
    <w:p w14:paraId="5DC07B92" w14:textId="4FCB0D38" w:rsidR="00346572" w:rsidRPr="00346572" w:rsidRDefault="00830CD7" w:rsidP="00346572">
      <w:pPr>
        <w:rPr>
          <w:rFonts w:cs="Arial"/>
        </w:rPr>
      </w:pPr>
      <w:r w:rsidRPr="007C271D">
        <w:rPr>
          <w:rFonts w:cs="Arial"/>
          <w:b/>
          <w:bCs/>
        </w:rPr>
        <w:t>I</w:t>
      </w:r>
      <w:r w:rsidR="00823CCA" w:rsidRPr="007C271D">
        <w:rPr>
          <w:rFonts w:cs="Arial"/>
          <w:b/>
          <w:bCs/>
        </w:rPr>
        <w:t xml:space="preserve">. </w:t>
      </w:r>
      <w:r w:rsidRPr="007C271D">
        <w:rPr>
          <w:rFonts w:cs="Arial"/>
          <w:b/>
          <w:bCs/>
        </w:rPr>
        <w:t>Technical Details</w:t>
      </w:r>
      <w:r w:rsidRPr="007C271D">
        <w:rPr>
          <w:rFonts w:cs="Arial"/>
          <w:b/>
          <w:bCs/>
        </w:rPr>
        <w:br/>
      </w:r>
      <w:r w:rsidR="00E777DB" w:rsidRPr="007C271D">
        <w:rPr>
          <w:rFonts w:cs="Arial"/>
        </w:rPr>
        <w:br/>
      </w:r>
      <w:r w:rsidR="00E777DB" w:rsidRPr="007C271D">
        <w:rPr>
          <w:rFonts w:cs="Arial"/>
          <w:b/>
          <w:bCs/>
        </w:rPr>
        <w:t>a) Data Preprocessing:</w:t>
      </w:r>
      <w:r w:rsidR="00E777DB" w:rsidRPr="007C271D">
        <w:rPr>
          <w:rFonts w:cs="Arial"/>
        </w:rPr>
        <w:t xml:space="preserve"> </w:t>
      </w:r>
      <w:r w:rsidR="00346572" w:rsidRPr="00346572">
        <w:rPr>
          <w:rFonts w:cs="Arial"/>
        </w:rPr>
        <w:t>This section describes the data preprocessing steps applied prior to fitting the model. The same processing was applied to both the training and test datasets. For the training data, we excluded features from the dataset that offered no benefit to the model, as a means of simplifying the model and reducing noise. Naturally, we excluded "PID" (a unique identifier for each property) and "</w:t>
      </w:r>
      <w:proofErr w:type="spellStart"/>
      <w:r w:rsidR="00346572" w:rsidRPr="00346572">
        <w:rPr>
          <w:rFonts w:cs="Arial"/>
        </w:rPr>
        <w:t>Sale_Price</w:t>
      </w:r>
      <w:proofErr w:type="spellEnd"/>
      <w:r w:rsidR="00346572" w:rsidRPr="00346572">
        <w:rPr>
          <w:rFonts w:cs="Arial"/>
        </w:rPr>
        <w:t>" (the target variable) from the training data, along with "Street", "Utilities", "Condition_2", "</w:t>
      </w:r>
      <w:proofErr w:type="spellStart"/>
      <w:r w:rsidR="00346572" w:rsidRPr="00346572">
        <w:rPr>
          <w:rFonts w:cs="Arial"/>
        </w:rPr>
        <w:t>Roof_Matl</w:t>
      </w:r>
      <w:proofErr w:type="spellEnd"/>
      <w:r w:rsidR="00346572" w:rsidRPr="00346572">
        <w:rPr>
          <w:rFonts w:cs="Arial"/>
        </w:rPr>
        <w:t>", "Heating", "</w:t>
      </w:r>
      <w:proofErr w:type="spellStart"/>
      <w:r w:rsidR="00346572" w:rsidRPr="00346572">
        <w:rPr>
          <w:rFonts w:cs="Arial"/>
        </w:rPr>
        <w:t>Pool_QC</w:t>
      </w:r>
      <w:proofErr w:type="spellEnd"/>
      <w:r w:rsidR="00346572" w:rsidRPr="00346572">
        <w:rPr>
          <w:rFonts w:cs="Arial"/>
        </w:rPr>
        <w:t>", "</w:t>
      </w:r>
      <w:proofErr w:type="spellStart"/>
      <w:r w:rsidR="00346572" w:rsidRPr="00346572">
        <w:rPr>
          <w:rFonts w:cs="Arial"/>
        </w:rPr>
        <w:t>Misc_Feature</w:t>
      </w:r>
      <w:proofErr w:type="spellEnd"/>
      <w:r w:rsidR="00346572" w:rsidRPr="00346572">
        <w:rPr>
          <w:rFonts w:cs="Arial"/>
        </w:rPr>
        <w:t>", "</w:t>
      </w:r>
      <w:proofErr w:type="spellStart"/>
      <w:r w:rsidR="00346572" w:rsidRPr="00346572">
        <w:rPr>
          <w:rFonts w:cs="Arial"/>
        </w:rPr>
        <w:t>Low_Qual_Fin_SF</w:t>
      </w:r>
      <w:proofErr w:type="spellEnd"/>
      <w:r w:rsidR="00346572" w:rsidRPr="00346572">
        <w:rPr>
          <w:rFonts w:cs="Arial"/>
        </w:rPr>
        <w:t>", "</w:t>
      </w:r>
      <w:proofErr w:type="spellStart"/>
      <w:r w:rsidR="00346572" w:rsidRPr="00346572">
        <w:rPr>
          <w:rFonts w:cs="Arial"/>
        </w:rPr>
        <w:t>Pool_Area</w:t>
      </w:r>
      <w:proofErr w:type="spellEnd"/>
      <w:r w:rsidR="00346572" w:rsidRPr="00346572">
        <w:rPr>
          <w:rFonts w:cs="Arial"/>
        </w:rPr>
        <w:t>", "Longitude", and "Latitude." These features either provided little variance or were deemed irrelevant based on exploratory analysis. Categorical features, i.e., features that are non-numeric, were encoded using one-hot encoding</w:t>
      </w:r>
      <w:r w:rsidR="003C6A3C">
        <w:rPr>
          <w:rFonts w:cs="Arial"/>
        </w:rPr>
        <w:t xml:space="preserve"> (with a minimum frequency of 0.01 to minimize the addition of columns that are effectively noise)</w:t>
      </w:r>
      <w:r w:rsidR="00346572" w:rsidRPr="00346572">
        <w:rPr>
          <w:rFonts w:cs="Arial"/>
        </w:rPr>
        <w:t xml:space="preserve">, while numerical features were standardized using </w:t>
      </w:r>
      <w:proofErr w:type="spellStart"/>
      <w:r w:rsidR="00346572" w:rsidRPr="00346572">
        <w:rPr>
          <w:rFonts w:cs="Arial"/>
        </w:rPr>
        <w:t>StandardScaler</w:t>
      </w:r>
      <w:proofErr w:type="spellEnd"/>
      <w:r w:rsidR="00346572" w:rsidRPr="00346572">
        <w:rPr>
          <w:rFonts w:cs="Arial"/>
        </w:rPr>
        <w:t>, which ensures each feature has a mean of zero and unit variance. This standardization is critical for linear models, which are sensitive to feature scaling. Missing values in the "</w:t>
      </w:r>
      <w:proofErr w:type="spellStart"/>
      <w:r w:rsidR="00346572" w:rsidRPr="00346572">
        <w:rPr>
          <w:rFonts w:cs="Arial"/>
        </w:rPr>
        <w:t>Garage_Yr_Blt</w:t>
      </w:r>
      <w:proofErr w:type="spellEnd"/>
      <w:r w:rsidR="00346572" w:rsidRPr="00346572">
        <w:rPr>
          <w:rFonts w:cs="Arial"/>
        </w:rPr>
        <w:t>" feature were imputed with zeros, assuming the absence of a garage. Additionally, columns such as "</w:t>
      </w:r>
      <w:proofErr w:type="spellStart"/>
      <w:r w:rsidR="00346572" w:rsidRPr="00346572">
        <w:rPr>
          <w:rFonts w:cs="Arial"/>
        </w:rPr>
        <w:t>Lot_Frontage</w:t>
      </w:r>
      <w:proofErr w:type="spellEnd"/>
      <w:r w:rsidR="00346572" w:rsidRPr="00346572">
        <w:rPr>
          <w:rFonts w:cs="Arial"/>
        </w:rPr>
        <w:t>", "</w:t>
      </w:r>
      <w:proofErr w:type="spellStart"/>
      <w:r w:rsidR="00346572" w:rsidRPr="00346572">
        <w:rPr>
          <w:rFonts w:cs="Arial"/>
        </w:rPr>
        <w:t>Lot_Area</w:t>
      </w:r>
      <w:proofErr w:type="spellEnd"/>
      <w:r w:rsidR="00346572" w:rsidRPr="00346572">
        <w:rPr>
          <w:rFonts w:cs="Arial"/>
        </w:rPr>
        <w:t>", "</w:t>
      </w:r>
      <w:proofErr w:type="spellStart"/>
      <w:r w:rsidR="00346572" w:rsidRPr="00346572">
        <w:rPr>
          <w:rFonts w:cs="Arial"/>
        </w:rPr>
        <w:t>Mas_Vnr_Area</w:t>
      </w:r>
      <w:proofErr w:type="spellEnd"/>
      <w:r w:rsidR="00346572" w:rsidRPr="00346572">
        <w:rPr>
          <w:rFonts w:cs="Arial"/>
        </w:rPr>
        <w:t>", "BsmtFin_SF_2", "</w:t>
      </w:r>
      <w:proofErr w:type="spellStart"/>
      <w:r w:rsidR="00346572" w:rsidRPr="00346572">
        <w:rPr>
          <w:rFonts w:cs="Arial"/>
        </w:rPr>
        <w:t>Bsmt_Unf_SF</w:t>
      </w:r>
      <w:proofErr w:type="spellEnd"/>
      <w:r w:rsidR="00346572" w:rsidRPr="00346572">
        <w:rPr>
          <w:rFonts w:cs="Arial"/>
        </w:rPr>
        <w:t>", "</w:t>
      </w:r>
      <w:proofErr w:type="spellStart"/>
      <w:r w:rsidR="00346572" w:rsidRPr="00346572">
        <w:rPr>
          <w:rFonts w:cs="Arial"/>
        </w:rPr>
        <w:t>Total_Bsmt_SF</w:t>
      </w:r>
      <w:proofErr w:type="spellEnd"/>
      <w:r w:rsidR="00346572" w:rsidRPr="00346572">
        <w:rPr>
          <w:rFonts w:cs="Arial"/>
        </w:rPr>
        <w:t>", "</w:t>
      </w:r>
      <w:proofErr w:type="spellStart"/>
      <w:r w:rsidR="00346572" w:rsidRPr="00346572">
        <w:rPr>
          <w:rFonts w:cs="Arial"/>
        </w:rPr>
        <w:t>Second_Flr_SF</w:t>
      </w:r>
      <w:proofErr w:type="spellEnd"/>
      <w:r w:rsidR="00346572" w:rsidRPr="00346572">
        <w:rPr>
          <w:rFonts w:cs="Arial"/>
        </w:rPr>
        <w:t>", "</w:t>
      </w:r>
      <w:proofErr w:type="spellStart"/>
      <w:r w:rsidR="00346572" w:rsidRPr="00346572">
        <w:rPr>
          <w:rFonts w:cs="Arial"/>
        </w:rPr>
        <w:t>First_Flr_SF</w:t>
      </w:r>
      <w:proofErr w:type="spellEnd"/>
      <w:r w:rsidR="00346572" w:rsidRPr="00346572">
        <w:rPr>
          <w:rFonts w:cs="Arial"/>
        </w:rPr>
        <w:t>", "</w:t>
      </w:r>
      <w:proofErr w:type="spellStart"/>
      <w:r w:rsidR="00346572" w:rsidRPr="00346572">
        <w:rPr>
          <w:rFonts w:cs="Arial"/>
        </w:rPr>
        <w:t>Gr_Liv_Area</w:t>
      </w:r>
      <w:proofErr w:type="spellEnd"/>
      <w:r w:rsidR="00346572" w:rsidRPr="00346572">
        <w:rPr>
          <w:rFonts w:cs="Arial"/>
        </w:rPr>
        <w:t>", "</w:t>
      </w:r>
      <w:proofErr w:type="spellStart"/>
      <w:r w:rsidR="00346572" w:rsidRPr="00346572">
        <w:rPr>
          <w:rFonts w:cs="Arial"/>
        </w:rPr>
        <w:t>Garage_Area</w:t>
      </w:r>
      <w:proofErr w:type="spellEnd"/>
      <w:r w:rsidR="00346572" w:rsidRPr="00346572">
        <w:rPr>
          <w:rFonts w:cs="Arial"/>
        </w:rPr>
        <w:t>", "</w:t>
      </w:r>
      <w:proofErr w:type="spellStart"/>
      <w:r w:rsidR="00346572" w:rsidRPr="00346572">
        <w:rPr>
          <w:rFonts w:cs="Arial"/>
        </w:rPr>
        <w:t>Wood_Deck_SF</w:t>
      </w:r>
      <w:proofErr w:type="spellEnd"/>
      <w:r w:rsidR="00346572" w:rsidRPr="00346572">
        <w:rPr>
          <w:rFonts w:cs="Arial"/>
        </w:rPr>
        <w:t>", "</w:t>
      </w:r>
      <w:proofErr w:type="spellStart"/>
      <w:r w:rsidR="00346572" w:rsidRPr="00346572">
        <w:rPr>
          <w:rFonts w:cs="Arial"/>
        </w:rPr>
        <w:t>Open_Porch_SF</w:t>
      </w:r>
      <w:proofErr w:type="spellEnd"/>
      <w:r w:rsidR="00346572" w:rsidRPr="00346572">
        <w:rPr>
          <w:rFonts w:cs="Arial"/>
        </w:rPr>
        <w:t>", "</w:t>
      </w:r>
      <w:proofErr w:type="spellStart"/>
      <w:r w:rsidR="00346572" w:rsidRPr="00346572">
        <w:rPr>
          <w:rFonts w:cs="Arial"/>
        </w:rPr>
        <w:t>Enclosed_Porch</w:t>
      </w:r>
      <w:proofErr w:type="spellEnd"/>
      <w:r w:rsidR="00346572" w:rsidRPr="00346572">
        <w:rPr>
          <w:rFonts w:cs="Arial"/>
        </w:rPr>
        <w:t>", "</w:t>
      </w:r>
      <w:proofErr w:type="spellStart"/>
      <w:r w:rsidR="00346572" w:rsidRPr="00346572">
        <w:rPr>
          <w:rFonts w:cs="Arial"/>
        </w:rPr>
        <w:t>Three_season_porch</w:t>
      </w:r>
      <w:proofErr w:type="spellEnd"/>
      <w:r w:rsidR="00346572" w:rsidRPr="00346572">
        <w:rPr>
          <w:rFonts w:cs="Arial"/>
        </w:rPr>
        <w:t>", "</w:t>
      </w:r>
      <w:proofErr w:type="spellStart"/>
      <w:r w:rsidR="00346572" w:rsidRPr="00346572">
        <w:rPr>
          <w:rFonts w:cs="Arial"/>
        </w:rPr>
        <w:t>Screen_Porch</w:t>
      </w:r>
      <w:proofErr w:type="spellEnd"/>
      <w:r w:rsidR="00346572" w:rsidRPr="00346572">
        <w:rPr>
          <w:rFonts w:cs="Arial"/>
        </w:rPr>
        <w:t>", and "</w:t>
      </w:r>
      <w:proofErr w:type="spellStart"/>
      <w:r w:rsidR="00346572" w:rsidRPr="00346572">
        <w:rPr>
          <w:rFonts w:cs="Arial"/>
        </w:rPr>
        <w:t>Misc_Val</w:t>
      </w:r>
      <w:proofErr w:type="spellEnd"/>
      <w:r w:rsidR="00346572" w:rsidRPr="00346572">
        <w:rPr>
          <w:rFonts w:cs="Arial"/>
        </w:rPr>
        <w:t xml:space="preserve">" were </w:t>
      </w:r>
      <w:proofErr w:type="spellStart"/>
      <w:r w:rsidR="00346572" w:rsidRPr="00346572">
        <w:rPr>
          <w:rFonts w:cs="Arial"/>
        </w:rPr>
        <w:t>winsorized</w:t>
      </w:r>
      <w:proofErr w:type="spellEnd"/>
      <w:r w:rsidR="00346572" w:rsidRPr="00346572">
        <w:rPr>
          <w:rFonts w:cs="Arial"/>
        </w:rPr>
        <w:t xml:space="preserve"> to cap extreme outliers at the 95th percentile. For capped columns, values in the test dataset were limited to the maximum values observed in the training data.</w:t>
      </w:r>
    </w:p>
    <w:p w14:paraId="3C517258" w14:textId="77777777" w:rsidR="00346572" w:rsidRPr="00346572" w:rsidRDefault="00346572" w:rsidP="00346572">
      <w:pPr>
        <w:rPr>
          <w:rFonts w:cs="Arial"/>
        </w:rPr>
      </w:pPr>
      <w:r w:rsidRPr="00346572">
        <w:rPr>
          <w:rFonts w:cs="Arial"/>
        </w:rPr>
        <w:t>For the test data, we mirrored the preprocessing steps performed on the training data to ensure consistency. Additionally, a log transformation was applied to the target variable ("</w:t>
      </w:r>
      <w:proofErr w:type="spellStart"/>
      <w:r w:rsidRPr="00346572">
        <w:rPr>
          <w:rFonts w:cs="Arial"/>
        </w:rPr>
        <w:t>Sale_Price</w:t>
      </w:r>
      <w:proofErr w:type="spellEnd"/>
      <w:r w:rsidRPr="00346572">
        <w:rPr>
          <w:rFonts w:cs="Arial"/>
        </w:rPr>
        <w:t>") to account for its skewed distribution, a common practice in regression tasks involving price predictions.</w:t>
      </w:r>
    </w:p>
    <w:p w14:paraId="64C7A029" w14:textId="1B9C7FCD" w:rsidR="007C271D" w:rsidRPr="007C271D" w:rsidRDefault="007C271D" w:rsidP="00346572">
      <w:pPr>
        <w:rPr>
          <w:rFonts w:cs="Arial"/>
        </w:rPr>
      </w:pPr>
    </w:p>
    <w:p w14:paraId="63A610E8" w14:textId="2A184A9B" w:rsidR="00E777DB" w:rsidRPr="007C271D" w:rsidRDefault="00E777DB" w:rsidP="00830CD7">
      <w:pPr>
        <w:rPr>
          <w:rFonts w:cs="Arial"/>
        </w:rPr>
      </w:pPr>
      <w:r w:rsidRPr="007C271D">
        <w:rPr>
          <w:rFonts w:cs="Arial"/>
          <w:b/>
          <w:bCs/>
        </w:rPr>
        <w:t xml:space="preserve">b) Modeling: </w:t>
      </w:r>
      <w:r w:rsidRPr="007C271D">
        <w:rPr>
          <w:rFonts w:cs="Arial"/>
        </w:rPr>
        <w:t xml:space="preserve">We fit two models, a linear model and a tree model. For the linear model, we observed the best results with </w:t>
      </w:r>
      <w:proofErr w:type="spellStart"/>
      <w:r w:rsidRPr="007C271D">
        <w:rPr>
          <w:rFonts w:cs="Arial"/>
        </w:rPr>
        <w:t>sklearn’s</w:t>
      </w:r>
      <w:proofErr w:type="spellEnd"/>
      <w:r w:rsidRPr="007C271D">
        <w:rPr>
          <w:rFonts w:cs="Arial"/>
        </w:rPr>
        <w:t xml:space="preserve"> </w:t>
      </w:r>
      <w:proofErr w:type="spellStart"/>
      <w:r w:rsidRPr="007C271D">
        <w:rPr>
          <w:rFonts w:cs="Arial"/>
        </w:rPr>
        <w:t>ElasticNetCV</w:t>
      </w:r>
      <w:proofErr w:type="spellEnd"/>
      <w:r w:rsidR="000059BB">
        <w:rPr>
          <w:rFonts w:cs="Arial"/>
        </w:rPr>
        <w:t xml:space="preserve"> (default settings)</w:t>
      </w:r>
      <w:r w:rsidR="007C271D" w:rsidRPr="007C271D">
        <w:rPr>
          <w:rFonts w:cs="Arial"/>
        </w:rPr>
        <w:t xml:space="preserve">, which combines </w:t>
      </w:r>
      <w:r w:rsidR="007C271D" w:rsidRPr="007C271D">
        <w:rPr>
          <w:rFonts w:cs="Arial"/>
        </w:rPr>
        <w:lastRenderedPageBreak/>
        <w:t xml:space="preserve">the strengths of Lasso and Ridge regression. This hybrid approach is ideal because it performs both feature selection (via Lasso’s L1 regularization) and reduces multicollinearity (via Ridge’s L2 regularization). </w:t>
      </w:r>
      <w:proofErr w:type="spellStart"/>
      <w:r w:rsidR="007C271D" w:rsidRPr="007C271D">
        <w:rPr>
          <w:rFonts w:cs="Arial"/>
        </w:rPr>
        <w:t>ElasticNetCV</w:t>
      </w:r>
      <w:proofErr w:type="spellEnd"/>
      <w:r w:rsidR="007C271D" w:rsidRPr="007C271D">
        <w:rPr>
          <w:rFonts w:cs="Arial"/>
        </w:rPr>
        <w:t xml:space="preserve"> automatically tunes the hyperparameters through cross-validation, selecting the best alpha (penalty term) to balance model complexity and accuracy</w:t>
      </w:r>
      <w:r w:rsidRPr="007C271D">
        <w:rPr>
          <w:rFonts w:cs="Arial"/>
        </w:rPr>
        <w:t xml:space="preserve">. For the tree model, we used the </w:t>
      </w:r>
      <w:proofErr w:type="spellStart"/>
      <w:r w:rsidRPr="007C271D">
        <w:rPr>
          <w:rFonts w:cs="Arial"/>
        </w:rPr>
        <w:t>XGBRegressor</w:t>
      </w:r>
      <w:proofErr w:type="spellEnd"/>
      <w:r w:rsidRPr="007C271D">
        <w:rPr>
          <w:rFonts w:cs="Arial"/>
        </w:rPr>
        <w:t xml:space="preserve"> model, </w:t>
      </w:r>
      <w:r w:rsidR="007C271D" w:rsidRPr="007C271D">
        <w:rPr>
          <w:rFonts w:cs="Arial"/>
        </w:rPr>
        <w:t>which leverages boosting to improve predictive performance. We configured the model with 5000 estimators (trees) and set the maximum tree depth to 6. Additionally, a learning rate of 0.05 was applied to control the contribution of each tree, preventing overfitting while improving generalization.</w:t>
      </w:r>
      <w:r w:rsidR="00EE3934">
        <w:rPr>
          <w:rFonts w:cs="Arial"/>
        </w:rPr>
        <w:t xml:space="preserve"> We also set subsample to 0.5 to prevent </w:t>
      </w:r>
      <w:proofErr w:type="spellStart"/>
      <w:r w:rsidR="00EE3934">
        <w:rPr>
          <w:rFonts w:cs="Arial"/>
        </w:rPr>
        <w:t>ovefitting</w:t>
      </w:r>
      <w:proofErr w:type="spellEnd"/>
      <w:r w:rsidR="00EE3934">
        <w:rPr>
          <w:rFonts w:cs="Arial"/>
        </w:rPr>
        <w:t>.</w:t>
      </w:r>
    </w:p>
    <w:p w14:paraId="1952F388" w14:textId="77777777" w:rsidR="007C271D" w:rsidRPr="007C271D" w:rsidRDefault="007C271D" w:rsidP="00830CD7">
      <w:pPr>
        <w:rPr>
          <w:rFonts w:cs="Arial"/>
          <w:b/>
          <w:bCs/>
        </w:rPr>
      </w:pPr>
    </w:p>
    <w:p w14:paraId="0596C0E9" w14:textId="5F5F03B5" w:rsidR="00E777DB" w:rsidRPr="007C271D" w:rsidRDefault="00E777DB" w:rsidP="00830CD7">
      <w:pPr>
        <w:rPr>
          <w:rFonts w:cs="Arial"/>
          <w:b/>
          <w:bCs/>
        </w:rPr>
      </w:pPr>
      <w:r w:rsidRPr="007C271D">
        <w:rPr>
          <w:rFonts w:cs="Arial"/>
          <w:b/>
          <w:bCs/>
        </w:rPr>
        <w:t>II. Performance Metrics</w:t>
      </w:r>
    </w:p>
    <w:p w14:paraId="607AF26A" w14:textId="77777777" w:rsidR="007A56AF" w:rsidRPr="007C271D" w:rsidRDefault="007A56AF" w:rsidP="00830CD7">
      <w:pPr>
        <w:rPr>
          <w:rFonts w:cs="Arial"/>
          <w:b/>
          <w:bCs/>
        </w:rPr>
      </w:pPr>
    </w:p>
    <w:p w14:paraId="372BC878" w14:textId="6BA2AABA" w:rsidR="007A56AF" w:rsidRPr="007C271D" w:rsidRDefault="007A56AF" w:rsidP="00830CD7">
      <w:pPr>
        <w:rPr>
          <w:rFonts w:cs="Arial"/>
        </w:rPr>
      </w:pPr>
      <w:r w:rsidRPr="007C271D">
        <w:rPr>
          <w:rFonts w:cs="Arial"/>
        </w:rPr>
        <w:t>The following table reports the root-mean squared error for each of the 10 folder</w:t>
      </w:r>
      <w:r w:rsidR="00761536">
        <w:rPr>
          <w:rFonts w:cs="Arial"/>
        </w:rPr>
        <w:t>s</w:t>
      </w:r>
      <w:r w:rsidRPr="007C271D">
        <w:rPr>
          <w:rFonts w:cs="Arial"/>
        </w:rPr>
        <w:t xml:space="preserve"> for both the linear and tree models. </w:t>
      </w:r>
    </w:p>
    <w:p w14:paraId="091A7B3D" w14:textId="77777777" w:rsidR="007A56AF" w:rsidRPr="007C271D" w:rsidRDefault="007A56AF" w:rsidP="00830CD7">
      <w:pPr>
        <w:rPr>
          <w:rFonts w:cs="Arial"/>
          <w:b/>
          <w:bCs/>
        </w:rPr>
      </w:pPr>
    </w:p>
    <w:tbl>
      <w:tblPr>
        <w:tblStyle w:val="TableGrid"/>
        <w:tblW w:w="0" w:type="auto"/>
        <w:tblLook w:val="04A0" w:firstRow="1" w:lastRow="0" w:firstColumn="1" w:lastColumn="0" w:noHBand="0" w:noVBand="1"/>
      </w:tblPr>
      <w:tblGrid>
        <w:gridCol w:w="2337"/>
        <w:gridCol w:w="2337"/>
        <w:gridCol w:w="2338"/>
        <w:gridCol w:w="2338"/>
      </w:tblGrid>
      <w:tr w:rsidR="000E3DAF" w:rsidRPr="007C271D" w14:paraId="555E5764" w14:textId="77777777" w:rsidTr="000E3DAF">
        <w:tc>
          <w:tcPr>
            <w:tcW w:w="2337" w:type="dxa"/>
          </w:tcPr>
          <w:p w14:paraId="75EE46C8" w14:textId="77777777" w:rsidR="000E3DAF" w:rsidRPr="007C271D" w:rsidRDefault="000E3DAF" w:rsidP="00830CD7">
            <w:pPr>
              <w:rPr>
                <w:rFonts w:cs="Arial"/>
                <w:b/>
                <w:bCs/>
              </w:rPr>
            </w:pPr>
          </w:p>
        </w:tc>
        <w:tc>
          <w:tcPr>
            <w:tcW w:w="2337" w:type="dxa"/>
          </w:tcPr>
          <w:p w14:paraId="511E5E8A" w14:textId="29485DFD" w:rsidR="000E3DAF" w:rsidRPr="007C271D" w:rsidRDefault="000E3DAF" w:rsidP="00830CD7">
            <w:pPr>
              <w:rPr>
                <w:rFonts w:cs="Arial"/>
                <w:b/>
                <w:bCs/>
              </w:rPr>
            </w:pPr>
            <w:r w:rsidRPr="007C271D">
              <w:rPr>
                <w:rFonts w:cs="Arial"/>
                <w:b/>
                <w:bCs/>
              </w:rPr>
              <w:t>Linear RMSE</w:t>
            </w:r>
          </w:p>
        </w:tc>
        <w:tc>
          <w:tcPr>
            <w:tcW w:w="2338" w:type="dxa"/>
          </w:tcPr>
          <w:p w14:paraId="151DC5F4" w14:textId="2E5C6440" w:rsidR="000E3DAF" w:rsidRPr="007C271D" w:rsidRDefault="000E3DAF" w:rsidP="00830CD7">
            <w:pPr>
              <w:rPr>
                <w:rFonts w:cs="Arial"/>
                <w:b/>
                <w:bCs/>
              </w:rPr>
            </w:pPr>
            <w:r w:rsidRPr="007C271D">
              <w:rPr>
                <w:rFonts w:cs="Arial"/>
                <w:b/>
                <w:bCs/>
              </w:rPr>
              <w:t>Tree RMSE</w:t>
            </w:r>
          </w:p>
        </w:tc>
        <w:tc>
          <w:tcPr>
            <w:tcW w:w="2338" w:type="dxa"/>
          </w:tcPr>
          <w:p w14:paraId="323FD1BF" w14:textId="67118769" w:rsidR="000E3DAF" w:rsidRPr="007C271D" w:rsidRDefault="000E3DAF" w:rsidP="00830CD7">
            <w:pPr>
              <w:rPr>
                <w:rFonts w:cs="Arial"/>
                <w:b/>
                <w:bCs/>
              </w:rPr>
            </w:pPr>
            <w:r w:rsidRPr="007C271D">
              <w:rPr>
                <w:rFonts w:cs="Arial"/>
                <w:b/>
                <w:bCs/>
              </w:rPr>
              <w:t>Execution Time</w:t>
            </w:r>
          </w:p>
        </w:tc>
      </w:tr>
      <w:tr w:rsidR="003C6A3C" w:rsidRPr="007C271D" w14:paraId="6F277139" w14:textId="77777777" w:rsidTr="001E10E5">
        <w:tc>
          <w:tcPr>
            <w:tcW w:w="2337" w:type="dxa"/>
          </w:tcPr>
          <w:p w14:paraId="1F4B6A5A" w14:textId="42C1CA7A" w:rsidR="003C6A3C" w:rsidRPr="007C271D" w:rsidRDefault="003C6A3C" w:rsidP="003C6A3C">
            <w:pPr>
              <w:rPr>
                <w:rFonts w:cs="Arial"/>
                <w:b/>
                <w:bCs/>
              </w:rPr>
            </w:pPr>
            <w:r w:rsidRPr="007C271D">
              <w:rPr>
                <w:rFonts w:cs="Arial"/>
                <w:b/>
                <w:bCs/>
              </w:rPr>
              <w:t>Fold 1</w:t>
            </w:r>
          </w:p>
        </w:tc>
        <w:tc>
          <w:tcPr>
            <w:tcW w:w="2337" w:type="dxa"/>
            <w:vAlign w:val="bottom"/>
          </w:tcPr>
          <w:p w14:paraId="2B3BBC10" w14:textId="79E8DEA1" w:rsidR="003C6A3C" w:rsidRPr="003C6A3C" w:rsidRDefault="003C6A3C" w:rsidP="003C6A3C">
            <w:pPr>
              <w:rPr>
                <w:rFonts w:cs="Arial"/>
              </w:rPr>
            </w:pPr>
            <w:r w:rsidRPr="003C6A3C">
              <w:rPr>
                <w:color w:val="000000"/>
              </w:rPr>
              <w:t>0.1196</w:t>
            </w:r>
          </w:p>
        </w:tc>
        <w:tc>
          <w:tcPr>
            <w:tcW w:w="2338" w:type="dxa"/>
            <w:vAlign w:val="bottom"/>
          </w:tcPr>
          <w:p w14:paraId="2DAA8296" w14:textId="5D3F24AE" w:rsidR="003C6A3C" w:rsidRPr="003C6A3C" w:rsidRDefault="003C6A3C" w:rsidP="003C6A3C">
            <w:pPr>
              <w:rPr>
                <w:rFonts w:cs="Arial"/>
              </w:rPr>
            </w:pPr>
            <w:r w:rsidRPr="003C6A3C">
              <w:rPr>
                <w:color w:val="000000"/>
              </w:rPr>
              <w:t>0.1149</w:t>
            </w:r>
          </w:p>
        </w:tc>
        <w:tc>
          <w:tcPr>
            <w:tcW w:w="2338" w:type="dxa"/>
            <w:vAlign w:val="bottom"/>
          </w:tcPr>
          <w:p w14:paraId="016086FE" w14:textId="72F4D9F3" w:rsidR="003C6A3C" w:rsidRPr="003C6A3C" w:rsidRDefault="003C6A3C" w:rsidP="003C6A3C">
            <w:pPr>
              <w:rPr>
                <w:rFonts w:cs="Arial"/>
              </w:rPr>
            </w:pPr>
            <w:r w:rsidRPr="003C6A3C">
              <w:rPr>
                <w:color w:val="000000"/>
              </w:rPr>
              <w:t>12.37</w:t>
            </w:r>
          </w:p>
        </w:tc>
      </w:tr>
      <w:tr w:rsidR="003C6A3C" w:rsidRPr="007C271D" w14:paraId="5151FEEA" w14:textId="77777777" w:rsidTr="001E10E5">
        <w:tc>
          <w:tcPr>
            <w:tcW w:w="2337" w:type="dxa"/>
          </w:tcPr>
          <w:p w14:paraId="572F8554" w14:textId="6DD29674" w:rsidR="003C6A3C" w:rsidRPr="007C271D" w:rsidRDefault="003C6A3C" w:rsidP="003C6A3C">
            <w:pPr>
              <w:rPr>
                <w:rFonts w:cs="Arial"/>
                <w:b/>
                <w:bCs/>
              </w:rPr>
            </w:pPr>
            <w:r w:rsidRPr="007C271D">
              <w:rPr>
                <w:rFonts w:cs="Arial"/>
                <w:b/>
                <w:bCs/>
              </w:rPr>
              <w:t>Fold 2</w:t>
            </w:r>
          </w:p>
        </w:tc>
        <w:tc>
          <w:tcPr>
            <w:tcW w:w="2337" w:type="dxa"/>
            <w:vAlign w:val="bottom"/>
          </w:tcPr>
          <w:p w14:paraId="551AC301" w14:textId="3ACCF6D9" w:rsidR="003C6A3C" w:rsidRPr="003C6A3C" w:rsidRDefault="003C6A3C" w:rsidP="003C6A3C">
            <w:pPr>
              <w:rPr>
                <w:rFonts w:cs="Arial"/>
              </w:rPr>
            </w:pPr>
            <w:r w:rsidRPr="003C6A3C">
              <w:rPr>
                <w:color w:val="000000"/>
              </w:rPr>
              <w:t>0.1155</w:t>
            </w:r>
          </w:p>
        </w:tc>
        <w:tc>
          <w:tcPr>
            <w:tcW w:w="2338" w:type="dxa"/>
            <w:vAlign w:val="bottom"/>
          </w:tcPr>
          <w:p w14:paraId="7EB7CEE2" w14:textId="3D1E0449" w:rsidR="003C6A3C" w:rsidRPr="003C6A3C" w:rsidRDefault="003C6A3C" w:rsidP="003C6A3C">
            <w:pPr>
              <w:rPr>
                <w:rFonts w:cs="Arial"/>
              </w:rPr>
            </w:pPr>
            <w:r w:rsidRPr="003C6A3C">
              <w:rPr>
                <w:color w:val="000000"/>
              </w:rPr>
              <w:t>0.1181</w:t>
            </w:r>
          </w:p>
        </w:tc>
        <w:tc>
          <w:tcPr>
            <w:tcW w:w="2338" w:type="dxa"/>
            <w:vAlign w:val="bottom"/>
          </w:tcPr>
          <w:p w14:paraId="6C88A5EA" w14:textId="1CCCFAC2" w:rsidR="003C6A3C" w:rsidRPr="003C6A3C" w:rsidRDefault="003C6A3C" w:rsidP="003C6A3C">
            <w:pPr>
              <w:rPr>
                <w:rFonts w:cs="Arial"/>
              </w:rPr>
            </w:pPr>
            <w:r w:rsidRPr="003C6A3C">
              <w:rPr>
                <w:color w:val="000000"/>
              </w:rPr>
              <w:t>9.91</w:t>
            </w:r>
          </w:p>
        </w:tc>
      </w:tr>
      <w:tr w:rsidR="003C6A3C" w:rsidRPr="007C271D" w14:paraId="2BABE05B" w14:textId="77777777" w:rsidTr="001E10E5">
        <w:tc>
          <w:tcPr>
            <w:tcW w:w="2337" w:type="dxa"/>
          </w:tcPr>
          <w:p w14:paraId="51AD290E" w14:textId="1DD7AF0E" w:rsidR="003C6A3C" w:rsidRPr="007C271D" w:rsidRDefault="003C6A3C" w:rsidP="003C6A3C">
            <w:pPr>
              <w:rPr>
                <w:rFonts w:cs="Arial"/>
                <w:b/>
                <w:bCs/>
              </w:rPr>
            </w:pPr>
            <w:r w:rsidRPr="007C271D">
              <w:rPr>
                <w:rFonts w:cs="Arial"/>
                <w:b/>
                <w:bCs/>
              </w:rPr>
              <w:t>Fold 3</w:t>
            </w:r>
          </w:p>
        </w:tc>
        <w:tc>
          <w:tcPr>
            <w:tcW w:w="2337" w:type="dxa"/>
            <w:vAlign w:val="bottom"/>
          </w:tcPr>
          <w:p w14:paraId="7B0CD3F3" w14:textId="2848AD56" w:rsidR="003C6A3C" w:rsidRPr="003C6A3C" w:rsidRDefault="003C6A3C" w:rsidP="003C6A3C">
            <w:pPr>
              <w:rPr>
                <w:rFonts w:cs="Arial"/>
              </w:rPr>
            </w:pPr>
            <w:r w:rsidRPr="003C6A3C">
              <w:rPr>
                <w:color w:val="000000"/>
              </w:rPr>
              <w:t>0.1128</w:t>
            </w:r>
          </w:p>
        </w:tc>
        <w:tc>
          <w:tcPr>
            <w:tcW w:w="2338" w:type="dxa"/>
            <w:vAlign w:val="bottom"/>
          </w:tcPr>
          <w:p w14:paraId="362C17A0" w14:textId="1C49EE77" w:rsidR="003C6A3C" w:rsidRPr="003C6A3C" w:rsidRDefault="003C6A3C" w:rsidP="003C6A3C">
            <w:pPr>
              <w:rPr>
                <w:rFonts w:cs="Arial"/>
              </w:rPr>
            </w:pPr>
            <w:r w:rsidRPr="003C6A3C">
              <w:rPr>
                <w:color w:val="000000"/>
              </w:rPr>
              <w:t>0.1137</w:t>
            </w:r>
          </w:p>
        </w:tc>
        <w:tc>
          <w:tcPr>
            <w:tcW w:w="2338" w:type="dxa"/>
            <w:vAlign w:val="bottom"/>
          </w:tcPr>
          <w:p w14:paraId="549322D3" w14:textId="5CE31863" w:rsidR="003C6A3C" w:rsidRPr="003C6A3C" w:rsidRDefault="003C6A3C" w:rsidP="003C6A3C">
            <w:pPr>
              <w:rPr>
                <w:rFonts w:cs="Arial"/>
              </w:rPr>
            </w:pPr>
            <w:r w:rsidRPr="003C6A3C">
              <w:rPr>
                <w:color w:val="000000"/>
              </w:rPr>
              <w:t>9.76</w:t>
            </w:r>
          </w:p>
        </w:tc>
      </w:tr>
      <w:tr w:rsidR="003C6A3C" w:rsidRPr="007C271D" w14:paraId="38198920" w14:textId="77777777" w:rsidTr="001E10E5">
        <w:tc>
          <w:tcPr>
            <w:tcW w:w="2337" w:type="dxa"/>
          </w:tcPr>
          <w:p w14:paraId="7BCAC584" w14:textId="4D74073A" w:rsidR="003C6A3C" w:rsidRPr="007C271D" w:rsidRDefault="003C6A3C" w:rsidP="003C6A3C">
            <w:pPr>
              <w:rPr>
                <w:rFonts w:cs="Arial"/>
                <w:b/>
                <w:bCs/>
              </w:rPr>
            </w:pPr>
            <w:r w:rsidRPr="007C271D">
              <w:rPr>
                <w:rFonts w:cs="Arial"/>
                <w:b/>
                <w:bCs/>
              </w:rPr>
              <w:t>Fold 4</w:t>
            </w:r>
          </w:p>
        </w:tc>
        <w:tc>
          <w:tcPr>
            <w:tcW w:w="2337" w:type="dxa"/>
            <w:vAlign w:val="bottom"/>
          </w:tcPr>
          <w:p w14:paraId="2D085D94" w14:textId="106ACDCD" w:rsidR="003C6A3C" w:rsidRPr="003C6A3C" w:rsidRDefault="003C6A3C" w:rsidP="003C6A3C">
            <w:pPr>
              <w:rPr>
                <w:rFonts w:cs="Arial"/>
              </w:rPr>
            </w:pPr>
            <w:r w:rsidRPr="003C6A3C">
              <w:rPr>
                <w:color w:val="000000"/>
              </w:rPr>
              <w:t>0.1174</w:t>
            </w:r>
          </w:p>
        </w:tc>
        <w:tc>
          <w:tcPr>
            <w:tcW w:w="2338" w:type="dxa"/>
            <w:vAlign w:val="bottom"/>
          </w:tcPr>
          <w:p w14:paraId="34FABDB9" w14:textId="1F82681E" w:rsidR="003C6A3C" w:rsidRPr="003C6A3C" w:rsidRDefault="003C6A3C" w:rsidP="003C6A3C">
            <w:pPr>
              <w:rPr>
                <w:rFonts w:cs="Arial"/>
              </w:rPr>
            </w:pPr>
            <w:r w:rsidRPr="003C6A3C">
              <w:rPr>
                <w:color w:val="000000"/>
              </w:rPr>
              <w:t>0.1178</w:t>
            </w:r>
          </w:p>
        </w:tc>
        <w:tc>
          <w:tcPr>
            <w:tcW w:w="2338" w:type="dxa"/>
            <w:vAlign w:val="bottom"/>
          </w:tcPr>
          <w:p w14:paraId="124D3C93" w14:textId="1F27CA8B" w:rsidR="003C6A3C" w:rsidRPr="003C6A3C" w:rsidRDefault="003C6A3C" w:rsidP="003C6A3C">
            <w:pPr>
              <w:rPr>
                <w:rFonts w:cs="Arial"/>
              </w:rPr>
            </w:pPr>
            <w:r w:rsidRPr="003C6A3C">
              <w:rPr>
                <w:color w:val="000000"/>
              </w:rPr>
              <w:t>12.2</w:t>
            </w:r>
          </w:p>
        </w:tc>
      </w:tr>
      <w:tr w:rsidR="003C6A3C" w:rsidRPr="007C271D" w14:paraId="55F4E693" w14:textId="77777777" w:rsidTr="001E10E5">
        <w:tc>
          <w:tcPr>
            <w:tcW w:w="2337" w:type="dxa"/>
          </w:tcPr>
          <w:p w14:paraId="46AE7388" w14:textId="63FC3293" w:rsidR="003C6A3C" w:rsidRPr="007C271D" w:rsidRDefault="003C6A3C" w:rsidP="003C6A3C">
            <w:pPr>
              <w:rPr>
                <w:rFonts w:cs="Arial"/>
                <w:b/>
                <w:bCs/>
              </w:rPr>
            </w:pPr>
            <w:r w:rsidRPr="007C271D">
              <w:rPr>
                <w:rFonts w:cs="Arial"/>
                <w:b/>
                <w:bCs/>
              </w:rPr>
              <w:t>Fold 5</w:t>
            </w:r>
          </w:p>
        </w:tc>
        <w:tc>
          <w:tcPr>
            <w:tcW w:w="2337" w:type="dxa"/>
            <w:vAlign w:val="bottom"/>
          </w:tcPr>
          <w:p w14:paraId="2D92F941" w14:textId="7D9E7D8E" w:rsidR="003C6A3C" w:rsidRPr="003C6A3C" w:rsidRDefault="003C6A3C" w:rsidP="003C6A3C">
            <w:pPr>
              <w:rPr>
                <w:rFonts w:cs="Arial"/>
              </w:rPr>
            </w:pPr>
            <w:r w:rsidRPr="003C6A3C">
              <w:rPr>
                <w:color w:val="000000"/>
              </w:rPr>
              <w:t>0.1094</w:t>
            </w:r>
          </w:p>
        </w:tc>
        <w:tc>
          <w:tcPr>
            <w:tcW w:w="2338" w:type="dxa"/>
            <w:vAlign w:val="bottom"/>
          </w:tcPr>
          <w:p w14:paraId="7A710C13" w14:textId="741B848A" w:rsidR="003C6A3C" w:rsidRPr="003C6A3C" w:rsidRDefault="003C6A3C" w:rsidP="003C6A3C">
            <w:pPr>
              <w:rPr>
                <w:rFonts w:cs="Arial"/>
              </w:rPr>
            </w:pPr>
            <w:r w:rsidRPr="003C6A3C">
              <w:rPr>
                <w:color w:val="000000"/>
              </w:rPr>
              <w:t>0.1057</w:t>
            </w:r>
          </w:p>
        </w:tc>
        <w:tc>
          <w:tcPr>
            <w:tcW w:w="2338" w:type="dxa"/>
            <w:vAlign w:val="bottom"/>
          </w:tcPr>
          <w:p w14:paraId="5DE93075" w14:textId="6C582DA4" w:rsidR="003C6A3C" w:rsidRPr="003C6A3C" w:rsidRDefault="003C6A3C" w:rsidP="003C6A3C">
            <w:pPr>
              <w:rPr>
                <w:rFonts w:cs="Arial"/>
              </w:rPr>
            </w:pPr>
            <w:r w:rsidRPr="003C6A3C">
              <w:rPr>
                <w:color w:val="000000"/>
              </w:rPr>
              <w:t>10.68</w:t>
            </w:r>
          </w:p>
        </w:tc>
      </w:tr>
      <w:tr w:rsidR="003C6A3C" w:rsidRPr="007C271D" w14:paraId="6725E136" w14:textId="77777777" w:rsidTr="001E10E5">
        <w:tc>
          <w:tcPr>
            <w:tcW w:w="2337" w:type="dxa"/>
          </w:tcPr>
          <w:p w14:paraId="2F3E68B9" w14:textId="5BE64F30" w:rsidR="003C6A3C" w:rsidRPr="007C271D" w:rsidRDefault="003C6A3C" w:rsidP="003C6A3C">
            <w:pPr>
              <w:rPr>
                <w:rFonts w:cs="Arial"/>
                <w:b/>
                <w:bCs/>
              </w:rPr>
            </w:pPr>
            <w:r w:rsidRPr="007C271D">
              <w:rPr>
                <w:rFonts w:cs="Arial"/>
                <w:b/>
                <w:bCs/>
              </w:rPr>
              <w:t>Fold 6</w:t>
            </w:r>
          </w:p>
        </w:tc>
        <w:tc>
          <w:tcPr>
            <w:tcW w:w="2337" w:type="dxa"/>
            <w:vAlign w:val="bottom"/>
          </w:tcPr>
          <w:p w14:paraId="08445A73" w14:textId="4451DD71" w:rsidR="003C6A3C" w:rsidRPr="003C6A3C" w:rsidRDefault="003C6A3C" w:rsidP="003C6A3C">
            <w:pPr>
              <w:rPr>
                <w:rFonts w:cs="Arial"/>
              </w:rPr>
            </w:pPr>
            <w:r w:rsidRPr="003C6A3C">
              <w:rPr>
                <w:color w:val="000000"/>
              </w:rPr>
              <w:t>0.1284</w:t>
            </w:r>
          </w:p>
        </w:tc>
        <w:tc>
          <w:tcPr>
            <w:tcW w:w="2338" w:type="dxa"/>
            <w:vAlign w:val="bottom"/>
          </w:tcPr>
          <w:p w14:paraId="414EAE11" w14:textId="5828C91C" w:rsidR="003C6A3C" w:rsidRPr="003C6A3C" w:rsidRDefault="003C6A3C" w:rsidP="003C6A3C">
            <w:pPr>
              <w:rPr>
                <w:rFonts w:cs="Arial"/>
              </w:rPr>
            </w:pPr>
            <w:r w:rsidRPr="003C6A3C">
              <w:rPr>
                <w:color w:val="000000"/>
              </w:rPr>
              <w:t>0.1213</w:t>
            </w:r>
          </w:p>
        </w:tc>
        <w:tc>
          <w:tcPr>
            <w:tcW w:w="2338" w:type="dxa"/>
            <w:vAlign w:val="bottom"/>
          </w:tcPr>
          <w:p w14:paraId="0278962D" w14:textId="4745A5A9" w:rsidR="003C6A3C" w:rsidRPr="003C6A3C" w:rsidRDefault="003C6A3C" w:rsidP="003C6A3C">
            <w:pPr>
              <w:rPr>
                <w:rFonts w:cs="Arial"/>
              </w:rPr>
            </w:pPr>
            <w:r w:rsidRPr="003C6A3C">
              <w:rPr>
                <w:color w:val="000000"/>
              </w:rPr>
              <w:t>12.47</w:t>
            </w:r>
          </w:p>
        </w:tc>
      </w:tr>
      <w:tr w:rsidR="003C6A3C" w:rsidRPr="007C271D" w14:paraId="1AA326D7" w14:textId="77777777" w:rsidTr="001E10E5">
        <w:tc>
          <w:tcPr>
            <w:tcW w:w="2337" w:type="dxa"/>
          </w:tcPr>
          <w:p w14:paraId="333DBC8C" w14:textId="66AD6F01" w:rsidR="003C6A3C" w:rsidRPr="007C271D" w:rsidRDefault="003C6A3C" w:rsidP="003C6A3C">
            <w:pPr>
              <w:rPr>
                <w:rFonts w:cs="Arial"/>
                <w:b/>
                <w:bCs/>
              </w:rPr>
            </w:pPr>
            <w:r w:rsidRPr="007C271D">
              <w:rPr>
                <w:rFonts w:cs="Arial"/>
                <w:b/>
                <w:bCs/>
              </w:rPr>
              <w:t>Fold 7</w:t>
            </w:r>
          </w:p>
        </w:tc>
        <w:tc>
          <w:tcPr>
            <w:tcW w:w="2337" w:type="dxa"/>
            <w:vAlign w:val="bottom"/>
          </w:tcPr>
          <w:p w14:paraId="62770EDD" w14:textId="202FBDCE" w:rsidR="003C6A3C" w:rsidRPr="003C6A3C" w:rsidRDefault="003C6A3C" w:rsidP="003C6A3C">
            <w:pPr>
              <w:rPr>
                <w:rFonts w:cs="Arial"/>
              </w:rPr>
            </w:pPr>
            <w:r w:rsidRPr="003C6A3C">
              <w:rPr>
                <w:color w:val="000000"/>
              </w:rPr>
              <w:t>0.1265</w:t>
            </w:r>
          </w:p>
        </w:tc>
        <w:tc>
          <w:tcPr>
            <w:tcW w:w="2338" w:type="dxa"/>
            <w:vAlign w:val="bottom"/>
          </w:tcPr>
          <w:p w14:paraId="0C82237B" w14:textId="7A8307E0" w:rsidR="003C6A3C" w:rsidRPr="003C6A3C" w:rsidRDefault="003C6A3C" w:rsidP="003C6A3C">
            <w:pPr>
              <w:rPr>
                <w:rFonts w:cs="Arial"/>
              </w:rPr>
            </w:pPr>
            <w:r w:rsidRPr="003C6A3C">
              <w:rPr>
                <w:color w:val="000000"/>
              </w:rPr>
              <w:t>0.129</w:t>
            </w:r>
          </w:p>
        </w:tc>
        <w:tc>
          <w:tcPr>
            <w:tcW w:w="2338" w:type="dxa"/>
            <w:vAlign w:val="bottom"/>
          </w:tcPr>
          <w:p w14:paraId="7797EE70" w14:textId="09AAD695" w:rsidR="003C6A3C" w:rsidRPr="003C6A3C" w:rsidRDefault="003C6A3C" w:rsidP="003C6A3C">
            <w:pPr>
              <w:rPr>
                <w:rFonts w:cs="Arial"/>
              </w:rPr>
            </w:pPr>
            <w:r w:rsidRPr="003C6A3C">
              <w:rPr>
                <w:color w:val="000000"/>
              </w:rPr>
              <w:t>11.79</w:t>
            </w:r>
          </w:p>
        </w:tc>
      </w:tr>
      <w:tr w:rsidR="003C6A3C" w:rsidRPr="007C271D" w14:paraId="1A120820" w14:textId="77777777" w:rsidTr="001E10E5">
        <w:tc>
          <w:tcPr>
            <w:tcW w:w="2337" w:type="dxa"/>
          </w:tcPr>
          <w:p w14:paraId="4448B22C" w14:textId="4EDDB0E0" w:rsidR="003C6A3C" w:rsidRPr="007C271D" w:rsidRDefault="003C6A3C" w:rsidP="003C6A3C">
            <w:pPr>
              <w:rPr>
                <w:rFonts w:cs="Arial"/>
                <w:b/>
                <w:bCs/>
              </w:rPr>
            </w:pPr>
            <w:r w:rsidRPr="007C271D">
              <w:rPr>
                <w:rFonts w:cs="Arial"/>
                <w:b/>
                <w:bCs/>
              </w:rPr>
              <w:t>Fold 8</w:t>
            </w:r>
          </w:p>
        </w:tc>
        <w:tc>
          <w:tcPr>
            <w:tcW w:w="2337" w:type="dxa"/>
            <w:vAlign w:val="bottom"/>
          </w:tcPr>
          <w:p w14:paraId="33E81F45" w14:textId="0DCD9D0A" w:rsidR="003C6A3C" w:rsidRPr="003C6A3C" w:rsidRDefault="003C6A3C" w:rsidP="003C6A3C">
            <w:pPr>
              <w:rPr>
                <w:rFonts w:cs="Arial"/>
              </w:rPr>
            </w:pPr>
            <w:r w:rsidRPr="003C6A3C">
              <w:rPr>
                <w:color w:val="000000"/>
              </w:rPr>
              <w:t>0.1236</w:t>
            </w:r>
          </w:p>
        </w:tc>
        <w:tc>
          <w:tcPr>
            <w:tcW w:w="2338" w:type="dxa"/>
            <w:vAlign w:val="bottom"/>
          </w:tcPr>
          <w:p w14:paraId="6B04795F" w14:textId="53C57195" w:rsidR="003C6A3C" w:rsidRPr="003C6A3C" w:rsidRDefault="003C6A3C" w:rsidP="003C6A3C">
            <w:pPr>
              <w:rPr>
                <w:rFonts w:cs="Arial"/>
              </w:rPr>
            </w:pPr>
            <w:r w:rsidRPr="003C6A3C">
              <w:rPr>
                <w:color w:val="000000"/>
              </w:rPr>
              <w:t>0.1191</w:t>
            </w:r>
          </w:p>
        </w:tc>
        <w:tc>
          <w:tcPr>
            <w:tcW w:w="2338" w:type="dxa"/>
            <w:vAlign w:val="bottom"/>
          </w:tcPr>
          <w:p w14:paraId="25B13384" w14:textId="083F9799" w:rsidR="003C6A3C" w:rsidRPr="003C6A3C" w:rsidRDefault="003C6A3C" w:rsidP="003C6A3C">
            <w:pPr>
              <w:rPr>
                <w:rFonts w:cs="Arial"/>
              </w:rPr>
            </w:pPr>
            <w:r w:rsidRPr="003C6A3C">
              <w:rPr>
                <w:color w:val="000000"/>
              </w:rPr>
              <w:t>11.15</w:t>
            </w:r>
          </w:p>
        </w:tc>
      </w:tr>
      <w:tr w:rsidR="003C6A3C" w:rsidRPr="007C271D" w14:paraId="23243F62" w14:textId="77777777" w:rsidTr="001E10E5">
        <w:tc>
          <w:tcPr>
            <w:tcW w:w="2337" w:type="dxa"/>
          </w:tcPr>
          <w:p w14:paraId="0E5DEE29" w14:textId="3501878D" w:rsidR="003C6A3C" w:rsidRPr="007C271D" w:rsidRDefault="003C6A3C" w:rsidP="003C6A3C">
            <w:pPr>
              <w:rPr>
                <w:rFonts w:cs="Arial"/>
                <w:b/>
                <w:bCs/>
              </w:rPr>
            </w:pPr>
            <w:r w:rsidRPr="007C271D">
              <w:rPr>
                <w:rFonts w:cs="Arial"/>
                <w:b/>
                <w:bCs/>
              </w:rPr>
              <w:t>Fold 9</w:t>
            </w:r>
          </w:p>
        </w:tc>
        <w:tc>
          <w:tcPr>
            <w:tcW w:w="2337" w:type="dxa"/>
            <w:vAlign w:val="bottom"/>
          </w:tcPr>
          <w:p w14:paraId="44865650" w14:textId="572F5308" w:rsidR="003C6A3C" w:rsidRPr="003C6A3C" w:rsidRDefault="003C6A3C" w:rsidP="003C6A3C">
            <w:pPr>
              <w:rPr>
                <w:rFonts w:cs="Arial"/>
              </w:rPr>
            </w:pPr>
            <w:r w:rsidRPr="003C6A3C">
              <w:rPr>
                <w:color w:val="000000"/>
              </w:rPr>
              <w:t>0.1329</w:t>
            </w:r>
          </w:p>
        </w:tc>
        <w:tc>
          <w:tcPr>
            <w:tcW w:w="2338" w:type="dxa"/>
            <w:vAlign w:val="bottom"/>
          </w:tcPr>
          <w:p w14:paraId="70AA21F9" w14:textId="59FBCFB5" w:rsidR="003C6A3C" w:rsidRPr="003C6A3C" w:rsidRDefault="003C6A3C" w:rsidP="003C6A3C">
            <w:pPr>
              <w:rPr>
                <w:rFonts w:cs="Arial"/>
              </w:rPr>
            </w:pPr>
            <w:r w:rsidRPr="003C6A3C">
              <w:rPr>
                <w:color w:val="000000"/>
              </w:rPr>
              <w:t>0.1263</w:t>
            </w:r>
          </w:p>
        </w:tc>
        <w:tc>
          <w:tcPr>
            <w:tcW w:w="2338" w:type="dxa"/>
            <w:vAlign w:val="bottom"/>
          </w:tcPr>
          <w:p w14:paraId="49E64CFC" w14:textId="69DF3597" w:rsidR="003C6A3C" w:rsidRPr="003C6A3C" w:rsidRDefault="003C6A3C" w:rsidP="003C6A3C">
            <w:pPr>
              <w:rPr>
                <w:rFonts w:cs="Arial"/>
              </w:rPr>
            </w:pPr>
            <w:r w:rsidRPr="003C6A3C">
              <w:rPr>
                <w:color w:val="000000"/>
              </w:rPr>
              <w:t>10.98</w:t>
            </w:r>
          </w:p>
        </w:tc>
      </w:tr>
      <w:tr w:rsidR="003C6A3C" w:rsidRPr="007C271D" w14:paraId="4330DDE8" w14:textId="77777777" w:rsidTr="001E10E5">
        <w:tc>
          <w:tcPr>
            <w:tcW w:w="2337" w:type="dxa"/>
          </w:tcPr>
          <w:p w14:paraId="3CABE402" w14:textId="0FD554A3" w:rsidR="003C6A3C" w:rsidRPr="007C271D" w:rsidRDefault="003C6A3C" w:rsidP="003C6A3C">
            <w:pPr>
              <w:rPr>
                <w:rFonts w:cs="Arial"/>
                <w:b/>
                <w:bCs/>
              </w:rPr>
            </w:pPr>
            <w:r w:rsidRPr="007C271D">
              <w:rPr>
                <w:rFonts w:cs="Arial"/>
                <w:b/>
                <w:bCs/>
              </w:rPr>
              <w:t>Fold 10</w:t>
            </w:r>
          </w:p>
        </w:tc>
        <w:tc>
          <w:tcPr>
            <w:tcW w:w="2337" w:type="dxa"/>
            <w:vAlign w:val="bottom"/>
          </w:tcPr>
          <w:p w14:paraId="2956FC97" w14:textId="363CABA4" w:rsidR="003C6A3C" w:rsidRPr="003C6A3C" w:rsidRDefault="003C6A3C" w:rsidP="003C6A3C">
            <w:pPr>
              <w:rPr>
                <w:rFonts w:cs="Arial"/>
              </w:rPr>
            </w:pPr>
            <w:r w:rsidRPr="003C6A3C">
              <w:rPr>
                <w:color w:val="000000"/>
              </w:rPr>
              <w:t>0.1186</w:t>
            </w:r>
          </w:p>
        </w:tc>
        <w:tc>
          <w:tcPr>
            <w:tcW w:w="2338" w:type="dxa"/>
            <w:vAlign w:val="bottom"/>
          </w:tcPr>
          <w:p w14:paraId="0924FADC" w14:textId="776C1D14" w:rsidR="003C6A3C" w:rsidRPr="003C6A3C" w:rsidRDefault="003C6A3C" w:rsidP="003C6A3C">
            <w:pPr>
              <w:rPr>
                <w:rFonts w:cs="Arial"/>
              </w:rPr>
            </w:pPr>
            <w:r w:rsidRPr="003C6A3C">
              <w:rPr>
                <w:color w:val="000000"/>
              </w:rPr>
              <w:t>0.1128</w:t>
            </w:r>
          </w:p>
        </w:tc>
        <w:tc>
          <w:tcPr>
            <w:tcW w:w="2338" w:type="dxa"/>
            <w:vAlign w:val="bottom"/>
          </w:tcPr>
          <w:p w14:paraId="6AB880C4" w14:textId="08143558" w:rsidR="003C6A3C" w:rsidRPr="003C6A3C" w:rsidRDefault="003C6A3C" w:rsidP="003C6A3C">
            <w:pPr>
              <w:rPr>
                <w:rFonts w:cs="Arial"/>
              </w:rPr>
            </w:pPr>
            <w:r w:rsidRPr="003C6A3C">
              <w:rPr>
                <w:color w:val="000000"/>
              </w:rPr>
              <w:t>11.98</w:t>
            </w:r>
          </w:p>
        </w:tc>
      </w:tr>
      <w:tr w:rsidR="003C6A3C" w:rsidRPr="007C271D" w14:paraId="4F060CE9" w14:textId="77777777" w:rsidTr="001E10E5">
        <w:tc>
          <w:tcPr>
            <w:tcW w:w="2337" w:type="dxa"/>
          </w:tcPr>
          <w:p w14:paraId="37D88F2B" w14:textId="793DAFA3" w:rsidR="003C6A3C" w:rsidRPr="007C271D" w:rsidRDefault="003C6A3C" w:rsidP="003C6A3C">
            <w:pPr>
              <w:rPr>
                <w:rFonts w:cs="Arial"/>
                <w:b/>
                <w:bCs/>
              </w:rPr>
            </w:pPr>
            <w:r w:rsidRPr="007C271D">
              <w:rPr>
                <w:rFonts w:cs="Arial"/>
                <w:b/>
                <w:bCs/>
              </w:rPr>
              <w:t>Average</w:t>
            </w:r>
          </w:p>
        </w:tc>
        <w:tc>
          <w:tcPr>
            <w:tcW w:w="2337" w:type="dxa"/>
            <w:vAlign w:val="center"/>
          </w:tcPr>
          <w:p w14:paraId="09F9431D" w14:textId="1A300FD6" w:rsidR="003C6A3C" w:rsidRPr="003C6A3C" w:rsidRDefault="003C6A3C" w:rsidP="003C6A3C">
            <w:pPr>
              <w:rPr>
                <w:rFonts w:cs="Arial"/>
              </w:rPr>
            </w:pPr>
            <w:r w:rsidRPr="003C6A3C">
              <w:rPr>
                <w:rFonts w:cs="Arial"/>
                <w:color w:val="000000"/>
              </w:rPr>
              <w:t>0.12047</w:t>
            </w:r>
          </w:p>
        </w:tc>
        <w:tc>
          <w:tcPr>
            <w:tcW w:w="2338" w:type="dxa"/>
            <w:vAlign w:val="center"/>
          </w:tcPr>
          <w:p w14:paraId="3A905586" w14:textId="5F174377" w:rsidR="003C6A3C" w:rsidRPr="003C6A3C" w:rsidRDefault="003C6A3C" w:rsidP="003C6A3C">
            <w:pPr>
              <w:rPr>
                <w:rFonts w:cs="Arial"/>
              </w:rPr>
            </w:pPr>
            <w:r w:rsidRPr="003C6A3C">
              <w:rPr>
                <w:rFonts w:cs="Arial"/>
                <w:color w:val="000000"/>
              </w:rPr>
              <w:t>0.11787</w:t>
            </w:r>
          </w:p>
        </w:tc>
        <w:tc>
          <w:tcPr>
            <w:tcW w:w="2338" w:type="dxa"/>
            <w:vAlign w:val="center"/>
          </w:tcPr>
          <w:p w14:paraId="4E2DD30A" w14:textId="59A12767" w:rsidR="003C6A3C" w:rsidRPr="003C6A3C" w:rsidRDefault="003C6A3C" w:rsidP="003C6A3C">
            <w:pPr>
              <w:rPr>
                <w:rFonts w:cs="Arial"/>
              </w:rPr>
            </w:pPr>
            <w:r w:rsidRPr="003C6A3C">
              <w:rPr>
                <w:rFonts w:cs="Arial"/>
                <w:color w:val="000000"/>
              </w:rPr>
              <w:t>11.329</w:t>
            </w:r>
          </w:p>
        </w:tc>
      </w:tr>
    </w:tbl>
    <w:p w14:paraId="54F02254" w14:textId="77777777" w:rsidR="00E777DB" w:rsidRPr="007C271D" w:rsidRDefault="00E777DB" w:rsidP="00830CD7">
      <w:pPr>
        <w:rPr>
          <w:rFonts w:cs="Arial"/>
          <w:b/>
          <w:bCs/>
        </w:rPr>
      </w:pPr>
    </w:p>
    <w:p w14:paraId="48DF53AE" w14:textId="1449E680" w:rsidR="000E3DAF" w:rsidRDefault="007A56AF" w:rsidP="00830CD7">
      <w:pPr>
        <w:rPr>
          <w:rFonts w:cs="Arial"/>
        </w:rPr>
      </w:pPr>
      <w:r w:rsidRPr="007C271D">
        <w:rPr>
          <w:rFonts w:cs="Arial"/>
        </w:rPr>
        <w:t>The above statistics were from running mymain.py on a MacBook Pro, 2.3 GHz Quad-Core Intel Core i7, with 16 GB memory.</w:t>
      </w:r>
      <w:r w:rsidR="00B2449B">
        <w:rPr>
          <w:rFonts w:cs="Arial"/>
        </w:rPr>
        <w:t xml:space="preserve"> The run time includes the time to preprocess, train and evaluate both models.</w:t>
      </w:r>
    </w:p>
    <w:p w14:paraId="17E17116" w14:textId="77777777" w:rsidR="007C271D" w:rsidRDefault="007C271D" w:rsidP="00830CD7">
      <w:pPr>
        <w:rPr>
          <w:rFonts w:cs="Arial"/>
        </w:rPr>
      </w:pPr>
    </w:p>
    <w:p w14:paraId="501A3F0C" w14:textId="7C5094DD" w:rsidR="007C271D" w:rsidRPr="007C271D" w:rsidRDefault="007C271D" w:rsidP="00830CD7">
      <w:pPr>
        <w:rPr>
          <w:rFonts w:cs="Arial"/>
        </w:rPr>
      </w:pPr>
      <w:r w:rsidRPr="007C271D">
        <w:rPr>
          <w:rFonts w:cs="Arial"/>
          <w:b/>
          <w:bCs/>
        </w:rPr>
        <w:t>III. Conclusion</w:t>
      </w:r>
      <w:r>
        <w:rPr>
          <w:rFonts w:cs="Arial"/>
        </w:rPr>
        <w:br/>
      </w:r>
      <w:r>
        <w:rPr>
          <w:rFonts w:cs="Arial"/>
        </w:rPr>
        <w:br/>
        <w:t xml:space="preserve">In conclusion, the linear model and tree model performed similarly across folds, where RMSE was smaller for linear on </w:t>
      </w:r>
      <w:r w:rsidR="00CA14F6">
        <w:rPr>
          <w:rFonts w:cs="Arial"/>
        </w:rPr>
        <w:t>4</w:t>
      </w:r>
      <w:r w:rsidR="00C03134">
        <w:rPr>
          <w:rFonts w:cs="Arial"/>
        </w:rPr>
        <w:t xml:space="preserve"> </w:t>
      </w:r>
      <w:r>
        <w:rPr>
          <w:rFonts w:cs="Arial"/>
        </w:rPr>
        <w:t xml:space="preserve">folds, and smaller on the tree model for the other </w:t>
      </w:r>
      <w:r w:rsidR="00CA14F6">
        <w:rPr>
          <w:rFonts w:cs="Arial"/>
        </w:rPr>
        <w:t>6</w:t>
      </w:r>
      <w:r>
        <w:rPr>
          <w:rFonts w:cs="Arial"/>
        </w:rPr>
        <w:t xml:space="preserve"> folds. The execution time seemed to be disproportionally longer for folds </w:t>
      </w:r>
      <w:r w:rsidR="003C6A3C">
        <w:rPr>
          <w:rFonts w:cs="Arial"/>
        </w:rPr>
        <w:t>1,4,6</w:t>
      </w:r>
      <w:r>
        <w:rPr>
          <w:rFonts w:cs="Arial"/>
        </w:rPr>
        <w:t>, which could be attributed to the amount of variance in those folds. For future work, the 10 folds could be combined so that cross validation could be performed on a larger combined set of data, as opposed to being treated as 10 distinct datasets.</w:t>
      </w:r>
    </w:p>
    <w:p w14:paraId="496FC779" w14:textId="77777777" w:rsidR="007A56AF" w:rsidRPr="007C271D" w:rsidRDefault="007A56AF" w:rsidP="00830CD7">
      <w:pPr>
        <w:rPr>
          <w:rFonts w:cs="Arial"/>
        </w:rPr>
      </w:pPr>
    </w:p>
    <w:p w14:paraId="5C1E1A5D" w14:textId="77777777" w:rsidR="00276112" w:rsidRPr="007C271D" w:rsidRDefault="00276112">
      <w:pPr>
        <w:rPr>
          <w:rFonts w:cs="Arial"/>
        </w:rPr>
      </w:pPr>
    </w:p>
    <w:sectPr w:rsidR="00276112" w:rsidRPr="007C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23D54"/>
    <w:multiLevelType w:val="multilevel"/>
    <w:tmpl w:val="1760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A5C71"/>
    <w:multiLevelType w:val="multilevel"/>
    <w:tmpl w:val="29C2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929C6"/>
    <w:multiLevelType w:val="multilevel"/>
    <w:tmpl w:val="A25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87841">
    <w:abstractNumId w:val="0"/>
  </w:num>
  <w:num w:numId="2" w16cid:durableId="1372922690">
    <w:abstractNumId w:val="2"/>
  </w:num>
  <w:num w:numId="3" w16cid:durableId="30293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CA"/>
    <w:rsid w:val="000059BB"/>
    <w:rsid w:val="00054320"/>
    <w:rsid w:val="000E3DAF"/>
    <w:rsid w:val="001068E6"/>
    <w:rsid w:val="001462BF"/>
    <w:rsid w:val="0025670D"/>
    <w:rsid w:val="00276112"/>
    <w:rsid w:val="00346572"/>
    <w:rsid w:val="003C6A3C"/>
    <w:rsid w:val="00402995"/>
    <w:rsid w:val="00413D9F"/>
    <w:rsid w:val="00447E4A"/>
    <w:rsid w:val="004B3BC6"/>
    <w:rsid w:val="00636C5A"/>
    <w:rsid w:val="00676B31"/>
    <w:rsid w:val="00741FEA"/>
    <w:rsid w:val="00761536"/>
    <w:rsid w:val="0079759D"/>
    <w:rsid w:val="007A56AF"/>
    <w:rsid w:val="007B5971"/>
    <w:rsid w:val="007C271D"/>
    <w:rsid w:val="00823CCA"/>
    <w:rsid w:val="00830CD7"/>
    <w:rsid w:val="00846606"/>
    <w:rsid w:val="008D4BB1"/>
    <w:rsid w:val="008F5131"/>
    <w:rsid w:val="00B2449B"/>
    <w:rsid w:val="00C03134"/>
    <w:rsid w:val="00C93172"/>
    <w:rsid w:val="00CA14F6"/>
    <w:rsid w:val="00D055F7"/>
    <w:rsid w:val="00DA7735"/>
    <w:rsid w:val="00DB42AC"/>
    <w:rsid w:val="00E045F8"/>
    <w:rsid w:val="00E777DB"/>
    <w:rsid w:val="00EE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E50D"/>
  <w15:chartTrackingRefBased/>
  <w15:docId w15:val="{E079CCA5-DC9C-D147-9866-986A9737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C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C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C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C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CCA"/>
    <w:rPr>
      <w:rFonts w:eastAsiaTheme="majorEastAsia" w:cstheme="majorBidi"/>
      <w:color w:val="272727" w:themeColor="text1" w:themeTint="D8"/>
    </w:rPr>
  </w:style>
  <w:style w:type="paragraph" w:styleId="Title">
    <w:name w:val="Title"/>
    <w:basedOn w:val="Normal"/>
    <w:next w:val="Normal"/>
    <w:link w:val="TitleChar"/>
    <w:uiPriority w:val="10"/>
    <w:qFormat/>
    <w:rsid w:val="00823C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C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C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3CCA"/>
    <w:rPr>
      <w:i/>
      <w:iCs/>
      <w:color w:val="404040" w:themeColor="text1" w:themeTint="BF"/>
    </w:rPr>
  </w:style>
  <w:style w:type="paragraph" w:styleId="ListParagraph">
    <w:name w:val="List Paragraph"/>
    <w:basedOn w:val="Normal"/>
    <w:uiPriority w:val="34"/>
    <w:qFormat/>
    <w:rsid w:val="00823CCA"/>
    <w:pPr>
      <w:ind w:left="720"/>
      <w:contextualSpacing/>
    </w:pPr>
  </w:style>
  <w:style w:type="character" w:styleId="IntenseEmphasis">
    <w:name w:val="Intense Emphasis"/>
    <w:basedOn w:val="DefaultParagraphFont"/>
    <w:uiPriority w:val="21"/>
    <w:qFormat/>
    <w:rsid w:val="00823CCA"/>
    <w:rPr>
      <w:i/>
      <w:iCs/>
      <w:color w:val="0F4761" w:themeColor="accent1" w:themeShade="BF"/>
    </w:rPr>
  </w:style>
  <w:style w:type="paragraph" w:styleId="IntenseQuote">
    <w:name w:val="Intense Quote"/>
    <w:basedOn w:val="Normal"/>
    <w:next w:val="Normal"/>
    <w:link w:val="IntenseQuoteChar"/>
    <w:uiPriority w:val="30"/>
    <w:qFormat/>
    <w:rsid w:val="0082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CCA"/>
    <w:rPr>
      <w:i/>
      <w:iCs/>
      <w:color w:val="0F4761" w:themeColor="accent1" w:themeShade="BF"/>
    </w:rPr>
  </w:style>
  <w:style w:type="character" w:styleId="IntenseReference">
    <w:name w:val="Intense Reference"/>
    <w:basedOn w:val="DefaultParagraphFont"/>
    <w:uiPriority w:val="32"/>
    <w:qFormat/>
    <w:rsid w:val="00823CCA"/>
    <w:rPr>
      <w:b/>
      <w:bCs/>
      <w:smallCaps/>
      <w:color w:val="0F4761" w:themeColor="accent1" w:themeShade="BF"/>
      <w:spacing w:val="5"/>
    </w:rPr>
  </w:style>
  <w:style w:type="table" w:styleId="TableGrid">
    <w:name w:val="Table Grid"/>
    <w:basedOn w:val="TableNormal"/>
    <w:uiPriority w:val="39"/>
    <w:rsid w:val="000E3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65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41128">
      <w:bodyDiv w:val="1"/>
      <w:marLeft w:val="0"/>
      <w:marRight w:val="0"/>
      <w:marTop w:val="0"/>
      <w:marBottom w:val="0"/>
      <w:divBdr>
        <w:top w:val="none" w:sz="0" w:space="0" w:color="auto"/>
        <w:left w:val="none" w:sz="0" w:space="0" w:color="auto"/>
        <w:bottom w:val="none" w:sz="0" w:space="0" w:color="auto"/>
        <w:right w:val="none" w:sz="0" w:space="0" w:color="auto"/>
      </w:divBdr>
    </w:div>
    <w:div w:id="790248665">
      <w:bodyDiv w:val="1"/>
      <w:marLeft w:val="0"/>
      <w:marRight w:val="0"/>
      <w:marTop w:val="0"/>
      <w:marBottom w:val="0"/>
      <w:divBdr>
        <w:top w:val="none" w:sz="0" w:space="0" w:color="auto"/>
        <w:left w:val="none" w:sz="0" w:space="0" w:color="auto"/>
        <w:bottom w:val="none" w:sz="0" w:space="0" w:color="auto"/>
        <w:right w:val="none" w:sz="0" w:space="0" w:color="auto"/>
      </w:divBdr>
    </w:div>
    <w:div w:id="1155414342">
      <w:bodyDiv w:val="1"/>
      <w:marLeft w:val="0"/>
      <w:marRight w:val="0"/>
      <w:marTop w:val="0"/>
      <w:marBottom w:val="0"/>
      <w:divBdr>
        <w:top w:val="none" w:sz="0" w:space="0" w:color="auto"/>
        <w:left w:val="none" w:sz="0" w:space="0" w:color="auto"/>
        <w:bottom w:val="none" w:sz="0" w:space="0" w:color="auto"/>
        <w:right w:val="none" w:sz="0" w:space="0" w:color="auto"/>
      </w:divBdr>
    </w:div>
    <w:div w:id="15629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Dalglish, Olivia</dc:creator>
  <cp:keywords/>
  <dc:description/>
  <cp:lastModifiedBy>Ari Saha</cp:lastModifiedBy>
  <cp:revision>21</cp:revision>
  <dcterms:created xsi:type="dcterms:W3CDTF">2024-10-19T23:21:00Z</dcterms:created>
  <dcterms:modified xsi:type="dcterms:W3CDTF">2024-10-25T04:17:00Z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2024-10-20T00:12:33Z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147f8a8f-a168-45f1-96ef-6c6809c49d03</vt:lpwstr>
  </property>
  <property fmtid="{D5CDD505-2E9C-101B-9397-08002B2CF9AE}" pid="8" name="MSIP_Label_c62e0584-010f-4004-8a6a-d5c118c8b4bd_ContentBits">
    <vt:lpwstr>0</vt:lpwstr>
  </property>
</Properties>
</file>