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color w:val="1E40AF"/>
          <w:sz w:val="72"/>
        </w:rPr>
        <w:t>Cyber Resilience</w:t>
      </w:r>
    </w:p>
    <w:p>
      <w:pPr>
        <w:jc w:val="center"/>
      </w:pPr>
      <w:r>
        <w:rPr>
          <w:rFonts w:ascii="Calibri" w:hAnsi="Calibri"/>
          <w:b/>
          <w:color w:val="0F172A"/>
          <w:sz w:val="56"/>
        </w:rPr>
        <w:t>Project Charter</w:t>
      </w:r>
    </w:p>
    <w:p/>
    <w:p>
      <w:pPr>
        <w:jc w:val="center"/>
      </w:pPr>
      <w:r>
        <w:rPr>
          <w:rFonts w:ascii="Calibri" w:hAnsi="Calibri"/>
          <w:i/>
          <w:color w:val="334155"/>
          <w:sz w:val="28"/>
        </w:rPr>
        <w:t>Eliminating Production Downtime from Cyber Attacks and Viruses</w:t>
      </w:r>
    </w:p>
    <w:p/>
    <w:p/>
    <w:p>
      <w:pPr>
        <w:pBdr>
          <w:bottom w:val="single" w:sz="6" w:space="1" w:color="CBD5E1"/>
        </w:pBdr>
      </w:pPr>
    </w:p>
    <w:tbl>
      <w:tblPr>
        <w:tblW w:type="auto" w:w="0"/>
        <w:tblLayout w:type="autofit"/>
        <w:tblLook w:firstColumn="1" w:firstRow="1" w:lastColumn="0" w:lastRow="0" w:noHBand="0" w:noVBand="1" w:val="04A0"/>
      </w:tblPr>
      <w:tblGrid>
        <w:gridCol w:w="4873"/>
        <w:gridCol w:w="4873"/>
      </w:tblGrid>
      <w:tr>
        <w:tc>
          <w:tcPr>
            <w:tcW w:type="dxa" w:w="4873"/>
          </w:tcPr>
          <w:p>
            <w:r/>
            <w:r>
              <w:rPr>
                <w:rFonts w:ascii="Calibri" w:hAnsi="Calibri"/>
                <w:b/>
                <w:color w:val="334155"/>
                <w:sz w:val="20"/>
              </w:rPr>
              <w:t>Engagement</w:t>
            </w:r>
          </w:p>
        </w:tc>
        <w:tc>
          <w:tcPr>
            <w:tcW w:type="dxa" w:w="4873"/>
          </w:tcPr>
          <w:p>
            <w:r/>
            <w:r>
              <w:rPr>
                <w:rFonts w:ascii="Calibri" w:hAnsi="Calibri"/>
                <w:color w:val="0F172A"/>
                <w:sz w:val="20"/>
              </w:rPr>
              <w:t>Global EV Cell Manufacturing — Operational Stability Infrastructure</w:t>
            </w:r>
          </w:p>
        </w:tc>
      </w:tr>
      <w:tr>
        <w:tc>
          <w:tcPr>
            <w:tcW w:type="dxa" w:w="4873"/>
          </w:tcPr>
          <w:p>
            <w:r/>
            <w:r>
              <w:rPr>
                <w:rFonts w:ascii="Calibri" w:hAnsi="Calibri"/>
                <w:b/>
                <w:color w:val="334155"/>
                <w:sz w:val="20"/>
              </w:rPr>
              <w:t>Methodology</w:t>
            </w:r>
          </w:p>
        </w:tc>
        <w:tc>
          <w:tcPr>
            <w:tcW w:type="dxa" w:w="4873"/>
          </w:tcPr>
          <w:p>
            <w:r/>
            <w:r>
              <w:rPr>
                <w:rFonts w:ascii="Calibri" w:hAnsi="Calibri"/>
                <w:color w:val="0F172A"/>
                <w:sz w:val="20"/>
              </w:rPr>
              <w:t>Lean Six Sigma Master Black Belt (MBB) / DMAIC</w:t>
            </w:r>
          </w:p>
        </w:tc>
      </w:tr>
      <w:tr>
        <w:tc>
          <w:tcPr>
            <w:tcW w:type="dxa" w:w="4873"/>
          </w:tcPr>
          <w:p>
            <w:r/>
            <w:r>
              <w:rPr>
                <w:rFonts w:ascii="Calibri" w:hAnsi="Calibri"/>
                <w:b/>
                <w:color w:val="334155"/>
                <w:sz w:val="20"/>
              </w:rPr>
              <w:t>Execution Team</w:t>
            </w:r>
          </w:p>
        </w:tc>
        <w:tc>
          <w:tcPr>
            <w:tcW w:type="dxa" w:w="4873"/>
          </w:tcPr>
          <w:p>
            <w:r/>
            <w:r>
              <w:rPr>
                <w:rFonts w:ascii="Calibri" w:hAnsi="Calibri"/>
                <w:color w:val="0F172A"/>
                <w:sz w:val="20"/>
              </w:rPr>
              <w:t>19 Senior Software Engineers (Green Belts) at 10% weekly capacity</w:t>
            </w:r>
          </w:p>
        </w:tc>
      </w:tr>
      <w:tr>
        <w:tc>
          <w:tcPr>
            <w:tcW w:type="dxa" w:w="4873"/>
          </w:tcPr>
          <w:p>
            <w:r/>
            <w:r>
              <w:rPr>
                <w:rFonts w:ascii="Calibri" w:hAnsi="Calibri"/>
                <w:b/>
                <w:color w:val="334155"/>
                <w:sz w:val="20"/>
              </w:rPr>
              <w:t>Engagement Lead</w:t>
            </w:r>
          </w:p>
        </w:tc>
        <w:tc>
          <w:tcPr>
            <w:tcW w:type="dxa" w:w="4873"/>
          </w:tcPr>
          <w:p>
            <w:r/>
            <w:r>
              <w:rPr>
                <w:rFonts w:ascii="Calibri" w:hAnsi="Calibri"/>
                <w:color w:val="0F172A"/>
                <w:sz w:val="20"/>
              </w:rPr>
              <w:t>Olivia Key (MBB)</w:t>
            </w:r>
          </w:p>
        </w:tc>
      </w:tr>
      <w:tr>
        <w:tc>
          <w:tcPr>
            <w:tcW w:type="dxa" w:w="4873"/>
          </w:tcPr>
          <w:p>
            <w:r/>
            <w:r>
              <w:rPr>
                <w:rFonts w:ascii="Calibri" w:hAnsi="Calibri"/>
                <w:b/>
                <w:color w:val="334155"/>
                <w:sz w:val="20"/>
              </w:rPr>
              <w:t>Executive Sponsor</w:t>
            </w:r>
          </w:p>
        </w:tc>
        <w:tc>
          <w:tcPr>
            <w:tcW w:type="dxa" w:w="4873"/>
          </w:tcPr>
          <w:p>
            <w:r/>
            <w:r>
              <w:rPr>
                <w:rFonts w:ascii="Calibri" w:hAnsi="Calibri"/>
                <w:color w:val="0F172A"/>
                <w:sz w:val="20"/>
              </w:rPr>
              <w:t>Chief Information Security Officer (CISO)</w:t>
            </w:r>
          </w:p>
        </w:tc>
      </w:tr>
      <w:tr>
        <w:tc>
          <w:tcPr>
            <w:tcW w:type="dxa" w:w="4873"/>
          </w:tcPr>
          <w:p>
            <w:r/>
            <w:r>
              <w:rPr>
                <w:rFonts w:ascii="Calibri" w:hAnsi="Calibri"/>
                <w:b/>
                <w:color w:val="334155"/>
                <w:sz w:val="20"/>
              </w:rPr>
              <w:t>Duration</w:t>
            </w:r>
          </w:p>
        </w:tc>
        <w:tc>
          <w:tcPr>
            <w:tcW w:type="dxa" w:w="4873"/>
          </w:tcPr>
          <w:p>
            <w:r/>
            <w:r>
              <w:rPr>
                <w:rFonts w:ascii="Calibri" w:hAnsi="Calibri"/>
                <w:color w:val="0F172A"/>
                <w:sz w:val="20"/>
              </w:rPr>
              <w:t>12 weeks, 5 tollgates (G1–G5)</w:t>
            </w:r>
          </w:p>
        </w:tc>
      </w:tr>
      <w:tr>
        <w:tc>
          <w:tcPr>
            <w:tcW w:type="dxa" w:w="4873"/>
          </w:tcPr>
          <w:p>
            <w:r/>
            <w:r>
              <w:rPr>
                <w:rFonts w:ascii="Calibri" w:hAnsi="Calibri"/>
                <w:b/>
                <w:color w:val="334155"/>
                <w:sz w:val="20"/>
              </w:rPr>
              <w:t>Data Constraint</w:t>
            </w:r>
          </w:p>
        </w:tc>
        <w:tc>
          <w:tcPr>
            <w:tcW w:type="dxa" w:w="4873"/>
          </w:tcPr>
          <w:p>
            <w:r/>
            <w:r>
              <w:rPr>
                <w:rFonts w:ascii="Calibri" w:hAnsi="Calibri"/>
                <w:color w:val="0F172A"/>
                <w:sz w:val="20"/>
              </w:rPr>
              <w:t>Data-blind (anonymised, normalised inputs only)</w:t>
            </w:r>
          </w:p>
        </w:tc>
      </w:tr>
      <w:tr>
        <w:tc>
          <w:tcPr>
            <w:tcW w:type="dxa" w:w="4873"/>
          </w:tcPr>
          <w:p>
            <w:r/>
            <w:r>
              <w:rPr>
                <w:rFonts w:ascii="Calibri" w:hAnsi="Calibri"/>
                <w:b/>
                <w:color w:val="334155"/>
                <w:sz w:val="20"/>
              </w:rPr>
              <w:t>Engagement Target</w:t>
            </w:r>
          </w:p>
        </w:tc>
        <w:tc>
          <w:tcPr>
            <w:tcW w:type="dxa" w:w="4873"/>
          </w:tcPr>
          <w:p>
            <w:r/>
            <w:r>
              <w:rPr>
                <w:rFonts w:ascii="Calibri" w:hAnsi="Calibri"/>
                <w:color w:val="0F172A"/>
                <w:sz w:val="20"/>
              </w:rPr>
              <w:t>Z ≥ 4.5 capability for cyber-induced downtime</w:t>
            </w:r>
          </w:p>
        </w:tc>
      </w:tr>
      <w:tr>
        <w:tc>
          <w:tcPr>
            <w:tcW w:type="dxa" w:w="4873"/>
          </w:tcPr>
          <w:p>
            <w:r/>
            <w:r>
              <w:rPr>
                <w:rFonts w:ascii="Calibri" w:hAnsi="Calibri"/>
                <w:b/>
                <w:color w:val="334155"/>
                <w:sz w:val="20"/>
              </w:rPr>
              <w:t>Document Version</w:t>
            </w:r>
          </w:p>
        </w:tc>
        <w:tc>
          <w:tcPr>
            <w:tcW w:type="dxa" w:w="4873"/>
          </w:tcPr>
          <w:p>
            <w:r/>
            <w:r>
              <w:rPr>
                <w:rFonts w:ascii="Calibri" w:hAnsi="Calibri"/>
                <w:color w:val="0F172A"/>
                <w:sz w:val="20"/>
              </w:rPr>
              <w:t>Phase 1 (Define) — Final, 02 September 2026</w:t>
            </w:r>
          </w:p>
        </w:tc>
      </w:tr>
    </w:tbl>
    <w:p/>
    <w:p/>
    <w:p>
      <w:pPr>
        <w:pBdr>
          <w:bottom w:val="single" w:sz="6" w:space="1" w:color="CBD5E1"/>
        </w:pBdr>
      </w:pPr>
    </w:p>
    <w:p>
      <w:pPr>
        <w:jc w:val="center"/>
      </w:pPr>
      <w:r>
        <w:rPr>
          <w:rFonts w:ascii="Calibri" w:hAnsi="Calibri"/>
          <w:b/>
          <w:color w:val="DC2626"/>
          <w:sz w:val="22"/>
        </w:rPr>
        <w:t>CONFIDENTIAL — CISO EYES ONLY</w:t>
      </w:r>
    </w:p>
    <w:p>
      <w:pPr>
        <w:jc w:val="center"/>
      </w:pPr>
      <w:r>
        <w:rPr>
          <w:rFonts w:ascii="Calibri" w:hAnsi="Calibri"/>
          <w:i/>
          <w:color w:val="64748B"/>
          <w:sz w:val="18"/>
        </w:rPr>
        <w:t>Anonymised content. Internal network configurations, IP addresses, hostnames, and proprietary system details are protected by the data-access protocol (§3.5).</w:t>
      </w:r>
    </w:p>
    <w:p>
      <w:r>
        <w:br w:type="page"/>
      </w:r>
    </w:p>
    <w:p>
      <w:pPr>
        <w:pStyle w:val="Heading1"/>
      </w:pPr>
      <w:r>
        <w:rPr>
          <w:color w:val="1E40AF"/>
          <w:sz w:val="36"/>
        </w:rPr>
        <w:t>Document Map</w:t>
      </w:r>
    </w:p>
    <w:p>
      <w:r>
        <w:rPr>
          <w:rFonts w:ascii="Calibri" w:hAnsi="Calibri"/>
          <w:sz w:val="22"/>
        </w:rPr>
        <w:t>This Project Charter is the Phase 1 (Define) deliverable for the cyber resilience engagement. The document is structured for the CISO's first tollgate review (G1) and for ongoing governance through the engagement lifecycle.</w:t>
      </w:r>
    </w:p>
    <w:p/>
    <w:tbl>
      <w:tblPr>
        <w:tblStyle w:val="LightGrid-Accent1"/>
        <w:tblW w:type="auto" w:w="0"/>
        <w:tblLook w:firstColumn="1" w:firstRow="1" w:lastColumn="0" w:lastRow="0" w:noHBand="0" w:noVBand="1" w:val="04A0"/>
      </w:tblPr>
      <w:tblGrid>
        <w:gridCol w:w="3249"/>
        <w:gridCol w:w="3249"/>
        <w:gridCol w:w="3249"/>
      </w:tblGrid>
      <w:tr>
        <w:tc>
          <w:tcPr>
            <w:tcW w:type="dxa" w:w="864"/>
            <w:shd w:val="clear" w:color="auto" w:fill="1E40AF"/>
          </w:tcPr>
          <w:p>
            <w:r/>
            <w:r>
              <w:rPr>
                <w:rFonts w:ascii="Calibri" w:hAnsi="Calibri"/>
                <w:b/>
                <w:color w:val="FFFFFF"/>
                <w:sz w:val="20"/>
              </w:rPr>
              <w:t>#</w:t>
            </w:r>
          </w:p>
        </w:tc>
        <w:tc>
          <w:tcPr>
            <w:tcW w:type="dxa" w:w="3168"/>
            <w:shd w:val="clear" w:color="auto" w:fill="1E40AF"/>
          </w:tcPr>
          <w:p>
            <w:r/>
            <w:r>
              <w:rPr>
                <w:rFonts w:ascii="Calibri" w:hAnsi="Calibri"/>
                <w:b/>
                <w:color w:val="FFFFFF"/>
                <w:sz w:val="20"/>
              </w:rPr>
              <w:t>Section</w:t>
            </w:r>
          </w:p>
        </w:tc>
        <w:tc>
          <w:tcPr>
            <w:tcW w:type="dxa" w:w="6768"/>
            <w:shd w:val="clear" w:color="auto" w:fill="1E40AF"/>
          </w:tcPr>
          <w:p>
            <w:r/>
            <w:r>
              <w:rPr>
                <w:rFonts w:ascii="Calibri" w:hAnsi="Calibri"/>
                <w:b/>
                <w:color w:val="FFFFFF"/>
                <w:sz w:val="20"/>
              </w:rPr>
              <w:t>Content</w:t>
            </w:r>
          </w:p>
        </w:tc>
      </w:tr>
      <w:tr>
        <w:tc>
          <w:tcPr>
            <w:tcW w:type="dxa" w:w="864"/>
          </w:tcPr>
          <w:p>
            <w:r/>
            <w:r>
              <w:rPr>
                <w:rFonts w:ascii="Calibri" w:hAnsi="Calibri"/>
                <w:color w:val="0F172A"/>
                <w:sz w:val="18"/>
              </w:rPr>
              <w:t>§1</w:t>
            </w:r>
          </w:p>
        </w:tc>
        <w:tc>
          <w:tcPr>
            <w:tcW w:type="dxa" w:w="3168"/>
          </w:tcPr>
          <w:p>
            <w:r/>
            <w:r>
              <w:rPr>
                <w:rFonts w:ascii="Calibri" w:hAnsi="Calibri"/>
                <w:color w:val="0F172A"/>
                <w:sz w:val="18"/>
              </w:rPr>
              <w:t>Executive Summary</w:t>
            </w:r>
          </w:p>
        </w:tc>
        <w:tc>
          <w:tcPr>
            <w:tcW w:type="dxa" w:w="6768"/>
          </w:tcPr>
          <w:p>
            <w:r/>
            <w:r>
              <w:rPr>
                <w:rFonts w:ascii="Calibri" w:hAnsi="Calibri"/>
                <w:color w:val="0F172A"/>
                <w:sz w:val="18"/>
              </w:rPr>
              <w:t>Engagement at a glance, business case, strategic alignment, target outcomes</w:t>
            </w:r>
          </w:p>
        </w:tc>
      </w:tr>
      <w:tr>
        <w:tc>
          <w:tcPr>
            <w:tcW w:type="dxa" w:w="864"/>
          </w:tcPr>
          <w:p>
            <w:r/>
            <w:r>
              <w:rPr>
                <w:rFonts w:ascii="Calibri" w:hAnsi="Calibri"/>
                <w:color w:val="0F172A"/>
                <w:sz w:val="18"/>
              </w:rPr>
              <w:t>§2</w:t>
            </w:r>
          </w:p>
        </w:tc>
        <w:tc>
          <w:tcPr>
            <w:tcW w:type="dxa" w:w="3168"/>
          </w:tcPr>
          <w:p>
            <w:r/>
            <w:r>
              <w:rPr>
                <w:rFonts w:ascii="Calibri" w:hAnsi="Calibri"/>
                <w:color w:val="0F172A"/>
                <w:sz w:val="18"/>
              </w:rPr>
              <w:t>Business Case &amp; Financial Exposure</w:t>
            </w:r>
          </w:p>
        </w:tc>
        <w:tc>
          <w:tcPr>
            <w:tcW w:type="dxa" w:w="6768"/>
          </w:tcPr>
          <w:p>
            <w:r/>
            <w:r>
              <w:rPr>
                <w:rFonts w:ascii="Calibri" w:hAnsi="Calibri"/>
                <w:color w:val="0F172A"/>
                <w:sz w:val="18"/>
              </w:rPr>
              <w:t>P × E × M model, 5 exposure classes, COPQ, mitigation capture, multi-site multiplier, OSI comparison</w:t>
            </w:r>
          </w:p>
        </w:tc>
      </w:tr>
      <w:tr>
        <w:tc>
          <w:tcPr>
            <w:tcW w:type="dxa" w:w="864"/>
          </w:tcPr>
          <w:p>
            <w:r/>
            <w:r>
              <w:rPr>
                <w:rFonts w:ascii="Calibri" w:hAnsi="Calibri"/>
                <w:color w:val="0F172A"/>
                <w:sz w:val="18"/>
              </w:rPr>
              <w:t>§3</w:t>
            </w:r>
          </w:p>
        </w:tc>
        <w:tc>
          <w:tcPr>
            <w:tcW w:type="dxa" w:w="3168"/>
          </w:tcPr>
          <w:p>
            <w:r/>
            <w:r>
              <w:rPr>
                <w:rFonts w:ascii="Calibri" w:hAnsi="Calibri"/>
                <w:color w:val="0F172A"/>
                <w:sz w:val="18"/>
              </w:rPr>
              <w:t>CISO Strategic Alignment</w:t>
            </w:r>
          </w:p>
        </w:tc>
        <w:tc>
          <w:tcPr>
            <w:tcW w:type="dxa" w:w="6768"/>
          </w:tcPr>
          <w:p>
            <w:r/>
            <w:r>
              <w:rPr>
                <w:rFonts w:ascii="Calibri" w:hAnsi="Calibri"/>
                <w:color w:val="0F172A"/>
                <w:sz w:val="18"/>
              </w:rPr>
              <w:t>Role architecture, RACI, tollgate authority, escalation matrix, data-access governance</w:t>
            </w:r>
          </w:p>
        </w:tc>
      </w:tr>
      <w:tr>
        <w:tc>
          <w:tcPr>
            <w:tcW w:type="dxa" w:w="864"/>
          </w:tcPr>
          <w:p>
            <w:r/>
            <w:r>
              <w:rPr>
                <w:rFonts w:ascii="Calibri" w:hAnsi="Calibri"/>
                <w:color w:val="0F172A"/>
                <w:sz w:val="18"/>
              </w:rPr>
              <w:t>§4</w:t>
            </w:r>
          </w:p>
        </w:tc>
        <w:tc>
          <w:tcPr>
            <w:tcW w:type="dxa" w:w="3168"/>
          </w:tcPr>
          <w:p>
            <w:r/>
            <w:r>
              <w:rPr>
                <w:rFonts w:ascii="Calibri" w:hAnsi="Calibri"/>
                <w:color w:val="0F172A"/>
                <w:sz w:val="18"/>
              </w:rPr>
              <w:t>DMAIC Methodology</w:t>
            </w:r>
          </w:p>
        </w:tc>
        <w:tc>
          <w:tcPr>
            <w:tcW w:type="dxa" w:w="6768"/>
          </w:tcPr>
          <w:p>
            <w:r/>
            <w:r>
              <w:rPr>
                <w:rFonts w:ascii="Calibri" w:hAnsi="Calibri"/>
                <w:color w:val="0F172A"/>
                <w:sz w:val="18"/>
              </w:rPr>
              <w:t>Define / Measure / Analyse / Improve / Control phases; Cyber-FMEA top 12 (recalibrated); Digital 5C; Cyber Poka-Yoke; SMED; AI-augmented Layer 3</w:t>
            </w:r>
          </w:p>
        </w:tc>
      </w:tr>
      <w:tr>
        <w:tc>
          <w:tcPr>
            <w:tcW w:type="dxa" w:w="864"/>
          </w:tcPr>
          <w:p>
            <w:r/>
            <w:r>
              <w:rPr>
                <w:rFonts w:ascii="Calibri" w:hAnsi="Calibri"/>
                <w:color w:val="0F172A"/>
                <w:sz w:val="18"/>
              </w:rPr>
              <w:t>§5</w:t>
            </w:r>
          </w:p>
        </w:tc>
        <w:tc>
          <w:tcPr>
            <w:tcW w:type="dxa" w:w="3168"/>
          </w:tcPr>
          <w:p>
            <w:r/>
            <w:r>
              <w:rPr>
                <w:rFonts w:ascii="Calibri" w:hAnsi="Calibri"/>
                <w:color w:val="0F172A"/>
                <w:sz w:val="18"/>
              </w:rPr>
              <w:t>Implementation Roadmap</w:t>
            </w:r>
          </w:p>
        </w:tc>
        <w:tc>
          <w:tcPr>
            <w:tcW w:type="dxa" w:w="6768"/>
          </w:tcPr>
          <w:p>
            <w:r/>
            <w:r>
              <w:rPr>
                <w:rFonts w:ascii="Calibri" w:hAnsi="Calibri"/>
                <w:color w:val="0F172A"/>
                <w:sz w:val="18"/>
              </w:rPr>
              <w:t>12-week Gantt with 3 tracks, cross-track dependencies, critical path, tollgate calendar, GB utilisation, risk-based decision points</w:t>
            </w:r>
          </w:p>
        </w:tc>
      </w:tr>
      <w:tr>
        <w:tc>
          <w:tcPr>
            <w:tcW w:type="dxa" w:w="864"/>
          </w:tcPr>
          <w:p>
            <w:r/>
            <w:r>
              <w:rPr>
                <w:rFonts w:ascii="Calibri" w:hAnsi="Calibri"/>
                <w:color w:val="0F172A"/>
                <w:sz w:val="18"/>
              </w:rPr>
              <w:t>§6</w:t>
            </w:r>
          </w:p>
        </w:tc>
        <w:tc>
          <w:tcPr>
            <w:tcW w:type="dxa" w:w="3168"/>
          </w:tcPr>
          <w:p>
            <w:r/>
            <w:r>
              <w:rPr>
                <w:rFonts w:ascii="Calibri" w:hAnsi="Calibri"/>
                <w:color w:val="0F172A"/>
                <w:sz w:val="18"/>
              </w:rPr>
              <w:t>Continuation &amp; Standard Work</w:t>
            </w:r>
          </w:p>
        </w:tc>
        <w:tc>
          <w:tcPr>
            <w:tcW w:type="dxa" w:w="6768"/>
          </w:tcPr>
          <w:p>
            <w:r/>
            <w:r>
              <w:rPr>
                <w:rFonts w:ascii="Calibri" w:hAnsi="Calibri"/>
                <w:color w:val="0F172A"/>
                <w:sz w:val="18"/>
              </w:rPr>
              <w:t>Standard Work (weekly / monthly / quarterly / annual), 13 Cyber-Kaizen triggers, maturity scoring, cross-site replication, GB onboarding</w:t>
            </w:r>
          </w:p>
        </w:tc>
      </w:tr>
      <w:tr>
        <w:tc>
          <w:tcPr>
            <w:tcW w:type="dxa" w:w="864"/>
          </w:tcPr>
          <w:p>
            <w:r/>
            <w:r>
              <w:rPr>
                <w:rFonts w:ascii="Calibri" w:hAnsi="Calibri"/>
                <w:color w:val="0F172A"/>
                <w:sz w:val="18"/>
              </w:rPr>
              <w:t>§7</w:t>
            </w:r>
          </w:p>
        </w:tc>
        <w:tc>
          <w:tcPr>
            <w:tcW w:type="dxa" w:w="3168"/>
          </w:tcPr>
          <w:p>
            <w:r/>
            <w:r>
              <w:rPr>
                <w:rFonts w:ascii="Calibri" w:hAnsi="Calibri"/>
                <w:color w:val="0F172A"/>
                <w:sz w:val="18"/>
              </w:rPr>
              <w:t>CISO Governance Cycle</w:t>
            </w:r>
          </w:p>
        </w:tc>
        <w:tc>
          <w:tcPr>
            <w:tcW w:type="dxa" w:w="6768"/>
          </w:tcPr>
          <w:p>
            <w:r/>
            <w:r>
              <w:rPr>
                <w:rFonts w:ascii="Calibri" w:hAnsi="Calibri"/>
                <w:color w:val="0F172A"/>
                <w:sz w:val="18"/>
              </w:rPr>
              <w:t>Executive Dashboard (8 tiles), bi-weekly briefings, bi-annual audits, annual strategic review</w:t>
            </w:r>
          </w:p>
        </w:tc>
      </w:tr>
      <w:tr>
        <w:tc>
          <w:tcPr>
            <w:tcW w:type="dxa" w:w="864"/>
          </w:tcPr>
          <w:p>
            <w:r/>
            <w:r>
              <w:rPr>
                <w:rFonts w:ascii="Calibri" w:hAnsi="Calibri"/>
                <w:color w:val="0F172A"/>
                <w:sz w:val="18"/>
              </w:rPr>
              <w:t>§8</w:t>
            </w:r>
          </w:p>
        </w:tc>
        <w:tc>
          <w:tcPr>
            <w:tcW w:type="dxa" w:w="3168"/>
          </w:tcPr>
          <w:p>
            <w:r/>
            <w:r>
              <w:rPr>
                <w:rFonts w:ascii="Calibri" w:hAnsi="Calibri"/>
                <w:color w:val="0F172A"/>
                <w:sz w:val="18"/>
              </w:rPr>
              <w:t>Constraints &amp; Risks</w:t>
            </w:r>
          </w:p>
        </w:tc>
        <w:tc>
          <w:tcPr>
            <w:tcW w:type="dxa" w:w="6768"/>
          </w:tcPr>
          <w:p>
            <w:r/>
            <w:r>
              <w:rPr>
                <w:rFonts w:ascii="Calibri" w:hAnsi="Calibri"/>
                <w:color w:val="0F172A"/>
                <w:sz w:val="18"/>
              </w:rPr>
              <w:t>5 constraint categories, 10 assumptions, 8-risk register, residual risk acceptance, entropy defence</w:t>
            </w:r>
          </w:p>
        </w:tc>
      </w:tr>
      <w:tr>
        <w:tc>
          <w:tcPr>
            <w:tcW w:type="dxa" w:w="864"/>
          </w:tcPr>
          <w:p>
            <w:r/>
            <w:r>
              <w:rPr>
                <w:rFonts w:ascii="Calibri" w:hAnsi="Calibri"/>
                <w:color w:val="0F172A"/>
                <w:sz w:val="18"/>
              </w:rPr>
              <w:t>App A</w:t>
            </w:r>
          </w:p>
        </w:tc>
        <w:tc>
          <w:tcPr>
            <w:tcW w:type="dxa" w:w="3168"/>
          </w:tcPr>
          <w:p>
            <w:r/>
            <w:r>
              <w:rPr>
                <w:rFonts w:ascii="Calibri" w:hAnsi="Calibri"/>
                <w:color w:val="0F172A"/>
                <w:sz w:val="18"/>
              </w:rPr>
              <w:t>CISO Elevator Pitch</w:t>
            </w:r>
          </w:p>
        </w:tc>
        <w:tc>
          <w:tcPr>
            <w:tcW w:type="dxa" w:w="6768"/>
          </w:tcPr>
          <w:p>
            <w:r/>
            <w:r>
              <w:rPr>
                <w:rFonts w:ascii="Calibri" w:hAnsi="Calibri"/>
                <w:color w:val="0F172A"/>
                <w:sz w:val="18"/>
              </w:rPr>
              <w:t>3 variants (CISO / Board / 30-Second) + 2 sub-variants (OEM / IT Security peer)</w:t>
            </w:r>
          </w:p>
        </w:tc>
      </w:tr>
      <w:tr>
        <w:tc>
          <w:tcPr>
            <w:tcW w:type="dxa" w:w="864"/>
          </w:tcPr>
          <w:p>
            <w:r/>
            <w:r>
              <w:rPr>
                <w:rFonts w:ascii="Calibri" w:hAnsi="Calibri"/>
                <w:color w:val="0F172A"/>
                <w:sz w:val="18"/>
              </w:rPr>
              <w:t>App B</w:t>
            </w:r>
          </w:p>
        </w:tc>
        <w:tc>
          <w:tcPr>
            <w:tcW w:type="dxa" w:w="3168"/>
          </w:tcPr>
          <w:p>
            <w:r/>
            <w:r>
              <w:rPr>
                <w:rFonts w:ascii="Calibri" w:hAnsi="Calibri"/>
                <w:color w:val="0F172A"/>
                <w:sz w:val="18"/>
              </w:rPr>
              <w:t>CISO Executive Dashboard Mockup</w:t>
            </w:r>
          </w:p>
        </w:tc>
        <w:tc>
          <w:tcPr>
            <w:tcW w:type="dxa" w:w="6768"/>
          </w:tcPr>
          <w:p>
            <w:r/>
            <w:r>
              <w:rPr>
                <w:rFonts w:ascii="Calibri" w:hAnsi="Calibri"/>
                <w:color w:val="0F172A"/>
                <w:sz w:val="18"/>
              </w:rPr>
              <w:t>8 tile grid with sample G5 data, color coding, drill-down, mobile view; interactive HTML mockup as separate deliverable</w:t>
            </w:r>
          </w:p>
        </w:tc>
      </w:tr>
    </w:tbl>
    <w:p/>
    <w:p>
      <w:r>
        <w:rPr>
          <w:rFonts w:ascii="Calibri" w:hAnsi="Calibri"/>
          <w:i/>
          <w:color w:val="64748B"/>
          <w:sz w:val="20"/>
        </w:rPr>
        <w:t>Cross-references: All sections reference the engagement's core artefacts — the 5 exposure classes (§2), the data-access protocol (§3.5), the Cyber-FMEA (§4.4), the Gantt timeline (§5.2), the 13 Kaizen triggers (§6.3), the Executive Dashboard (§7.2), and the 8-risk register (§8.3).</w:t>
      </w:r>
    </w:p>
    <w:p>
      <w:r>
        <w:br w:type="page"/>
      </w:r>
    </w:p>
    <w:p>
      <w:pPr>
        <w:pStyle w:val="Heading1"/>
      </w:pPr>
      <w:r>
        <w:rPr>
          <w:color w:val="1E40AF"/>
          <w:sz w:val="40"/>
        </w:rPr>
        <w:t>Section 1 — Executive Summary</w:t>
      </w:r>
    </w:p>
    <w:p>
      <w:pPr>
        <w:pBdr>
          <w:bottom w:val="single" w:sz="6" w:space="1" w:color="CBD5E1"/>
        </w:pBdr>
      </w:pPr>
    </w:p>
    <w:p/>
    <w:p>
      <w:pPr>
        <w:pStyle w:val="Heading2"/>
      </w:pPr>
      <w:r>
        <w:rPr>
          <w:color w:val="0F172A"/>
          <w:sz w:val="28"/>
        </w:rPr>
        <w:t>1.1 Engagement at a Glance</w:t>
      </w:r>
    </w:p>
    <w:tbl>
      <w:tblPr>
        <w:tblStyle w:val="LightGrid-Accent1"/>
        <w:tblW w:type="auto" w:w="0"/>
        <w:tblLook w:firstColumn="1" w:firstRow="1" w:lastColumn="0" w:lastRow="0" w:noHBand="0" w:noVBand="1" w:val="04A0"/>
      </w:tblPr>
      <w:tblGrid>
        <w:gridCol w:w="4873"/>
        <w:gridCol w:w="4873"/>
      </w:tblGrid>
      <w:tr>
        <w:tc>
          <w:tcPr>
            <w:tcW w:type="dxa" w:w="2160"/>
          </w:tcPr>
          <w:p>
            <w:r>
              <w:rPr>
                <w:b/>
                <w:color w:val="334155"/>
                <w:sz w:val="20"/>
              </w:rPr>
              <w:t>Objective</w:t>
            </w:r>
          </w:p>
        </w:tc>
        <w:tc>
          <w:tcPr>
            <w:tcW w:type="dxa" w:w="7920"/>
          </w:tcPr>
          <w:p>
            <w:r>
              <w:rPr>
                <w:color w:val="0F172A"/>
                <w:sz w:val="20"/>
              </w:rPr>
              <w:t>Zero unplanned production downtime caused by cyber attacks, malware, ransomware, and unauthorised digital intrusion across global EV cell manufacturing</w:t>
            </w:r>
          </w:p>
        </w:tc>
      </w:tr>
      <w:tr>
        <w:tc>
          <w:tcPr>
            <w:tcW w:type="dxa" w:w="2160"/>
          </w:tcPr>
          <w:p>
            <w:r>
              <w:rPr>
                <w:b/>
                <w:color w:val="334155"/>
                <w:sz w:val="20"/>
              </w:rPr>
              <w:t>Context</w:t>
            </w:r>
          </w:p>
        </w:tc>
        <w:tc>
          <w:tcPr>
            <w:tcW w:type="dxa" w:w="7920"/>
          </w:tcPr>
          <w:p>
            <w:r>
              <w:rPr>
                <w:color w:val="0F172A"/>
                <w:sz w:val="20"/>
              </w:rPr>
              <w:t>High-speed, continuous-process environment. Per-incident exposure band: $30M–$100M+ direct, with line-level direct cost of $250K–$500K+ per hour</w:t>
            </w:r>
          </w:p>
        </w:tc>
      </w:tr>
      <w:tr>
        <w:tc>
          <w:tcPr>
            <w:tcW w:type="dxa" w:w="2160"/>
          </w:tcPr>
          <w:p>
            <w:r>
              <w:rPr>
                <w:b/>
                <w:color w:val="334155"/>
                <w:sz w:val="20"/>
              </w:rPr>
              <w:t>Approach</w:t>
            </w:r>
          </w:p>
        </w:tc>
        <w:tc>
          <w:tcPr>
            <w:tcW w:type="dxa" w:w="7920"/>
          </w:tcPr>
          <w:p>
            <w:r>
              <w:rPr>
                <w:color w:val="0F172A"/>
                <w:sz w:val="20"/>
              </w:rPr>
              <w:t>Lean Six Sigma MBB framework treating cyber-induced downtime as a process defect; DMAIC across the IT/OT convergence stack</w:t>
            </w:r>
          </w:p>
        </w:tc>
      </w:tr>
      <w:tr>
        <w:tc>
          <w:tcPr>
            <w:tcW w:type="dxa" w:w="2160"/>
          </w:tcPr>
          <w:p>
            <w:r>
              <w:rPr>
                <w:b/>
                <w:color w:val="334155"/>
                <w:sz w:val="20"/>
              </w:rPr>
              <w:t>Execution</w:t>
            </w:r>
          </w:p>
        </w:tc>
        <w:tc>
          <w:tcPr>
            <w:tcW w:type="dxa" w:w="7920"/>
          </w:tcPr>
          <w:p>
            <w:r>
              <w:rPr>
                <w:color w:val="0F172A"/>
                <w:sz w:val="20"/>
              </w:rPr>
              <w:t>19 Green Belts across 3 parallel tracks: Track A (6) Architecture, Track B (7) Data &amp; Metrics, Track C (6) Automation</w:t>
            </w:r>
          </w:p>
        </w:tc>
      </w:tr>
      <w:tr>
        <w:tc>
          <w:tcPr>
            <w:tcW w:type="dxa" w:w="2160"/>
          </w:tcPr>
          <w:p>
            <w:r>
              <w:rPr>
                <w:b/>
                <w:color w:val="334155"/>
                <w:sz w:val="20"/>
              </w:rPr>
              <w:t>Constraint</w:t>
            </w:r>
          </w:p>
        </w:tc>
        <w:tc>
          <w:tcPr>
            <w:tcW w:type="dxa" w:w="7920"/>
          </w:tcPr>
          <w:p>
            <w:r>
              <w:rPr>
                <w:color w:val="0F172A"/>
                <w:sz w:val="20"/>
              </w:rPr>
              <w:t>Data-blind architecture — anonymised, normalised data streams only</w:t>
            </w:r>
          </w:p>
        </w:tc>
      </w:tr>
      <w:tr>
        <w:tc>
          <w:tcPr>
            <w:tcW w:type="dxa" w:w="2160"/>
          </w:tcPr>
          <w:p>
            <w:r>
              <w:rPr>
                <w:b/>
                <w:color w:val="334155"/>
                <w:sz w:val="20"/>
              </w:rPr>
              <w:t>Sponsor</w:t>
            </w:r>
          </w:p>
        </w:tc>
        <w:tc>
          <w:tcPr>
            <w:tcW w:type="dxa" w:w="7920"/>
          </w:tcPr>
          <w:p>
            <w:r>
              <w:rPr>
                <w:color w:val="0F172A"/>
                <w:sz w:val="20"/>
              </w:rPr>
              <w:t>CISO (Executive Sponsor &amp; Process Owner)</w:t>
            </w:r>
          </w:p>
        </w:tc>
      </w:tr>
      <w:tr>
        <w:tc>
          <w:tcPr>
            <w:tcW w:type="dxa" w:w="2160"/>
          </w:tcPr>
          <w:p>
            <w:r>
              <w:rPr>
                <w:b/>
                <w:color w:val="334155"/>
                <w:sz w:val="20"/>
              </w:rPr>
              <w:t>MBB Role</w:t>
            </w:r>
          </w:p>
        </w:tc>
        <w:tc>
          <w:tcPr>
            <w:tcW w:type="dxa" w:w="7920"/>
          </w:tcPr>
          <w:p>
            <w:r>
              <w:rPr>
                <w:color w:val="0F172A"/>
                <w:sz w:val="20"/>
              </w:rPr>
              <w:t>DMAIC translation &amp; project velocity governance</w:t>
            </w:r>
          </w:p>
        </w:tc>
      </w:tr>
      <w:tr>
        <w:tc>
          <w:tcPr>
            <w:tcW w:type="dxa" w:w="2160"/>
          </w:tcPr>
          <w:p>
            <w:r>
              <w:rPr>
                <w:b/>
                <w:color w:val="334155"/>
                <w:sz w:val="20"/>
              </w:rPr>
              <w:t>Duration</w:t>
            </w:r>
          </w:p>
        </w:tc>
        <w:tc>
          <w:tcPr>
            <w:tcW w:type="dxa" w:w="7920"/>
          </w:tcPr>
          <w:p>
            <w:r>
              <w:rPr>
                <w:color w:val="0F172A"/>
                <w:sz w:val="20"/>
              </w:rPr>
              <w:t>12 weeks, 5 tollgates</w:t>
            </w:r>
          </w:p>
        </w:tc>
      </w:tr>
      <w:tr>
        <w:tc>
          <w:tcPr>
            <w:tcW w:type="dxa" w:w="2160"/>
          </w:tcPr>
          <w:p>
            <w:r>
              <w:rPr>
                <w:b/>
                <w:color w:val="334155"/>
                <w:sz w:val="20"/>
              </w:rPr>
              <w:t>Capability Target</w:t>
            </w:r>
          </w:p>
        </w:tc>
        <w:tc>
          <w:tcPr>
            <w:tcW w:type="dxa" w:w="7920"/>
          </w:tcPr>
          <w:p>
            <w:r>
              <w:rPr>
                <w:color w:val="0F172A"/>
                <w:sz w:val="20"/>
              </w:rPr>
              <w:t>Z ≥ 6.0 (theoretical Six Sigma) — 0.002 DPMO short-term / 3.4 DPMO with 1.5σ long-term shift</w:t>
            </w:r>
          </w:p>
        </w:tc>
      </w:tr>
    </w:tbl>
    <w:p/>
    <w:p>
      <w:pPr>
        <w:pStyle w:val="Heading2"/>
      </w:pPr>
      <w:r>
        <w:rPr>
          <w:color w:val="0F172A"/>
          <w:sz w:val="28"/>
        </w:rPr>
        <w:t>1.2 The Business Case — Cyber Risk as a Process Defect</w:t>
      </w:r>
    </w:p>
    <w:p>
      <w:r>
        <w:rPr>
          <w:rFonts w:ascii="Calibri" w:hAnsi="Calibri"/>
          <w:sz w:val="22"/>
        </w:rPr>
        <w:t>Traditional cybersecurity focuses on perimeter defence. This framework reframes cyber incidents as manufacturing process defects that directly degrade Overall Equipment Effectiveness (OEE), yield, and Cost of Poor Quality (COPQ).</w:t>
      </w:r>
    </w:p>
    <w:p>
      <w:pPr>
        <w:shd w:val="clear" w:color="auto" w:fill="F1F5F9"/>
      </w:pPr>
      <w:r>
        <w:rPr>
          <w:rFonts w:ascii="Consolas" w:hAnsi="Consolas"/>
          <w:color w:val="334155"/>
          <w:sz w:val="18"/>
        </w:rPr>
        <w:t>[ Traditional IT Security ]  →  Vulnerabilities, Threats, Perimeter</w:t>
        <w:br/>
        <w:t>[ MBB Cyber-Lean Model    ]  →  Defect Rate, Cycle Time (MTTR), COPQ</w:t>
      </w:r>
    </w:p>
    <w:p>
      <w:r>
        <w:rPr>
          <w:rFonts w:ascii="Calibri" w:hAnsi="Calibri"/>
          <w:i/>
          <w:color w:val="334155"/>
          <w:sz w:val="20"/>
        </w:rPr>
        <w:t>The shift is not cosmetic. It repositions cyber resilience from a technical control function to an operational excellence programme with measurable capability, statistical control, and quantified financial protection.</w:t>
      </w:r>
    </w:p>
    <w:p/>
    <w:p>
      <w:pPr>
        <w:pStyle w:val="Heading2"/>
      </w:pPr>
      <w:r>
        <w:rPr>
          <w:color w:val="0F172A"/>
          <w:sz w:val="28"/>
        </w:rPr>
        <w:t>1.3 Strategic Alignment</w:t>
      </w:r>
    </w:p>
    <w:p>
      <w:r>
        <w:rPr>
          <w:rFonts w:ascii="Calibri" w:hAnsi="Calibri"/>
          <w:sz w:val="22"/>
        </w:rPr>
        <w:t>The CISO owns risk appetite and confidentiality. The MBB owns the analytical engine and project velocity. The 19 Green Belts own execution and statistical control. This separation prevents the engagement from collapsing into either pure IT security (no operational rigour) or pure operational programme (no cyber domain depth).</w:t>
      </w:r>
    </w:p>
    <w:p>
      <w:pPr>
        <w:shd w:val="clear" w:color="auto" w:fill="F1F5F9"/>
      </w:pPr>
      <w:r>
        <w:rPr>
          <w:rFonts w:ascii="Consolas" w:hAnsi="Consolas"/>
          <w:color w:val="334155"/>
          <w:sz w:val="18"/>
        </w:rPr>
        <w:t>┌────────────────────────────────────────────────────────────┐</w:t>
        <w:br/>
        <w:t>│                       CISO (Sponsor)                       │</w:t>
        <w:br/>
        <w:t>│      Defines Risk Appetite &amp; Protects Confidentiality      │</w:t>
        <w:br/>
        <w:t>└─────────────────────────────┬──────────────────────────────┘</w:t>
        <w:br/>
        <w:t xml:space="preserve">                              ▼</w:t>
        <w:br/>
        <w:t>┌────────────────────────────────────────────────────────────┐</w:t>
        <w:br/>
        <w:t>│                       MBB (Your Role)                      │</w:t>
        <w:br/>
        <w:t>│   Translates Cyber Risk → DMAIC &amp; Governs Project Velocity │</w:t>
        <w:br/>
        <w:t>└─────────────────────────────┬──────────────────────────────┘</w:t>
        <w:br/>
        <w:t xml:space="preserve">                              ▼</w:t>
        <w:br/>
        <w:t>┌────────────────────────────────────────────────────────────┐</w:t>
        <w:br/>
        <w:t>│          19 Senior Software Engineers (Green Belts)       │</w:t>
        <w:br/>
        <w:t>│   Execute Cyber Poka-Yoke &amp; Drive Statistical Control      │</w:t>
        <w:br/>
        <w:t>└────────────────────────────────────────────────────────────┘</w:t>
      </w:r>
    </w:p>
    <w:p/>
    <w:p>
      <w:pPr>
        <w:pStyle w:val="Heading2"/>
      </w:pPr>
      <w:r>
        <w:rPr>
          <w:color w:val="0F172A"/>
          <w:sz w:val="28"/>
        </w:rPr>
        <w:t>1.4 Target Outcomes (12-Week Horizon)</w:t>
      </w:r>
    </w:p>
    <w:p>
      <w:r>
        <w:rPr>
          <w:rFonts w:ascii="Calibri" w:hAnsi="Calibri"/>
          <w:i/>
          <w:color w:val="334155"/>
          <w:sz w:val="20"/>
        </w:rPr>
        <w:t>The engagement-level target is Z ≥ 4.5 capability for cyber-induced downtime (≤ 1.4 DPMO). All sub-process targets in §1.4.1 are operational translations of sub-process capability indices that roll up to this engagement-level target. Time values are baseline operational expressions; the capability index is the binding MBB metric, and the Measure phase (Tollgate G2) will validate them against actual anonymised process data.</w:t>
      </w:r>
    </w:p>
    <w:p/>
    <w:tbl>
      <w:tblPr>
        <w:tblStyle w:val="LightGrid-Accent1"/>
        <w:tblW w:type="auto" w:w="0"/>
        <w:tblLook w:firstColumn="1" w:firstRow="1" w:lastColumn="0" w:lastRow="0" w:noHBand="0" w:noVBand="1" w:val="04A0"/>
      </w:tblPr>
      <w:tblGrid>
        <w:gridCol w:w="3249"/>
        <w:gridCol w:w="3249"/>
        <w:gridCol w:w="3249"/>
      </w:tblGrid>
      <w:tr>
        <w:tc>
          <w:tcPr>
            <w:tcW w:type="dxa" w:w="3168"/>
            <w:shd w:val="clear" w:color="auto" w:fill="1E40AF"/>
          </w:tcPr>
          <w:p>
            <w:r/>
            <w:r>
              <w:rPr>
                <w:rFonts w:ascii="Calibri" w:hAnsi="Calibri"/>
                <w:b/>
                <w:color w:val="FFFFFF"/>
                <w:sz w:val="20"/>
              </w:rPr>
              <w:t>Outcome</w:t>
            </w:r>
          </w:p>
        </w:tc>
        <w:tc>
          <w:tcPr>
            <w:tcW w:type="dxa" w:w="3456"/>
            <w:shd w:val="clear" w:color="auto" w:fill="1E40AF"/>
          </w:tcPr>
          <w:p>
            <w:r/>
            <w:r>
              <w:rPr>
                <w:rFonts w:ascii="Calibri" w:hAnsi="Calibri"/>
                <w:b/>
                <w:color w:val="FFFFFF"/>
                <w:sz w:val="20"/>
              </w:rPr>
              <w:t>Target</w:t>
            </w:r>
          </w:p>
        </w:tc>
        <w:tc>
          <w:tcPr>
            <w:tcW w:type="dxa" w:w="3456"/>
            <w:shd w:val="clear" w:color="auto" w:fill="1E40AF"/>
          </w:tcPr>
          <w:p>
            <w:r/>
            <w:r>
              <w:rPr>
                <w:rFonts w:ascii="Calibri" w:hAnsi="Calibri"/>
                <w:b/>
                <w:color w:val="FFFFFF"/>
                <w:sz w:val="20"/>
              </w:rPr>
              <w:t>Measure</w:t>
            </w:r>
          </w:p>
        </w:tc>
      </w:tr>
      <w:tr>
        <w:tc>
          <w:tcPr>
            <w:tcW w:type="dxa" w:w="3168"/>
          </w:tcPr>
          <w:p>
            <w:r/>
            <w:r>
              <w:rPr>
                <w:rFonts w:ascii="Calibri" w:hAnsi="Calibri"/>
                <w:color w:val="0F172A"/>
                <w:sz w:val="18"/>
              </w:rPr>
              <w:t>Unplanned cyber-induced downtime</w:t>
            </w:r>
          </w:p>
        </w:tc>
        <w:tc>
          <w:tcPr>
            <w:tcW w:type="dxa" w:w="3456"/>
          </w:tcPr>
          <w:p>
            <w:r/>
            <w:r>
              <w:rPr>
                <w:rFonts w:ascii="Calibri" w:hAnsi="Calibri"/>
                <w:color w:val="0F172A"/>
                <w:sz w:val="18"/>
              </w:rPr>
              <w:t>0 events / line / quarter</w:t>
            </w:r>
          </w:p>
        </w:tc>
        <w:tc>
          <w:tcPr>
            <w:tcW w:type="dxa" w:w="3456"/>
          </w:tcPr>
          <w:p>
            <w:r/>
            <w:r>
              <w:rPr>
                <w:rFonts w:ascii="Calibri" w:hAnsi="Calibri"/>
                <w:color w:val="0F172A"/>
                <w:sz w:val="18"/>
              </w:rPr>
              <w:t>Incident log + tollgate verification</w:t>
            </w:r>
          </w:p>
        </w:tc>
      </w:tr>
      <w:tr>
        <w:tc>
          <w:tcPr>
            <w:tcW w:type="dxa" w:w="3168"/>
          </w:tcPr>
          <w:p>
            <w:r/>
            <w:r>
              <w:rPr>
                <w:rFonts w:ascii="Calibri" w:hAnsi="Calibri"/>
                <w:color w:val="0F172A"/>
                <w:sz w:val="18"/>
              </w:rPr>
              <w:t>OT network uptime capability (engagement-level)</w:t>
            </w:r>
          </w:p>
        </w:tc>
        <w:tc>
          <w:tcPr>
            <w:tcW w:type="dxa" w:w="3456"/>
          </w:tcPr>
          <w:p>
            <w:r/>
            <w:r>
              <w:rPr>
                <w:rFonts w:ascii="Calibri" w:hAnsi="Calibri"/>
                <w:color w:val="0F172A"/>
                <w:sz w:val="18"/>
              </w:rPr>
              <w:t>Z ≥ 6.0 (0.002 DPMO; 3.4 DPMO with 1.5σ shift — theoretical Six Sigma)</w:t>
            </w:r>
          </w:p>
        </w:tc>
        <w:tc>
          <w:tcPr>
            <w:tcW w:type="dxa" w:w="3456"/>
          </w:tcPr>
          <w:p>
            <w:r/>
            <w:r>
              <w:rPr>
                <w:rFonts w:ascii="Calibri" w:hAnsi="Calibri"/>
                <w:color w:val="0F172A"/>
                <w:sz w:val="18"/>
              </w:rPr>
              <w:t>Process Capability report</w:t>
            </w:r>
          </w:p>
        </w:tc>
      </w:tr>
      <w:tr>
        <w:tc>
          <w:tcPr>
            <w:tcW w:type="dxa" w:w="3168"/>
          </w:tcPr>
          <w:p>
            <w:r/>
            <w:r>
              <w:rPr>
                <w:rFonts w:ascii="Calibri" w:hAnsi="Calibri"/>
                <w:color w:val="0F172A"/>
                <w:sz w:val="18"/>
              </w:rPr>
              <w:t>Cpk (process capability index)</w:t>
            </w:r>
          </w:p>
        </w:tc>
        <w:tc>
          <w:tcPr>
            <w:tcW w:type="dxa" w:w="3456"/>
          </w:tcPr>
          <w:p>
            <w:r/>
            <w:r>
              <w:rPr>
                <w:rFonts w:ascii="Calibri" w:hAnsi="Calibri"/>
                <w:color w:val="0F172A"/>
                <w:sz w:val="18"/>
              </w:rPr>
              <w:t>≥ 2.0 across every sub-process (Six Sigma)</w:t>
            </w:r>
          </w:p>
        </w:tc>
        <w:tc>
          <w:tcPr>
            <w:tcW w:type="dxa" w:w="3456"/>
          </w:tcPr>
          <w:p>
            <w:r/>
            <w:r>
              <w:rPr>
                <w:rFonts w:ascii="Calibri" w:hAnsi="Calibri"/>
                <w:color w:val="0F172A"/>
                <w:sz w:val="18"/>
              </w:rPr>
              <w:t>Track B measurement</w:t>
            </w:r>
          </w:p>
        </w:tc>
      </w:tr>
    </w:tbl>
    <w:p/>
    <w:p>
      <w:pPr>
        <w:pStyle w:val="Heading2"/>
      </w:pPr>
      <w:r>
        <w:rPr>
          <w:color w:val="0F172A"/>
          <w:sz w:val="28"/>
        </w:rPr>
        <w:t>1.4.1 Sub-Process Capability Targets (MBB-Derived)</w:t>
      </w:r>
    </w:p>
    <w:tbl>
      <w:tblPr>
        <w:tblStyle w:val="LightGrid-Accent1"/>
        <w:tblW w:type="auto" w:w="0"/>
        <w:tblLook w:firstColumn="1" w:firstRow="1" w:lastColumn="0" w:lastRow="0" w:noHBand="0" w:noVBand="1" w:val="04A0"/>
      </w:tblPr>
      <w:tblGrid>
        <w:gridCol w:w="3249"/>
        <w:gridCol w:w="3249"/>
        <w:gridCol w:w="3249"/>
      </w:tblGrid>
      <w:tr>
        <w:tc>
          <w:tcPr>
            <w:tcW w:type="dxa" w:w="3168"/>
            <w:shd w:val="clear" w:color="auto" w:fill="1E40AF"/>
          </w:tcPr>
          <w:p>
            <w:r/>
            <w:r>
              <w:rPr>
                <w:rFonts w:ascii="Calibri" w:hAnsi="Calibri"/>
                <w:b/>
                <w:color w:val="FFFFFF"/>
                <w:sz w:val="20"/>
              </w:rPr>
              <w:t>Sub-process</w:t>
            </w:r>
          </w:p>
        </w:tc>
        <w:tc>
          <w:tcPr>
            <w:tcW w:type="dxa" w:w="2592"/>
            <w:shd w:val="clear" w:color="auto" w:fill="1E40AF"/>
          </w:tcPr>
          <w:p>
            <w:r/>
            <w:r>
              <w:rPr>
                <w:rFonts w:ascii="Calibri" w:hAnsi="Calibri"/>
                <w:b/>
                <w:color w:val="FFFFFF"/>
                <w:sz w:val="20"/>
              </w:rPr>
              <w:t>Capability Target</w:t>
            </w:r>
          </w:p>
        </w:tc>
        <w:tc>
          <w:tcPr>
            <w:tcW w:type="dxa" w:w="4320"/>
            <w:shd w:val="clear" w:color="auto" w:fill="1E40AF"/>
          </w:tcPr>
          <w:p>
            <w:r/>
            <w:r>
              <w:rPr>
                <w:rFonts w:ascii="Calibri" w:hAnsi="Calibri"/>
                <w:b/>
                <w:color w:val="FFFFFF"/>
                <w:sz w:val="20"/>
              </w:rPr>
              <w:t>Operational Translation</w:t>
            </w:r>
          </w:p>
        </w:tc>
      </w:tr>
      <w:tr>
        <w:tc>
          <w:tcPr>
            <w:tcW w:type="dxa" w:w="3168"/>
          </w:tcPr>
          <w:p>
            <w:r/>
            <w:r>
              <w:rPr>
                <w:rFonts w:ascii="Calibri" w:hAnsi="Calibri"/>
                <w:color w:val="0F172A"/>
                <w:sz w:val="18"/>
              </w:rPr>
              <w:t>Detection — known signatures</w:t>
            </w:r>
          </w:p>
        </w:tc>
        <w:tc>
          <w:tcPr>
            <w:tcW w:type="dxa" w:w="2592"/>
          </w:tcPr>
          <w:p>
            <w:r/>
            <w:r>
              <w:rPr>
                <w:rFonts w:ascii="Calibri" w:hAnsi="Calibri"/>
                <w:color w:val="0F172A"/>
                <w:sz w:val="18"/>
              </w:rPr>
              <w:t>Cpk ≥ 2.0, Z ≥ 6.0</w:t>
            </w:r>
          </w:p>
        </w:tc>
        <w:tc>
          <w:tcPr>
            <w:tcW w:type="dxa" w:w="4320"/>
          </w:tcPr>
          <w:p>
            <w:r/>
            <w:r>
              <w:rPr>
                <w:rFonts w:ascii="Calibri" w:hAnsi="Calibri"/>
                <w:color w:val="0F172A"/>
                <w:sz w:val="18"/>
              </w:rPr>
              <w:t>MTTD ≤ 2 min (rules-based SIEM)</w:t>
            </w:r>
          </w:p>
        </w:tc>
      </w:tr>
      <w:tr>
        <w:tc>
          <w:tcPr>
            <w:tcW w:type="dxa" w:w="3168"/>
          </w:tcPr>
          <w:p>
            <w:r/>
            <w:r>
              <w:rPr>
                <w:rFonts w:ascii="Calibri" w:hAnsi="Calibri"/>
                <w:color w:val="0F172A"/>
                <w:sz w:val="18"/>
              </w:rPr>
              <w:t>Detection — novel OT anomalies</w:t>
            </w:r>
          </w:p>
        </w:tc>
        <w:tc>
          <w:tcPr>
            <w:tcW w:type="dxa" w:w="2592"/>
          </w:tcPr>
          <w:p>
            <w:r/>
            <w:r>
              <w:rPr>
                <w:rFonts w:ascii="Calibri" w:hAnsi="Calibri"/>
                <w:color w:val="0F172A"/>
                <w:sz w:val="18"/>
              </w:rPr>
              <w:t>Cpk ≥ 2.0, Z ≥ 6.0</w:t>
            </w:r>
          </w:p>
        </w:tc>
        <w:tc>
          <w:tcPr>
            <w:tcW w:type="dxa" w:w="4320"/>
          </w:tcPr>
          <w:p>
            <w:r/>
            <w:r>
              <w:rPr>
                <w:rFonts w:ascii="Calibri" w:hAnsi="Calibri"/>
                <w:color w:val="0F172A"/>
                <w:sz w:val="18"/>
              </w:rPr>
              <w:t>MTTD ≤ 10 min (AI-augmented behavioural detection)</w:t>
            </w:r>
          </w:p>
        </w:tc>
      </w:tr>
      <w:tr>
        <w:tc>
          <w:tcPr>
            <w:tcW w:type="dxa" w:w="3168"/>
          </w:tcPr>
          <w:p>
            <w:r/>
            <w:r>
              <w:rPr>
                <w:rFonts w:ascii="Calibri" w:hAnsi="Calibri"/>
                <w:color w:val="0F172A"/>
                <w:sz w:val="18"/>
              </w:rPr>
              <w:t>Response — hard stop (ransomware/wiper)</w:t>
            </w:r>
          </w:p>
        </w:tc>
        <w:tc>
          <w:tcPr>
            <w:tcW w:type="dxa" w:w="2592"/>
          </w:tcPr>
          <w:p>
            <w:r/>
            <w:r>
              <w:rPr>
                <w:rFonts w:ascii="Calibri" w:hAnsi="Calibri"/>
                <w:color w:val="0F172A"/>
                <w:sz w:val="18"/>
              </w:rPr>
              <w:t>Cpk ≥ 2.0, Z ≥ 6.0</w:t>
            </w:r>
          </w:p>
        </w:tc>
        <w:tc>
          <w:tcPr>
            <w:tcW w:type="dxa" w:w="4320"/>
          </w:tcPr>
          <w:p>
            <w:r/>
            <w:r>
              <w:rPr>
                <w:rFonts w:ascii="Calibri" w:hAnsi="Calibri"/>
                <w:color w:val="0F172A"/>
                <w:sz w:val="18"/>
              </w:rPr>
              <w:t>MTTR ≤ 1 hour (IR playbook + SMED recovery rig)</w:t>
            </w:r>
          </w:p>
        </w:tc>
      </w:tr>
      <w:tr>
        <w:tc>
          <w:tcPr>
            <w:tcW w:type="dxa" w:w="3168"/>
          </w:tcPr>
          <w:p>
            <w:r/>
            <w:r>
              <w:rPr>
                <w:rFonts w:ascii="Calibri" w:hAnsi="Calibri"/>
                <w:color w:val="0F172A"/>
                <w:sz w:val="18"/>
              </w:rPr>
              <w:t>Response — OT compromise (silent corruption)</w:t>
            </w:r>
          </w:p>
        </w:tc>
        <w:tc>
          <w:tcPr>
            <w:tcW w:type="dxa" w:w="2592"/>
          </w:tcPr>
          <w:p>
            <w:r/>
            <w:r>
              <w:rPr>
                <w:rFonts w:ascii="Calibri" w:hAnsi="Calibri"/>
                <w:color w:val="0F172A"/>
                <w:sz w:val="18"/>
              </w:rPr>
              <w:t>Cpk ≥ 2.0, Z ≥ 6.0</w:t>
            </w:r>
          </w:p>
        </w:tc>
        <w:tc>
          <w:tcPr>
            <w:tcW w:type="dxa" w:w="4320"/>
          </w:tcPr>
          <w:p>
            <w:r/>
            <w:r>
              <w:rPr>
                <w:rFonts w:ascii="Calibri" w:hAnsi="Calibri"/>
                <w:color w:val="0F172A"/>
                <w:sz w:val="18"/>
              </w:rPr>
              <w:t>MTTR ≤ 8 hours (forensics + rollback)</w:t>
            </w:r>
          </w:p>
        </w:tc>
      </w:tr>
      <w:tr>
        <w:tc>
          <w:tcPr>
            <w:tcW w:type="dxa" w:w="3168"/>
          </w:tcPr>
          <w:p>
            <w:r/>
            <w:r>
              <w:rPr>
                <w:rFonts w:ascii="Calibri" w:hAnsi="Calibri"/>
                <w:color w:val="0F172A"/>
                <w:sz w:val="18"/>
              </w:rPr>
              <w:t>Prevention (patch compliance)</w:t>
            </w:r>
          </w:p>
        </w:tc>
        <w:tc>
          <w:tcPr>
            <w:tcW w:type="dxa" w:w="2592"/>
          </w:tcPr>
          <w:p>
            <w:r/>
            <w:r>
              <w:rPr>
                <w:rFonts w:ascii="Calibri" w:hAnsi="Calibri"/>
                <w:color w:val="0F172A"/>
                <w:sz w:val="18"/>
              </w:rPr>
              <w:t>Cpk ≥ 2.0, Z ≥ 6.0</w:t>
            </w:r>
          </w:p>
        </w:tc>
        <w:tc>
          <w:tcPr>
            <w:tcW w:type="dxa" w:w="4320"/>
          </w:tcPr>
          <w:p>
            <w:r/>
            <w:r>
              <w:rPr>
                <w:rFonts w:ascii="Calibri" w:hAnsi="Calibri"/>
                <w:color w:val="0F172A"/>
                <w:sz w:val="18"/>
              </w:rPr>
              <w:t>≥ 99% patch compliance within maintenance windows</w:t>
            </w:r>
          </w:p>
        </w:tc>
      </w:tr>
      <w:tr>
        <w:tc>
          <w:tcPr>
            <w:tcW w:type="dxa" w:w="3168"/>
          </w:tcPr>
          <w:p>
            <w:r/>
            <w:r>
              <w:rPr>
                <w:rFonts w:ascii="Calibri" w:hAnsi="Calibri"/>
                <w:color w:val="0F172A"/>
                <w:sz w:val="18"/>
              </w:rPr>
              <w:t>Risk reduction (FMEA)</w:t>
            </w:r>
          </w:p>
        </w:tc>
        <w:tc>
          <w:tcPr>
            <w:tcW w:type="dxa" w:w="2592"/>
          </w:tcPr>
          <w:p>
            <w:r/>
            <w:r>
              <w:rPr>
                <w:rFonts w:ascii="Calibri" w:hAnsi="Calibri"/>
                <w:color w:val="0F172A"/>
                <w:sz w:val="18"/>
              </w:rPr>
              <w:t>RPN reduction ≥ 80% across top 10 cyber failure modes</w:t>
            </w:r>
          </w:p>
        </w:tc>
        <w:tc>
          <w:tcPr>
            <w:tcW w:type="dxa" w:w="4320"/>
          </w:tcPr>
          <w:p>
            <w:r/>
            <w:r>
              <w:rPr>
                <w:rFonts w:ascii="Calibri" w:hAnsi="Calibri"/>
                <w:color w:val="0F172A"/>
                <w:sz w:val="18"/>
              </w:rPr>
              <w:t>Quarterly FMEA refresh</w:t>
            </w:r>
          </w:p>
        </w:tc>
      </w:tr>
    </w:tbl>
    <w:p/>
    <w:p>
      <w:r>
        <w:rPr>
          <w:rFonts w:ascii="Calibri" w:hAnsi="Calibri"/>
          <w:i/>
          <w:color w:val="64748B"/>
          <w:sz w:val="20"/>
        </w:rPr>
        <w:t>This derivation follows the LSS MBB principle that targets must be statistically derived, defect-based, and rolled up through the hierarchy of process capabilities, not selected as arbitrary time thresholds.</w:t>
      </w:r>
    </w:p>
    <w:p>
      <w:r>
        <w:br w:type="page"/>
      </w:r>
    </w:p>
    <w:p>
      <w:pPr>
        <w:pStyle w:val="Heading1"/>
      </w:pPr>
      <w:r>
        <w:rPr>
          <w:color w:val="1E40AF"/>
          <w:sz w:val="40"/>
        </w:rPr>
        <w:t>Section 2 — Business Case &amp; Financial Exposure</w:t>
      </w:r>
    </w:p>
    <w:p>
      <w:pPr>
        <w:pBdr>
          <w:bottom w:val="single" w:sz="6" w:space="1" w:color="CBD5E1"/>
        </w:pBdr>
      </w:pPr>
    </w:p>
    <w:p/>
    <w:p>
      <w:pPr>
        <w:pStyle w:val="Heading2"/>
      </w:pPr>
      <w:r>
        <w:rPr>
          <w:color w:val="0F172A"/>
          <w:sz w:val="28"/>
        </w:rPr>
        <w:t>2.1 Recap of the P × E × M Model</w:t>
      </w:r>
    </w:p>
    <w:p>
      <w:r>
        <w:rPr>
          <w:rFonts w:ascii="Calibri" w:hAnsi="Calibri"/>
          <w:sz w:val="22"/>
        </w:rPr>
        <w:t>This engagement reuses the financial exposure model established in the Operational Stability Infrastructure (OSI) whitepaper:</w:t>
      </w:r>
    </w:p>
    <w:p>
      <w:pPr>
        <w:shd w:val="clear" w:color="auto" w:fill="F1F5F9"/>
      </w:pPr>
      <w:r>
        <w:rPr>
          <w:rFonts w:ascii="Consolas" w:hAnsi="Consolas"/>
          <w:color w:val="334155"/>
          <w:sz w:val="18"/>
        </w:rPr>
        <w:t>Exposure         = P × E</w:t>
        <w:br/>
        <w:t>Protected Value  = Exposure × M</w:t>
        <w:br/>
        <w:br/>
        <w:t>Where:</w:t>
        <w:br/>
        <w:t xml:space="preserve">  P = Annual production value per department (anchored at $200M per OSI model)</w:t>
        <w:br/>
        <w:t xml:space="preserve">  E = Erosion/exposure band (probability-adjusted annual loss)</w:t>
        <w:br/>
        <w:t xml:space="preserve">  M = Mitigation capture rate (achievable fraction of exposure avoided)</w:t>
      </w:r>
    </w:p>
    <w:p>
      <w:r>
        <w:rPr>
          <w:rFonts w:ascii="Calibri" w:hAnsi="Calibri"/>
          <w:sz w:val="22"/>
        </w:rPr>
        <w:t>For the OSI whitepaper, the entropy-driven erosion band was modelled at 3–8% of production value. For this engagement, the cyber exposure band (E_cyber) is a probability-adjusted annualised loss across five distinct exposure classes.</w:t>
      </w:r>
    </w:p>
    <w:p/>
    <w:p>
      <w:pPr>
        <w:pStyle w:val="Heading2"/>
      </w:pPr>
      <w:r>
        <w:rPr>
          <w:color w:val="0F172A"/>
          <w:sz w:val="28"/>
        </w:rPr>
        <w:t>2.2 Cyber Exposure Decomposition (E_cyber)</w:t>
      </w:r>
    </w:p>
    <w:p>
      <w:r>
        <w:rPr>
          <w:rFonts w:ascii="Calibri" w:hAnsi="Calibri"/>
          <w:sz w:val="22"/>
        </w:rPr>
        <w:t>E_cyber is the sum of five independently modelled exposure classes. Each is anchored to industry-published data and to the engagement's anonymised baseline (validated in Measure phase, Tollgate G2).</w:t>
      </w:r>
    </w:p>
    <w:p/>
    <w:p>
      <w:pPr>
        <w:pStyle w:val="Heading3"/>
      </w:pPr>
      <w:r>
        <w:rPr>
          <w:color w:val="0F172A"/>
          <w:sz w:val="24"/>
        </w:rPr>
        <w:t>2.2.1 Direct Downtime Exposure (E_downtime)</w:t>
      </w:r>
    </w:p>
    <w:tbl>
      <w:tblPr>
        <w:tblStyle w:val="LightGrid-Accent1"/>
        <w:tblW w:type="auto" w:w="0"/>
        <w:tblLook w:firstColumn="1" w:firstRow="1" w:lastColumn="0" w:lastRow="0" w:noHBand="0" w:noVBand="1" w:val="04A0"/>
      </w:tblPr>
      <w:tblGrid>
        <w:gridCol w:w="4873"/>
        <w:gridCol w:w="4873"/>
      </w:tblGrid>
      <w:tr>
        <w:tc>
          <w:tcPr>
            <w:tcW w:type="dxa" w:w="5760"/>
          </w:tcPr>
          <w:p>
            <w:r>
              <w:rPr>
                <w:b/>
                <w:color w:val="334155"/>
                <w:sz w:val="20"/>
              </w:rPr>
              <w:t>Mean downtime per major manufacturing ransomware event</w:t>
            </w:r>
          </w:p>
        </w:tc>
        <w:tc>
          <w:tcPr>
            <w:tcW w:type="dxa" w:w="4320"/>
          </w:tcPr>
          <w:p>
            <w:r>
              <w:rPr>
                <w:color w:val="0F172A"/>
                <w:sz w:val="20"/>
              </w:rPr>
              <w:t>5–21 days</w:t>
            </w:r>
          </w:p>
        </w:tc>
      </w:tr>
      <w:tr>
        <w:tc>
          <w:tcPr>
            <w:tcW w:type="dxa" w:w="5760"/>
          </w:tcPr>
          <w:p>
            <w:r>
              <w:rPr>
                <w:b/>
                <w:color w:val="334155"/>
                <w:sz w:val="20"/>
              </w:rPr>
              <w:t>Cell line direct cost per hour</w:t>
            </w:r>
          </w:p>
        </w:tc>
        <w:tc>
          <w:tcPr>
            <w:tcW w:type="dxa" w:w="4320"/>
          </w:tcPr>
          <w:p>
            <w:r>
              <w:rPr>
                <w:color w:val="0F172A"/>
                <w:sz w:val="20"/>
              </w:rPr>
              <w:t>$250K–$500K+</w:t>
            </w:r>
          </w:p>
        </w:tc>
      </w:tr>
      <w:tr>
        <w:tc>
          <w:tcPr>
            <w:tcW w:type="dxa" w:w="5760"/>
          </w:tcPr>
          <w:p>
            <w:r>
              <w:rPr>
                <w:b/>
                <w:color w:val="334155"/>
                <w:sz w:val="20"/>
              </w:rPr>
              <w:t>Per-incident direct cost (high-volume cell line)</w:t>
            </w:r>
          </w:p>
        </w:tc>
        <w:tc>
          <w:tcPr>
            <w:tcW w:type="dxa" w:w="4320"/>
          </w:tcPr>
          <w:p>
            <w:r>
              <w:rPr>
                <w:color w:val="0F172A"/>
                <w:sz w:val="20"/>
              </w:rPr>
              <w:t>$30M–$100M+</w:t>
            </w:r>
          </w:p>
        </w:tc>
      </w:tr>
      <w:tr>
        <w:tc>
          <w:tcPr>
            <w:tcW w:type="dxa" w:w="5760"/>
          </w:tcPr>
          <w:p>
            <w:r>
              <w:rPr>
                <w:b/>
                <w:color w:val="334155"/>
                <w:sz w:val="20"/>
              </w:rPr>
              <w:t>Mid-size manufacturer benchmark</w:t>
            </w:r>
          </w:p>
        </w:tc>
        <w:tc>
          <w:tcPr>
            <w:tcW w:type="dxa" w:w="4320"/>
          </w:tcPr>
          <w:p>
            <w:r>
              <w:rPr>
                <w:color w:val="0F172A"/>
                <w:sz w:val="20"/>
              </w:rPr>
              <w:t>$1.5M–$5M per event</w:t>
            </w:r>
          </w:p>
        </w:tc>
      </w:tr>
      <w:tr>
        <w:tc>
          <w:tcPr>
            <w:tcW w:type="dxa" w:w="5760"/>
          </w:tcPr>
          <w:p>
            <w:r>
              <w:rPr>
                <w:b/>
                <w:color w:val="334155"/>
                <w:sz w:val="20"/>
              </w:rPr>
              <w:t>Frequency of major event (Tier-1 cell supplier)</w:t>
            </w:r>
          </w:p>
        </w:tc>
        <w:tc>
          <w:tcPr>
            <w:tcW w:type="dxa" w:w="4320"/>
          </w:tcPr>
          <w:p>
            <w:r>
              <w:rPr>
                <w:color w:val="0F172A"/>
                <w:sz w:val="20"/>
              </w:rPr>
              <w:t>~1 event per 5–7 years</w:t>
            </w:r>
          </w:p>
        </w:tc>
      </w:tr>
      <w:tr>
        <w:tc>
          <w:tcPr>
            <w:tcW w:type="dxa" w:w="5760"/>
          </w:tcPr>
          <w:p>
            <w:r>
              <w:rPr>
                <w:b/>
                <w:color w:val="334155"/>
                <w:sz w:val="20"/>
              </w:rPr>
              <w:t>Probability-adjusted annual direct exposure</w:t>
            </w:r>
          </w:p>
        </w:tc>
        <w:tc>
          <w:tcPr>
            <w:tcW w:type="dxa" w:w="4320"/>
          </w:tcPr>
          <w:p>
            <w:r>
              <w:rPr>
                <w:color w:val="0F172A"/>
                <w:sz w:val="20"/>
              </w:rPr>
              <w:t>$4M–$20M / year / department</w:t>
            </w:r>
          </w:p>
        </w:tc>
      </w:tr>
    </w:tbl>
    <w:p/>
    <w:p>
      <w:pPr>
        <w:pStyle w:val="Heading3"/>
      </w:pPr>
      <w:r>
        <w:rPr>
          <w:color w:val="0F172A"/>
          <w:sz w:val="24"/>
        </w:rPr>
        <w:t>2.2.2 Silent Corruption Exposure (E_silent_corruption) — NEW</w:t>
      </w:r>
    </w:p>
    <w:tbl>
      <w:tblPr>
        <w:tblStyle w:val="LightGrid-Accent1"/>
        <w:tblW w:type="auto" w:w="0"/>
        <w:tblLook w:firstColumn="1" w:firstRow="1" w:lastColumn="0" w:lastRow="0" w:noHBand="0" w:noVBand="1" w:val="04A0"/>
      </w:tblPr>
      <w:tblGrid>
        <w:gridCol w:w="4873"/>
        <w:gridCol w:w="4873"/>
      </w:tblGrid>
      <w:tr>
        <w:tc>
          <w:tcPr>
            <w:tcW w:type="dxa" w:w="5760"/>
          </w:tcPr>
          <w:p>
            <w:r>
              <w:rPr>
                <w:b/>
                <w:color w:val="334155"/>
                <w:sz w:val="20"/>
              </w:rPr>
              <w:t>Frequency (Tier-1 cell supplier, high IP-value target)</w:t>
            </w:r>
          </w:p>
        </w:tc>
        <w:tc>
          <w:tcPr>
            <w:tcW w:type="dxa" w:w="4320"/>
          </w:tcPr>
          <w:p>
            <w:r>
              <w:rPr>
                <w:color w:val="0F172A"/>
                <w:sz w:val="20"/>
              </w:rPr>
              <w:t>~1 in 2–5 years</w:t>
            </w:r>
          </w:p>
        </w:tc>
      </w:tr>
      <w:tr>
        <w:tc>
          <w:tcPr>
            <w:tcW w:type="dxa" w:w="5760"/>
          </w:tcPr>
          <w:p>
            <w:r>
              <w:rPr>
                <w:b/>
                <w:color w:val="334155"/>
                <w:sz w:val="20"/>
              </w:rPr>
              <w:t>Blended per-event cost (recall + warranty + OEM contractual)</w:t>
            </w:r>
          </w:p>
        </w:tc>
        <w:tc>
          <w:tcPr>
            <w:tcW w:type="dxa" w:w="4320"/>
          </w:tcPr>
          <w:p>
            <w:r>
              <w:rPr>
                <w:color w:val="0F172A"/>
                <w:sz w:val="20"/>
              </w:rPr>
              <w:t>$25M–$200M+</w:t>
            </w:r>
          </w:p>
        </w:tc>
      </w:tr>
      <w:tr>
        <w:tc>
          <w:tcPr>
            <w:tcW w:type="dxa" w:w="5760"/>
          </w:tcPr>
          <w:p>
            <w:r>
              <w:rPr>
                <w:b/>
                <w:color w:val="334155"/>
                <w:sz w:val="20"/>
              </w:rPr>
              <w:t>Probability-adjusted annual silent corruption exposure</w:t>
            </w:r>
          </w:p>
        </w:tc>
        <w:tc>
          <w:tcPr>
            <w:tcW w:type="dxa" w:w="4320"/>
          </w:tcPr>
          <w:p>
            <w:r>
              <w:rPr>
                <w:color w:val="0F172A"/>
                <w:sz w:val="20"/>
              </w:rPr>
              <w:t>$5M–$50M / year / department</w:t>
            </w:r>
          </w:p>
        </w:tc>
      </w:tr>
    </w:tbl>
    <w:p>
      <w:r>
        <w:rPr>
          <w:rFonts w:ascii="Calibri" w:hAnsi="Calibri"/>
          <w:i/>
          <w:color w:val="334155"/>
          <w:sz w:val="20"/>
        </w:rPr>
        <w:t>Silent corruption is the failure class that justifies the FMEA's Severity = 9–10 rating for parameter-tampering failure modes, and it is the structural reason the AI-augmented Layer 3 (behavioural anomaly detection, parameter drift baselining) carries equal weight to the IR cycle.</w:t>
      </w:r>
    </w:p>
    <w:p/>
    <w:p>
      <w:pPr>
        <w:pStyle w:val="Heading3"/>
      </w:pPr>
      <w:r>
        <w:rPr>
          <w:color w:val="0F172A"/>
          <w:sz w:val="24"/>
        </w:rPr>
        <w:t>2.2.3 IP Exfiltration Exposure (E_ip)</w:t>
      </w:r>
    </w:p>
    <w:tbl>
      <w:tblPr>
        <w:tblStyle w:val="LightGrid-Accent1"/>
        <w:tblW w:type="auto" w:w="0"/>
        <w:tblLook w:firstColumn="1" w:firstRow="1" w:lastColumn="0" w:lastRow="0" w:noHBand="0" w:noVBand="1" w:val="04A0"/>
      </w:tblPr>
      <w:tblGrid>
        <w:gridCol w:w="4873"/>
        <w:gridCol w:w="4873"/>
      </w:tblGrid>
      <w:tr>
        <w:tc>
          <w:tcPr>
            <w:tcW w:type="dxa" w:w="5760"/>
          </w:tcPr>
          <w:p>
            <w:r>
              <w:rPr>
                <w:b/>
                <w:color w:val="334155"/>
                <w:sz w:val="20"/>
              </w:rPr>
              <w:t>Probability of state-aligned or industrial APT exfiltration event</w:t>
            </w:r>
          </w:p>
        </w:tc>
        <w:tc>
          <w:tcPr>
            <w:tcW w:type="dxa" w:w="4320"/>
          </w:tcPr>
          <w:p>
            <w:r>
              <w:rPr>
                <w:color w:val="0F172A"/>
                <w:sz w:val="20"/>
              </w:rPr>
              <w:t>~1 in 3–10 years</w:t>
            </w:r>
          </w:p>
        </w:tc>
      </w:tr>
      <w:tr>
        <w:tc>
          <w:tcPr>
            <w:tcW w:type="dxa" w:w="5760"/>
          </w:tcPr>
          <w:p>
            <w:r>
              <w:rPr>
                <w:b/>
                <w:color w:val="334155"/>
                <w:sz w:val="20"/>
              </w:rPr>
              <w:t>Battery chemistry/formulation IP valuation band (per platform)</w:t>
            </w:r>
          </w:p>
        </w:tc>
        <w:tc>
          <w:tcPr>
            <w:tcW w:type="dxa" w:w="4320"/>
          </w:tcPr>
          <w:p>
            <w:r>
              <w:rPr>
                <w:color w:val="0F172A"/>
                <w:sz w:val="20"/>
              </w:rPr>
              <w:t>$100M–$1B+</w:t>
            </w:r>
          </w:p>
        </w:tc>
      </w:tr>
      <w:tr>
        <w:tc>
          <w:tcPr>
            <w:tcW w:type="dxa" w:w="5760"/>
          </w:tcPr>
          <w:p>
            <w:r>
              <w:rPr>
                <w:b/>
                <w:color w:val="334155"/>
                <w:sz w:val="20"/>
              </w:rPr>
              <w:t>Recovery probability after exfiltration</w:t>
            </w:r>
          </w:p>
        </w:tc>
        <w:tc>
          <w:tcPr>
            <w:tcW w:type="dxa" w:w="4320"/>
          </w:tcPr>
          <w:p>
            <w:r>
              <w:rPr>
                <w:color w:val="0F172A"/>
                <w:sz w:val="20"/>
              </w:rPr>
              <w:t>Low (permanent loss)</w:t>
            </w:r>
          </w:p>
        </w:tc>
      </w:tr>
      <w:tr>
        <w:tc>
          <w:tcPr>
            <w:tcW w:type="dxa" w:w="5760"/>
          </w:tcPr>
          <w:p>
            <w:r>
              <w:rPr>
                <w:b/>
                <w:color w:val="334155"/>
                <w:sz w:val="20"/>
              </w:rPr>
              <w:t>Probability-adjusted annual IP exposure</w:t>
            </w:r>
          </w:p>
        </w:tc>
        <w:tc>
          <w:tcPr>
            <w:tcW w:type="dxa" w:w="4320"/>
          </w:tcPr>
          <w:p>
            <w:r>
              <w:rPr>
                <w:color w:val="0F172A"/>
                <w:sz w:val="20"/>
              </w:rPr>
              <w:t>$10M–$100M / year / department</w:t>
            </w:r>
          </w:p>
        </w:tc>
      </w:tr>
    </w:tbl>
    <w:p>
      <w:r>
        <w:rPr>
          <w:rFonts w:ascii="Calibri" w:hAnsi="Calibri"/>
          <w:i/>
          <w:color w:val="334155"/>
          <w:sz w:val="20"/>
        </w:rPr>
        <w:t>IP exfiltration is the largest single exposure class and the one most resistant to insurance transfer. The widened valuation band ($100M–$1B+) reflects proprietary solid-state, sodium-ion, and advanced dopant systems where a single platform's chemistry IP routinely trades at the upper end of the range in M&amp;A and licensing transactions.</w:t>
      </w:r>
    </w:p>
    <w:p/>
    <w:p>
      <w:pPr>
        <w:pStyle w:val="Heading3"/>
      </w:pPr>
      <w:r>
        <w:rPr>
          <w:color w:val="0F172A"/>
          <w:sz w:val="24"/>
        </w:rPr>
        <w:t>2.2.4 Regulatory &amp; Contractual Exposure (E_regulatory)</w:t>
      </w:r>
    </w:p>
    <w:tbl>
      <w:tblPr>
        <w:tblStyle w:val="LightGrid-Accent1"/>
        <w:tblW w:type="auto" w:w="0"/>
        <w:tblLook w:firstColumn="1" w:firstRow="1" w:lastColumn="0" w:lastRow="0" w:noHBand="0" w:noVBand="1" w:val="04A0"/>
      </w:tblPr>
      <w:tblGrid>
        <w:gridCol w:w="4873"/>
        <w:gridCol w:w="4873"/>
      </w:tblGrid>
      <w:tr>
        <w:tc>
          <w:tcPr>
            <w:tcW w:type="dxa" w:w="5760"/>
          </w:tcPr>
          <w:p>
            <w:r>
              <w:rPr>
                <w:b/>
                <w:color w:val="334155"/>
                <w:sz w:val="20"/>
              </w:rPr>
              <w:t>NIS2 (EU) administrative fine ceiling</w:t>
            </w:r>
          </w:p>
        </w:tc>
        <w:tc>
          <w:tcPr>
            <w:tcW w:type="dxa" w:w="4320"/>
          </w:tcPr>
          <w:p>
            <w:r>
              <w:rPr>
                <w:color w:val="0F172A"/>
                <w:sz w:val="20"/>
              </w:rPr>
              <w:t>Up to €10M or 2% of global annual turnover</w:t>
            </w:r>
          </w:p>
        </w:tc>
      </w:tr>
      <w:tr>
        <w:tc>
          <w:tcPr>
            <w:tcW w:type="dxa" w:w="5760"/>
          </w:tcPr>
          <w:p>
            <w:r>
              <w:rPr>
                <w:b/>
                <w:color w:val="334155"/>
                <w:sz w:val="20"/>
              </w:rPr>
              <w:t>OEM cyber attestation contractual breach (per major OEM)</w:t>
            </w:r>
          </w:p>
        </w:tc>
        <w:tc>
          <w:tcPr>
            <w:tcW w:type="dxa" w:w="4320"/>
          </w:tcPr>
          <w:p>
            <w:r>
              <w:rPr>
                <w:color w:val="0F172A"/>
                <w:sz w:val="20"/>
              </w:rPr>
              <w:t>$5M–$50M per breach event, plus volume loss</w:t>
            </w:r>
          </w:p>
        </w:tc>
      </w:tr>
      <w:tr>
        <w:tc>
          <w:tcPr>
            <w:tcW w:type="dxa" w:w="5760"/>
          </w:tcPr>
          <w:p>
            <w:r>
              <w:rPr>
                <w:b/>
                <w:color w:val="334155"/>
                <w:sz w:val="20"/>
              </w:rPr>
              <w:t>GDPR (data exposure) administrative fine</w:t>
            </w:r>
          </w:p>
        </w:tc>
        <w:tc>
          <w:tcPr>
            <w:tcW w:type="dxa" w:w="4320"/>
          </w:tcPr>
          <w:p>
            <w:r>
              <w:rPr>
                <w:color w:val="0F172A"/>
                <w:sz w:val="20"/>
              </w:rPr>
              <w:t>Up to €20M or 4% of global annual turnover</w:t>
            </w:r>
          </w:p>
        </w:tc>
      </w:tr>
      <w:tr>
        <w:tc>
          <w:tcPr>
            <w:tcW w:type="dxa" w:w="5760"/>
          </w:tcPr>
          <w:p>
            <w:r>
              <w:rPr>
                <w:b/>
                <w:color w:val="334155"/>
                <w:sz w:val="20"/>
              </w:rPr>
              <w:t>Cyber-attributable recall / warranty extension</w:t>
            </w:r>
          </w:p>
        </w:tc>
        <w:tc>
          <w:tcPr>
            <w:tcW w:type="dxa" w:w="4320"/>
          </w:tcPr>
          <w:p>
            <w:r>
              <w:rPr>
                <w:color w:val="0F172A"/>
                <w:sz w:val="20"/>
              </w:rPr>
              <w:t>$10M–$100M+ per recall event</w:t>
            </w:r>
          </w:p>
        </w:tc>
      </w:tr>
      <w:tr>
        <w:tc>
          <w:tcPr>
            <w:tcW w:type="dxa" w:w="5760"/>
          </w:tcPr>
          <w:p>
            <w:r>
              <w:rPr>
                <w:b/>
                <w:color w:val="334155"/>
                <w:sz w:val="20"/>
              </w:rPr>
              <w:t>Probability-adjusted annual regulatory exposure</w:t>
            </w:r>
          </w:p>
        </w:tc>
        <w:tc>
          <w:tcPr>
            <w:tcW w:type="dxa" w:w="4320"/>
          </w:tcPr>
          <w:p>
            <w:r>
              <w:rPr>
                <w:color w:val="0F172A"/>
                <w:sz w:val="20"/>
              </w:rPr>
              <w:t>$1M–$10M / year / department</w:t>
            </w:r>
          </w:p>
        </w:tc>
      </w:tr>
    </w:tbl>
    <w:p/>
    <w:p>
      <w:pPr>
        <w:pStyle w:val="Heading3"/>
      </w:pPr>
      <w:r>
        <w:rPr>
          <w:color w:val="0F172A"/>
          <w:sz w:val="24"/>
        </w:rPr>
        <w:t>2.2.5 Safety Liability Exposure (E_safety)</w:t>
      </w:r>
    </w:p>
    <w:tbl>
      <w:tblPr>
        <w:tblStyle w:val="LightGrid-Accent1"/>
        <w:tblW w:type="auto" w:w="0"/>
        <w:tblLook w:firstColumn="1" w:firstRow="1" w:lastColumn="0" w:lastRow="0" w:noHBand="0" w:noVBand="1" w:val="04A0"/>
      </w:tblPr>
      <w:tblGrid>
        <w:gridCol w:w="4873"/>
        <w:gridCol w:w="4873"/>
      </w:tblGrid>
      <w:tr>
        <w:tc>
          <w:tcPr>
            <w:tcW w:type="dxa" w:w="5760"/>
          </w:tcPr>
          <w:p>
            <w:r>
              <w:rPr>
                <w:b/>
                <w:color w:val="334155"/>
                <w:sz w:val="20"/>
              </w:rPr>
              <w:t>Probability of cyber-induced safety event (thermal runaway, fire, hazardous release)</w:t>
            </w:r>
          </w:p>
        </w:tc>
        <w:tc>
          <w:tcPr>
            <w:tcW w:type="dxa" w:w="4320"/>
          </w:tcPr>
          <w:p>
            <w:r>
              <w:rPr>
                <w:color w:val="0F172A"/>
                <w:sz w:val="20"/>
              </w:rPr>
              <w:t>Low-probability / high-severity</w:t>
            </w:r>
          </w:p>
        </w:tc>
      </w:tr>
      <w:tr>
        <w:tc>
          <w:tcPr>
            <w:tcW w:type="dxa" w:w="5760"/>
          </w:tcPr>
          <w:p>
            <w:r>
              <w:rPr>
                <w:b/>
                <w:color w:val="334155"/>
                <w:sz w:val="20"/>
              </w:rPr>
              <w:t>EU Product Liability Directive (revised 2024)</w:t>
            </w:r>
          </w:p>
        </w:tc>
        <w:tc>
          <w:tcPr>
            <w:tcW w:type="dxa" w:w="4320"/>
          </w:tcPr>
          <w:p>
            <w:r>
              <w:rPr>
                <w:color w:val="0F172A"/>
                <w:sz w:val="20"/>
              </w:rPr>
              <w:t>Strict liability, uncapped</w:t>
            </w:r>
          </w:p>
        </w:tc>
      </w:tr>
      <w:tr>
        <w:tc>
          <w:tcPr>
            <w:tcW w:type="dxa" w:w="5760"/>
          </w:tcPr>
          <w:p>
            <w:r>
              <w:rPr>
                <w:b/>
                <w:color w:val="334155"/>
                <w:sz w:val="20"/>
              </w:rPr>
              <w:t>UK Consumer Protection Act 1987 + Product Security regime</w:t>
            </w:r>
          </w:p>
        </w:tc>
        <w:tc>
          <w:tcPr>
            <w:tcW w:type="dxa" w:w="4320"/>
          </w:tcPr>
          <w:p>
            <w:r>
              <w:rPr>
                <w:color w:val="0F172A"/>
                <w:sz w:val="20"/>
              </w:rPr>
              <w:t>Strict liability</w:t>
            </w:r>
          </w:p>
        </w:tc>
      </w:tr>
      <w:tr>
        <w:tc>
          <w:tcPr>
            <w:tcW w:type="dxa" w:w="5760"/>
          </w:tcPr>
          <w:p>
            <w:r>
              <w:rPr>
                <w:b/>
                <w:color w:val="334155"/>
                <w:sz w:val="20"/>
              </w:rPr>
              <w:t>US product liability (class action)</w:t>
            </w:r>
          </w:p>
        </w:tc>
        <w:tc>
          <w:tcPr>
            <w:tcW w:type="dxa" w:w="4320"/>
          </w:tcPr>
          <w:p>
            <w:r>
              <w:rPr>
                <w:color w:val="0F172A"/>
                <w:sz w:val="20"/>
              </w:rPr>
              <w:t>$50M–$1B+ per event</w:t>
            </w:r>
          </w:p>
        </w:tc>
      </w:tr>
      <w:tr>
        <w:tc>
          <w:tcPr>
            <w:tcW w:type="dxa" w:w="5760"/>
          </w:tcPr>
          <w:p>
            <w:r>
              <w:rPr>
                <w:b/>
                <w:color w:val="334155"/>
                <w:sz w:val="20"/>
              </w:rPr>
              <w:t>Probability-adjusted annual safety exposure</w:t>
            </w:r>
          </w:p>
        </w:tc>
        <w:tc>
          <w:tcPr>
            <w:tcW w:type="dxa" w:w="4320"/>
          </w:tcPr>
          <w:p>
            <w:r>
              <w:rPr>
                <w:color w:val="0F172A"/>
                <w:sz w:val="20"/>
              </w:rPr>
              <w:t>$5M–$unbounded / year</w:t>
            </w:r>
          </w:p>
        </w:tc>
      </w:tr>
    </w:tbl>
    <w:p>
      <w:r>
        <w:rPr>
          <w:rFonts w:ascii="Calibri" w:hAnsi="Calibri"/>
          <w:i/>
          <w:color w:val="334155"/>
          <w:sz w:val="20"/>
        </w:rPr>
        <w:t>Safety liability is the existential tail risk. The exposure band is modelled as a low-probability tail, but the tail itself is the reason the engagement carries Severity = 10 in the FMEA.</w:t>
      </w:r>
    </w:p>
    <w:p/>
    <w:p>
      <w:pPr>
        <w:pStyle w:val="Heading2"/>
      </w:pPr>
      <w:r>
        <w:rPr>
          <w:color w:val="0F172A"/>
          <w:sz w:val="28"/>
        </w:rPr>
        <w:t>2.3 Total Cyber Exposure Band</w:t>
      </w:r>
    </w:p>
    <w:p>
      <w:r>
        <w:rPr>
          <w:rFonts w:ascii="Calibri" w:hAnsi="Calibri"/>
          <w:sz w:val="22"/>
        </w:rPr>
        <w:t>Summing the five exposure classes:</w:t>
      </w:r>
    </w:p>
    <w:p>
      <w:pPr>
        <w:shd w:val="clear" w:color="auto" w:fill="F1F5F9"/>
      </w:pPr>
      <w:r>
        <w:rPr>
          <w:rFonts w:ascii="Consolas" w:hAnsi="Consolas"/>
          <w:color w:val="334155"/>
          <w:sz w:val="18"/>
        </w:rPr>
        <w:t>E_cyber = E_downtime + E_silent_corruption + E_ip + E_regulatory + E_safety</w:t>
        <w:br/>
        <w:t xml:space="preserve">        = ($4M–$20M) + ($5M–$50M) + ($10M–$100M) + ($1M–$10M) + ($5M–$unbounded)</w:t>
        <w:br/>
        <w:t xml:space="preserve">        = $20M–$180M+ / year / department  (excluding unbounded safety tail)</w:t>
        <w:br/>
        <w:t xml:space="preserve">        = $20M–$unbounded / year / department  (with safety tail)</w:t>
      </w:r>
    </w:p>
    <w:p>
      <w:r>
        <w:rPr>
          <w:b/>
          <w:color w:val="1E40AF"/>
          <w:sz w:val="22"/>
        </w:rPr>
        <w:t>For a single department at P = $200M annual production value, the cyber exposure band is $20M–$180M+/year — 3–11× the OSI entropy framework's $6M–$16M band.</w:t>
      </w:r>
    </w:p>
    <w:p/>
    <w:p>
      <w:pPr>
        <w:pStyle w:val="Heading2"/>
      </w:pPr>
      <w:r>
        <w:rPr>
          <w:color w:val="0F172A"/>
          <w:sz w:val="28"/>
        </w:rPr>
        <w:t>2.4 Cost of Poor Quality (COPQ) Estimate</w:t>
      </w:r>
    </w:p>
    <w:tbl>
      <w:tblPr>
        <w:tblStyle w:val="LightGrid-Accent1"/>
        <w:tblW w:type="auto" w:w="0"/>
        <w:tblLook w:firstColumn="1" w:firstRow="1" w:lastColumn="0" w:lastRow="0" w:noHBand="0" w:noVBand="1" w:val="04A0"/>
      </w:tblPr>
      <w:tblGrid>
        <w:gridCol w:w="2436"/>
        <w:gridCol w:w="2436"/>
        <w:gridCol w:w="2436"/>
        <w:gridCol w:w="2436"/>
      </w:tblGrid>
      <w:tr>
        <w:tc>
          <w:tcPr>
            <w:tcW w:type="dxa" w:w="4320"/>
            <w:shd w:val="clear" w:color="auto" w:fill="1E40AF"/>
          </w:tcPr>
          <w:p>
            <w:r/>
            <w:r>
              <w:rPr>
                <w:rFonts w:ascii="Calibri" w:hAnsi="Calibri"/>
                <w:b/>
                <w:color w:val="FFFFFF"/>
                <w:sz w:val="20"/>
              </w:rPr>
              <w:t>COPQ Component</w:t>
            </w:r>
          </w:p>
        </w:tc>
        <w:tc>
          <w:tcPr>
            <w:tcW w:type="dxa" w:w="1728"/>
            <w:shd w:val="clear" w:color="auto" w:fill="1E40AF"/>
          </w:tcPr>
          <w:p>
            <w:r/>
            <w:r>
              <w:rPr>
                <w:rFonts w:ascii="Calibri" w:hAnsi="Calibri"/>
                <w:b/>
                <w:color w:val="FFFFFF"/>
                <w:sz w:val="20"/>
              </w:rPr>
              <w:t>Lower ($/min)</w:t>
            </w:r>
          </w:p>
        </w:tc>
        <w:tc>
          <w:tcPr>
            <w:tcW w:type="dxa" w:w="1728"/>
            <w:shd w:val="clear" w:color="auto" w:fill="1E40AF"/>
          </w:tcPr>
          <w:p>
            <w:r/>
            <w:r>
              <w:rPr>
                <w:rFonts w:ascii="Calibri" w:hAnsi="Calibri"/>
                <w:b/>
                <w:color w:val="FFFFFF"/>
                <w:sz w:val="20"/>
              </w:rPr>
              <w:t>Upper ($/min)</w:t>
            </w:r>
          </w:p>
        </w:tc>
        <w:tc>
          <w:tcPr>
            <w:tcW w:type="dxa" w:w="2304"/>
            <w:shd w:val="clear" w:color="auto" w:fill="1E40AF"/>
          </w:tcPr>
          <w:p>
            <w:r/>
            <w:r>
              <w:rPr>
                <w:rFonts w:ascii="Calibri" w:hAnsi="Calibri"/>
                <w:b/>
                <w:color w:val="FFFFFF"/>
                <w:sz w:val="20"/>
              </w:rPr>
              <w:t>Basis</w:t>
            </w:r>
          </w:p>
        </w:tc>
      </w:tr>
      <w:tr>
        <w:tc>
          <w:tcPr>
            <w:tcW w:type="dxa" w:w="4320"/>
          </w:tcPr>
          <w:p>
            <w:r/>
            <w:r>
              <w:rPr>
                <w:rFonts w:ascii="Calibri" w:hAnsi="Calibri"/>
                <w:color w:val="0F172A"/>
                <w:sz w:val="18"/>
              </w:rPr>
              <w:t>Direct scrap (slurry, electrolyte, half-cells, formation cycling)</w:t>
            </w:r>
          </w:p>
        </w:tc>
        <w:tc>
          <w:tcPr>
            <w:tcW w:type="dxa" w:w="1728"/>
          </w:tcPr>
          <w:p>
            <w:r/>
            <w:r>
              <w:rPr>
                <w:rFonts w:ascii="Calibri" w:hAnsi="Calibri"/>
                <w:color w:val="0F172A"/>
                <w:sz w:val="18"/>
              </w:rPr>
              <w:t>$1,500</w:t>
            </w:r>
          </w:p>
        </w:tc>
        <w:tc>
          <w:tcPr>
            <w:tcW w:type="dxa" w:w="1728"/>
          </w:tcPr>
          <w:p>
            <w:r/>
            <w:r>
              <w:rPr>
                <w:rFonts w:ascii="Calibri" w:hAnsi="Calibri"/>
                <w:color w:val="0F172A"/>
                <w:sz w:val="18"/>
              </w:rPr>
              <w:t>$4,000</w:t>
            </w:r>
          </w:p>
        </w:tc>
        <w:tc>
          <w:tcPr>
            <w:tcW w:type="dxa" w:w="2304"/>
          </w:tcPr>
          <w:p>
            <w:r/>
            <w:r>
              <w:rPr>
                <w:rFonts w:ascii="Calibri" w:hAnsi="Calibri"/>
                <w:color w:val="0F172A"/>
                <w:sz w:val="18"/>
              </w:rPr>
              <w:t>Modelled from cell BOM + scrap yield</w:t>
            </w:r>
          </w:p>
        </w:tc>
      </w:tr>
      <w:tr>
        <w:tc>
          <w:tcPr>
            <w:tcW w:type="dxa" w:w="4320"/>
          </w:tcPr>
          <w:p>
            <w:r/>
            <w:r>
              <w:rPr>
                <w:rFonts w:ascii="Calibri" w:hAnsi="Calibri"/>
                <w:color w:val="0F172A"/>
                <w:sz w:val="18"/>
              </w:rPr>
              <w:t>Idle labour (line operators, GBs, support)</w:t>
            </w:r>
          </w:p>
        </w:tc>
        <w:tc>
          <w:tcPr>
            <w:tcW w:type="dxa" w:w="1728"/>
          </w:tcPr>
          <w:p>
            <w:r/>
            <w:r>
              <w:rPr>
                <w:rFonts w:ascii="Calibri" w:hAnsi="Calibri"/>
                <w:color w:val="0F172A"/>
                <w:sz w:val="18"/>
              </w:rPr>
              <w:t>$800</w:t>
            </w:r>
          </w:p>
        </w:tc>
        <w:tc>
          <w:tcPr>
            <w:tcW w:type="dxa" w:w="1728"/>
          </w:tcPr>
          <w:p>
            <w:r/>
            <w:r>
              <w:rPr>
                <w:rFonts w:ascii="Calibri" w:hAnsi="Calibri"/>
                <w:color w:val="0F172A"/>
                <w:sz w:val="18"/>
              </w:rPr>
              <w:t>$2,000</w:t>
            </w:r>
          </w:p>
        </w:tc>
        <w:tc>
          <w:tcPr>
            <w:tcW w:type="dxa" w:w="2304"/>
          </w:tcPr>
          <w:p>
            <w:r/>
            <w:r>
              <w:rPr>
                <w:rFonts w:ascii="Calibri" w:hAnsi="Calibri"/>
                <w:color w:val="0F172A"/>
                <w:sz w:val="18"/>
              </w:rPr>
              <w:t>Modelled from staffing × loaded rate</w:t>
            </w:r>
          </w:p>
        </w:tc>
      </w:tr>
      <w:tr>
        <w:tc>
          <w:tcPr>
            <w:tcW w:type="dxa" w:w="4320"/>
          </w:tcPr>
          <w:p>
            <w:r/>
            <w:r>
              <w:rPr>
                <w:rFonts w:ascii="Calibri" w:hAnsi="Calibri"/>
                <w:color w:val="0F172A"/>
                <w:sz w:val="18"/>
              </w:rPr>
              <w:t>Recovery cost (forensics, restoration, validation)</w:t>
            </w:r>
          </w:p>
        </w:tc>
        <w:tc>
          <w:tcPr>
            <w:tcW w:type="dxa" w:w="1728"/>
          </w:tcPr>
          <w:p>
            <w:r/>
            <w:r>
              <w:rPr>
                <w:rFonts w:ascii="Calibri" w:hAnsi="Calibri"/>
                <w:color w:val="0F172A"/>
                <w:sz w:val="18"/>
              </w:rPr>
              <w:t>$500</w:t>
            </w:r>
          </w:p>
        </w:tc>
        <w:tc>
          <w:tcPr>
            <w:tcW w:type="dxa" w:w="1728"/>
          </w:tcPr>
          <w:p>
            <w:r/>
            <w:r>
              <w:rPr>
                <w:rFonts w:ascii="Calibri" w:hAnsi="Calibri"/>
                <w:color w:val="0F172A"/>
                <w:sz w:val="18"/>
              </w:rPr>
              <w:t>$2,500</w:t>
            </w:r>
          </w:p>
        </w:tc>
        <w:tc>
          <w:tcPr>
            <w:tcW w:type="dxa" w:w="2304"/>
          </w:tcPr>
          <w:p>
            <w:r/>
            <w:r>
              <w:rPr>
                <w:rFonts w:ascii="Calibri" w:hAnsi="Calibri"/>
                <w:color w:val="0F172A"/>
                <w:sz w:val="18"/>
              </w:rPr>
              <w:t>Modelled</w:t>
            </w:r>
          </w:p>
        </w:tc>
      </w:tr>
      <w:tr>
        <w:tc>
          <w:tcPr>
            <w:tcW w:type="dxa" w:w="4320"/>
          </w:tcPr>
          <w:p>
            <w:r/>
            <w:r>
              <w:rPr>
                <w:rFonts w:ascii="Calibri" w:hAnsi="Calibri"/>
                <w:color w:val="0F172A"/>
                <w:sz w:val="18"/>
              </w:rPr>
              <w:t>Contractual penalty (OEM contractual breach, missed shipment)</w:t>
            </w:r>
          </w:p>
        </w:tc>
        <w:tc>
          <w:tcPr>
            <w:tcW w:type="dxa" w:w="1728"/>
          </w:tcPr>
          <w:p>
            <w:r/>
            <w:r>
              <w:rPr>
                <w:rFonts w:ascii="Calibri" w:hAnsi="Calibri"/>
                <w:color w:val="0F172A"/>
                <w:sz w:val="18"/>
              </w:rPr>
              <w:t>$1,000</w:t>
            </w:r>
          </w:p>
        </w:tc>
        <w:tc>
          <w:tcPr>
            <w:tcW w:type="dxa" w:w="1728"/>
          </w:tcPr>
          <w:p>
            <w:r/>
            <w:r>
              <w:rPr>
                <w:rFonts w:ascii="Calibri" w:hAnsi="Calibri"/>
                <w:color w:val="0F172A"/>
                <w:sz w:val="18"/>
              </w:rPr>
              <w:t>$3,000</w:t>
            </w:r>
          </w:p>
        </w:tc>
        <w:tc>
          <w:tcPr>
            <w:tcW w:type="dxa" w:w="2304"/>
          </w:tcPr>
          <w:p>
            <w:r/>
            <w:r>
              <w:rPr>
                <w:rFonts w:ascii="Calibri" w:hAnsi="Calibri"/>
                <w:color w:val="0F172A"/>
                <w:sz w:val="18"/>
              </w:rPr>
              <w:t>Modelled from supplier terms</w:t>
            </w:r>
          </w:p>
        </w:tc>
      </w:tr>
      <w:tr>
        <w:tc>
          <w:tcPr>
            <w:tcW w:type="dxa" w:w="4320"/>
          </w:tcPr>
          <w:p>
            <w:r/>
            <w:r>
              <w:rPr>
                <w:rFonts w:ascii="Calibri" w:hAnsi="Calibri"/>
                <w:color w:val="0F172A"/>
                <w:sz w:val="18"/>
              </w:rPr>
              <w:t>BLENDED COPQ (high-volume cell line)</w:t>
            </w:r>
          </w:p>
        </w:tc>
        <w:tc>
          <w:tcPr>
            <w:tcW w:type="dxa" w:w="1728"/>
          </w:tcPr>
          <w:p>
            <w:r/>
            <w:r>
              <w:rPr>
                <w:rFonts w:ascii="Calibri" w:hAnsi="Calibri"/>
                <w:color w:val="0F172A"/>
                <w:sz w:val="18"/>
              </w:rPr>
              <w:t>$4,000/min</w:t>
            </w:r>
          </w:p>
        </w:tc>
        <w:tc>
          <w:tcPr>
            <w:tcW w:type="dxa" w:w="1728"/>
          </w:tcPr>
          <w:p>
            <w:r/>
            <w:r>
              <w:rPr>
                <w:rFonts w:ascii="Calibri" w:hAnsi="Calibri"/>
                <w:color w:val="0F172A"/>
                <w:sz w:val="18"/>
              </w:rPr>
              <w:t>$11,500/min</w:t>
            </w:r>
          </w:p>
        </w:tc>
        <w:tc>
          <w:tcPr>
            <w:tcW w:type="dxa" w:w="2304"/>
          </w:tcPr>
          <w:p>
            <w:r/>
            <w:r>
              <w:rPr>
                <w:rFonts w:ascii="Calibri" w:hAnsi="Calibri"/>
                <w:color w:val="0F172A"/>
                <w:sz w:val="18"/>
              </w:rPr>
              <w:t>$240K–$690K per hour</w:t>
            </w:r>
          </w:p>
        </w:tc>
      </w:tr>
    </w:tbl>
    <w:p/>
    <w:p>
      <w:r>
        <w:rPr>
          <w:rFonts w:ascii="Calibri" w:hAnsi="Calibri"/>
          <w:i/>
          <w:color w:val="64748B"/>
          <w:sz w:val="20"/>
        </w:rPr>
        <w:t>Silent corruption is not captured in the blended COPQ band, because silent corruption is by definition a non-downtime event. Silent corruption is captured in the E_silent_corruption exposure band (§2.2.2) and surfaces on the dashboard as a separate tile tracking recall/warranty cost avoidance.</w:t>
      </w:r>
    </w:p>
    <w:p/>
    <w:p>
      <w:pPr>
        <w:pStyle w:val="Heading2"/>
      </w:pPr>
      <w:r>
        <w:rPr>
          <w:color w:val="0F172A"/>
          <w:sz w:val="28"/>
        </w:rPr>
        <w:t>2.5 Mitigation Capture (M) and Protected Value</w:t>
      </w:r>
    </w:p>
    <w:p>
      <w:r>
        <w:rPr>
          <w:rFonts w:ascii="Calibri" w:hAnsi="Calibri"/>
          <w:sz w:val="22"/>
        </w:rPr>
        <w:t>The mitigation capture rate M is the fraction of E_cyber that the engagement can avoid through structural controls:</w:t>
      </w:r>
    </w:p>
    <w:p>
      <w:pPr>
        <w:shd w:val="clear" w:color="auto" w:fill="F1F5F9"/>
      </w:pPr>
      <w:r>
        <w:rPr>
          <w:rFonts w:ascii="Consolas" w:hAnsi="Consolas"/>
          <w:color w:val="334155"/>
          <w:sz w:val="18"/>
        </w:rPr>
        <w:t>Conservative capture:   M = 25%   →   Protected Value = E_cyber × 0.25</w:t>
        <w:br/>
        <w:t>Aggressive capture:     M = 50%   →   Protected Value = E_cyber × 0.50</w:t>
      </w:r>
    </w:p>
    <w:tbl>
      <w:tblPr>
        <w:tblStyle w:val="LightGrid-Accent1"/>
        <w:tblW w:type="auto" w:w="0"/>
        <w:tblLook w:firstColumn="1" w:firstRow="1" w:lastColumn="0" w:lastRow="0" w:noHBand="0" w:noVBand="1" w:val="04A0"/>
      </w:tblPr>
      <w:tblGrid>
        <w:gridCol w:w="2436"/>
        <w:gridCol w:w="2436"/>
        <w:gridCol w:w="2436"/>
        <w:gridCol w:w="2436"/>
      </w:tblGrid>
      <w:tr>
        <w:tc>
          <w:tcPr>
            <w:tcW w:type="dxa" w:w="2016"/>
            <w:shd w:val="clear" w:color="auto" w:fill="1E40AF"/>
          </w:tcPr>
          <w:p>
            <w:r/>
            <w:r>
              <w:rPr>
                <w:rFonts w:ascii="Calibri" w:hAnsi="Calibri"/>
                <w:b/>
                <w:color w:val="FFFFFF"/>
                <w:sz w:val="20"/>
              </w:rPr>
              <w:t>Scenario</w:t>
            </w:r>
          </w:p>
        </w:tc>
        <w:tc>
          <w:tcPr>
            <w:tcW w:type="dxa" w:w="1152"/>
            <w:shd w:val="clear" w:color="auto" w:fill="1E40AF"/>
          </w:tcPr>
          <w:p>
            <w:r/>
            <w:r>
              <w:rPr>
                <w:rFonts w:ascii="Calibri" w:hAnsi="Calibri"/>
                <w:b/>
                <w:color w:val="FFFFFF"/>
                <w:sz w:val="20"/>
              </w:rPr>
              <w:t>M</w:t>
            </w:r>
          </w:p>
        </w:tc>
        <w:tc>
          <w:tcPr>
            <w:tcW w:type="dxa" w:w="3456"/>
            <w:shd w:val="clear" w:color="auto" w:fill="1E40AF"/>
          </w:tcPr>
          <w:p>
            <w:r/>
            <w:r>
              <w:rPr>
                <w:rFonts w:ascii="Calibri" w:hAnsi="Calibri"/>
                <w:b/>
                <w:color w:val="FFFFFF"/>
                <w:sz w:val="20"/>
              </w:rPr>
              <w:t>E_cyber band (excl. safety)</w:t>
            </w:r>
          </w:p>
        </w:tc>
        <w:tc>
          <w:tcPr>
            <w:tcW w:type="dxa" w:w="3456"/>
            <w:shd w:val="clear" w:color="auto" w:fill="1E40AF"/>
          </w:tcPr>
          <w:p>
            <w:r/>
            <w:r>
              <w:rPr>
                <w:rFonts w:ascii="Calibri" w:hAnsi="Calibri"/>
                <w:b/>
                <w:color w:val="FFFFFF"/>
                <w:sz w:val="20"/>
              </w:rPr>
              <w:t>Protected Value (per dept / yr)</w:t>
            </w:r>
          </w:p>
        </w:tc>
      </w:tr>
      <w:tr>
        <w:tc>
          <w:tcPr>
            <w:tcW w:type="dxa" w:w="2016"/>
          </w:tcPr>
          <w:p>
            <w:r/>
            <w:r>
              <w:rPr>
                <w:rFonts w:ascii="Calibri" w:hAnsi="Calibri"/>
                <w:color w:val="0F172A"/>
                <w:sz w:val="18"/>
              </w:rPr>
              <w:t>Conservative</w:t>
            </w:r>
          </w:p>
        </w:tc>
        <w:tc>
          <w:tcPr>
            <w:tcW w:type="dxa" w:w="1152"/>
          </w:tcPr>
          <w:p>
            <w:r/>
            <w:r>
              <w:rPr>
                <w:rFonts w:ascii="Calibri" w:hAnsi="Calibri"/>
                <w:color w:val="0F172A"/>
                <w:sz w:val="18"/>
              </w:rPr>
              <w:t>25%</w:t>
            </w:r>
          </w:p>
        </w:tc>
        <w:tc>
          <w:tcPr>
            <w:tcW w:type="dxa" w:w="3456"/>
          </w:tcPr>
          <w:p>
            <w:r/>
            <w:r>
              <w:rPr>
                <w:rFonts w:ascii="Calibri" w:hAnsi="Calibri"/>
                <w:color w:val="0F172A"/>
                <w:sz w:val="18"/>
              </w:rPr>
              <w:t>$20M–$180M+</w:t>
            </w:r>
          </w:p>
        </w:tc>
        <w:tc>
          <w:tcPr>
            <w:tcW w:type="dxa" w:w="3456"/>
          </w:tcPr>
          <w:p>
            <w:r/>
            <w:r>
              <w:rPr>
                <w:rFonts w:ascii="Calibri" w:hAnsi="Calibri"/>
                <w:color w:val="0F172A"/>
                <w:sz w:val="18"/>
              </w:rPr>
              <w:t>$5M–$45M+</w:t>
            </w:r>
          </w:p>
        </w:tc>
      </w:tr>
      <w:tr>
        <w:tc>
          <w:tcPr>
            <w:tcW w:type="dxa" w:w="2016"/>
          </w:tcPr>
          <w:p>
            <w:r/>
            <w:r>
              <w:rPr>
                <w:rFonts w:ascii="Calibri" w:hAnsi="Calibri"/>
                <w:color w:val="0F172A"/>
                <w:sz w:val="18"/>
              </w:rPr>
              <w:t>Aggressive</w:t>
            </w:r>
          </w:p>
        </w:tc>
        <w:tc>
          <w:tcPr>
            <w:tcW w:type="dxa" w:w="1152"/>
          </w:tcPr>
          <w:p>
            <w:r/>
            <w:r>
              <w:rPr>
                <w:rFonts w:ascii="Calibri" w:hAnsi="Calibri"/>
                <w:color w:val="0F172A"/>
                <w:sz w:val="18"/>
              </w:rPr>
              <w:t>50%</w:t>
            </w:r>
          </w:p>
        </w:tc>
        <w:tc>
          <w:tcPr>
            <w:tcW w:type="dxa" w:w="3456"/>
          </w:tcPr>
          <w:p>
            <w:r/>
            <w:r>
              <w:rPr>
                <w:rFonts w:ascii="Calibri" w:hAnsi="Calibri"/>
                <w:color w:val="0F172A"/>
                <w:sz w:val="18"/>
              </w:rPr>
              <w:t>$20M–$180M+</w:t>
            </w:r>
          </w:p>
        </w:tc>
        <w:tc>
          <w:tcPr>
            <w:tcW w:type="dxa" w:w="3456"/>
          </w:tcPr>
          <w:p>
            <w:r/>
            <w:r>
              <w:rPr>
                <w:rFonts w:ascii="Calibri" w:hAnsi="Calibri"/>
                <w:color w:val="0F172A"/>
                <w:sz w:val="18"/>
              </w:rPr>
              <w:t>$10M–$90M+</w:t>
            </w:r>
          </w:p>
        </w:tc>
      </w:tr>
    </w:tbl>
    <w:p/>
    <w:p>
      <w:pPr>
        <w:pStyle w:val="Heading2"/>
      </w:pPr>
      <w:r>
        <w:rPr>
          <w:color w:val="0F172A"/>
          <w:sz w:val="28"/>
        </w:rPr>
        <w:t>2.6 Multi-Site Enterprise Multiplier</w:t>
      </w:r>
    </w:p>
    <w:p>
      <w:r>
        <w:rPr>
          <w:rFonts w:ascii="Calibri" w:hAnsi="Calibri"/>
          <w:sz w:val="22"/>
        </w:rPr>
        <w:t>For a Tier-1 cell supplier operating across 5 global production sites:</w:t>
      </w:r>
    </w:p>
    <w:tbl>
      <w:tblPr>
        <w:tblStyle w:val="LightGrid-Accent1"/>
        <w:tblW w:type="auto" w:w="0"/>
        <w:tblLook w:firstColumn="1" w:firstRow="1" w:lastColumn="0" w:lastRow="0" w:noHBand="0" w:noVBand="1" w:val="04A0"/>
      </w:tblPr>
      <w:tblGrid>
        <w:gridCol w:w="3249"/>
        <w:gridCol w:w="3249"/>
        <w:gridCol w:w="3249"/>
      </w:tblGrid>
      <w:tr>
        <w:tc>
          <w:tcPr>
            <w:tcW w:type="dxa" w:w="2592"/>
            <w:shd w:val="clear" w:color="auto" w:fill="1E40AF"/>
          </w:tcPr>
          <w:p>
            <w:r/>
            <w:r>
              <w:rPr>
                <w:rFonts w:ascii="Calibri" w:hAnsi="Calibri"/>
                <w:b/>
                <w:color w:val="FFFFFF"/>
                <w:sz w:val="20"/>
              </w:rPr>
              <w:t>Scenario</w:t>
            </w:r>
          </w:p>
        </w:tc>
        <w:tc>
          <w:tcPr>
            <w:tcW w:type="dxa" w:w="3456"/>
            <w:shd w:val="clear" w:color="auto" w:fill="1E40AF"/>
          </w:tcPr>
          <w:p>
            <w:r/>
            <w:r>
              <w:rPr>
                <w:rFonts w:ascii="Calibri" w:hAnsi="Calibri"/>
                <w:b/>
                <w:color w:val="FFFFFF"/>
                <w:sz w:val="20"/>
              </w:rPr>
              <w:t>Per-Department Protected Value</w:t>
            </w:r>
          </w:p>
        </w:tc>
        <w:tc>
          <w:tcPr>
            <w:tcW w:type="dxa" w:w="4032"/>
            <w:shd w:val="clear" w:color="auto" w:fill="1E40AF"/>
          </w:tcPr>
          <w:p>
            <w:r/>
            <w:r>
              <w:rPr>
                <w:rFonts w:ascii="Calibri" w:hAnsi="Calibri"/>
                <w:b/>
                <w:color w:val="FFFFFF"/>
                <w:sz w:val="20"/>
              </w:rPr>
              <w:t>5-Site Enterprise Protected Value</w:t>
            </w:r>
          </w:p>
        </w:tc>
      </w:tr>
      <w:tr>
        <w:tc>
          <w:tcPr>
            <w:tcW w:type="dxa" w:w="2592"/>
          </w:tcPr>
          <w:p>
            <w:r/>
            <w:r>
              <w:rPr>
                <w:rFonts w:ascii="Calibri" w:hAnsi="Calibri"/>
                <w:color w:val="0F172A"/>
                <w:sz w:val="18"/>
              </w:rPr>
              <w:t>Conservative (M = 25%)</w:t>
            </w:r>
          </w:p>
        </w:tc>
        <w:tc>
          <w:tcPr>
            <w:tcW w:type="dxa" w:w="3456"/>
          </w:tcPr>
          <w:p>
            <w:r/>
            <w:r>
              <w:rPr>
                <w:rFonts w:ascii="Calibri" w:hAnsi="Calibri"/>
                <w:color w:val="0F172A"/>
                <w:sz w:val="18"/>
              </w:rPr>
              <w:t>$5M–$45M+</w:t>
            </w:r>
          </w:p>
        </w:tc>
        <w:tc>
          <w:tcPr>
            <w:tcW w:type="dxa" w:w="4032"/>
          </w:tcPr>
          <w:p>
            <w:r/>
            <w:r>
              <w:rPr>
                <w:rFonts w:ascii="Calibri" w:hAnsi="Calibri"/>
                <w:color w:val="0F172A"/>
                <w:sz w:val="18"/>
              </w:rPr>
              <w:t>$25M–$225M+ / year</w:t>
            </w:r>
          </w:p>
        </w:tc>
      </w:tr>
      <w:tr>
        <w:tc>
          <w:tcPr>
            <w:tcW w:type="dxa" w:w="2592"/>
          </w:tcPr>
          <w:p>
            <w:r/>
            <w:r>
              <w:rPr>
                <w:rFonts w:ascii="Calibri" w:hAnsi="Calibri"/>
                <w:color w:val="0F172A"/>
                <w:sz w:val="18"/>
              </w:rPr>
              <w:t>Aggressive (M = 50%)</w:t>
            </w:r>
          </w:p>
        </w:tc>
        <w:tc>
          <w:tcPr>
            <w:tcW w:type="dxa" w:w="3456"/>
          </w:tcPr>
          <w:p>
            <w:r/>
            <w:r>
              <w:rPr>
                <w:rFonts w:ascii="Calibri" w:hAnsi="Calibri"/>
                <w:color w:val="0F172A"/>
                <w:sz w:val="18"/>
              </w:rPr>
              <w:t>$10M–$90M+</w:t>
            </w:r>
          </w:p>
        </w:tc>
        <w:tc>
          <w:tcPr>
            <w:tcW w:type="dxa" w:w="4032"/>
          </w:tcPr>
          <w:p>
            <w:r/>
            <w:r>
              <w:rPr>
                <w:rFonts w:ascii="Calibri" w:hAnsi="Calibri"/>
                <w:color w:val="0F172A"/>
                <w:sz w:val="18"/>
              </w:rPr>
              <w:t>$50M–$450M+ / year</w:t>
            </w:r>
          </w:p>
        </w:tc>
      </w:tr>
    </w:tbl>
    <w:p>
      <w:r>
        <w:rPr>
          <w:rFonts w:ascii="Calibri" w:hAnsi="Calibri"/>
          <w:i/>
          <w:color w:val="334155"/>
          <w:sz w:val="20"/>
        </w:rPr>
        <w:t>The enterprise exposure is now board-level material. At the conservative bound, the annual protected value exceeds the engagement's likely all-in cost (including AI-augmented Layer 3 tooling, GB capacity allocation, and external advisory) by a factor of 5–10×, making the engagement capital-efficient by the same logic the OSI whitepaper applied to entropy.</w:t>
      </w:r>
    </w:p>
    <w:p/>
    <w:p>
      <w:pPr>
        <w:pStyle w:val="Heading2"/>
      </w:pPr>
      <w:r>
        <w:rPr>
          <w:color w:val="0F172A"/>
          <w:sz w:val="28"/>
        </w:rPr>
        <w:t>2.7 Comparison to the OSI Entropy Framework</w:t>
      </w:r>
    </w:p>
    <w:tbl>
      <w:tblPr>
        <w:tblStyle w:val="LightGrid-Accent1"/>
        <w:tblW w:type="auto" w:w="0"/>
        <w:tblLook w:firstColumn="1" w:firstRow="1" w:lastColumn="0" w:lastRow="0" w:noHBand="0" w:noVBand="1" w:val="04A0"/>
      </w:tblPr>
      <w:tblGrid>
        <w:gridCol w:w="3249"/>
        <w:gridCol w:w="3249"/>
        <w:gridCol w:w="3249"/>
      </w:tblGrid>
      <w:tr>
        <w:tc>
          <w:tcPr>
            <w:tcW w:type="dxa" w:w="2592"/>
            <w:shd w:val="clear" w:color="auto" w:fill="1E40AF"/>
          </w:tcPr>
          <w:p>
            <w:r/>
            <w:r>
              <w:rPr>
                <w:rFonts w:ascii="Calibri" w:hAnsi="Calibri"/>
                <w:b/>
                <w:color w:val="FFFFFF"/>
                <w:sz w:val="20"/>
              </w:rPr>
              <w:t>Dimension</w:t>
            </w:r>
          </w:p>
        </w:tc>
        <w:tc>
          <w:tcPr>
            <w:tcW w:type="dxa" w:w="3744"/>
            <w:shd w:val="clear" w:color="auto" w:fill="1E40AF"/>
          </w:tcPr>
          <w:p>
            <w:r/>
            <w:r>
              <w:rPr>
                <w:rFonts w:ascii="Calibri" w:hAnsi="Calibri"/>
                <w:b/>
                <w:color w:val="FFFFFF"/>
                <w:sz w:val="20"/>
              </w:rPr>
              <w:t>OSI (Entropy)</w:t>
            </w:r>
          </w:p>
        </w:tc>
        <w:tc>
          <w:tcPr>
            <w:tcW w:type="dxa" w:w="3744"/>
            <w:shd w:val="clear" w:color="auto" w:fill="1E40AF"/>
          </w:tcPr>
          <w:p>
            <w:r/>
            <w:r>
              <w:rPr>
                <w:rFonts w:ascii="Calibri" w:hAnsi="Calibri"/>
                <w:b/>
                <w:color w:val="FFFFFF"/>
                <w:sz w:val="20"/>
              </w:rPr>
              <w:t>Cyber (This Engagement)</w:t>
            </w:r>
          </w:p>
        </w:tc>
      </w:tr>
      <w:tr>
        <w:tc>
          <w:tcPr>
            <w:tcW w:type="dxa" w:w="2592"/>
          </w:tcPr>
          <w:p>
            <w:r/>
            <w:r>
              <w:rPr>
                <w:rFonts w:ascii="Calibri" w:hAnsi="Calibri"/>
                <w:color w:val="0F172A"/>
                <w:sz w:val="18"/>
              </w:rPr>
              <w:t>Exposure class</w:t>
            </w:r>
          </w:p>
        </w:tc>
        <w:tc>
          <w:tcPr>
            <w:tcW w:type="dxa" w:w="3744"/>
          </w:tcPr>
          <w:p>
            <w:r/>
            <w:r>
              <w:rPr>
                <w:rFonts w:ascii="Calibri" w:hAnsi="Calibri"/>
                <w:color w:val="0F172A"/>
                <w:sz w:val="18"/>
              </w:rPr>
              <w:t>Process variability, yield drift, escalation delay</w:t>
            </w:r>
          </w:p>
        </w:tc>
        <w:tc>
          <w:tcPr>
            <w:tcW w:type="dxa" w:w="3744"/>
          </w:tcPr>
          <w:p>
            <w:r/>
            <w:r>
              <w:rPr>
                <w:rFonts w:ascii="Calibri" w:hAnsi="Calibri"/>
                <w:color w:val="0F172A"/>
                <w:sz w:val="18"/>
              </w:rPr>
              <w:t>Hard stops, silent corruption, IP exfiltration, regulatory breach, safety incident</w:t>
            </w:r>
          </w:p>
        </w:tc>
      </w:tr>
      <w:tr>
        <w:tc>
          <w:tcPr>
            <w:tcW w:type="dxa" w:w="2592"/>
          </w:tcPr>
          <w:p>
            <w:r/>
            <w:r>
              <w:rPr>
                <w:rFonts w:ascii="Calibri" w:hAnsi="Calibri"/>
                <w:color w:val="0F172A"/>
                <w:sz w:val="18"/>
              </w:rPr>
              <w:t>Erosion band (E)</w:t>
            </w:r>
          </w:p>
        </w:tc>
        <w:tc>
          <w:tcPr>
            <w:tcW w:type="dxa" w:w="3744"/>
          </w:tcPr>
          <w:p>
            <w:r/>
            <w:r>
              <w:rPr>
                <w:rFonts w:ascii="Calibri" w:hAnsi="Calibri"/>
                <w:color w:val="0F172A"/>
                <w:sz w:val="18"/>
              </w:rPr>
              <w:t>3–8% of P</w:t>
            </w:r>
          </w:p>
        </w:tc>
        <w:tc>
          <w:tcPr>
            <w:tcW w:type="dxa" w:w="3744"/>
          </w:tcPr>
          <w:p>
            <w:r/>
            <w:r>
              <w:rPr>
                <w:rFonts w:ascii="Calibri" w:hAnsi="Calibri"/>
                <w:color w:val="0F172A"/>
                <w:sz w:val="18"/>
              </w:rPr>
              <w:t>10–90%+ of P (excluding unbounded safety tail)</w:t>
            </w:r>
          </w:p>
        </w:tc>
      </w:tr>
      <w:tr>
        <w:tc>
          <w:tcPr>
            <w:tcW w:type="dxa" w:w="2592"/>
          </w:tcPr>
          <w:p>
            <w:r/>
            <w:r>
              <w:rPr>
                <w:rFonts w:ascii="Calibri" w:hAnsi="Calibri"/>
                <w:color w:val="0F172A"/>
                <w:sz w:val="18"/>
              </w:rPr>
              <w:t>Per-department annual exposure</w:t>
            </w:r>
          </w:p>
        </w:tc>
        <w:tc>
          <w:tcPr>
            <w:tcW w:type="dxa" w:w="3744"/>
          </w:tcPr>
          <w:p>
            <w:r/>
            <w:r>
              <w:rPr>
                <w:rFonts w:ascii="Calibri" w:hAnsi="Calibri"/>
                <w:color w:val="0F172A"/>
                <w:sz w:val="18"/>
              </w:rPr>
              <w:t>$6M–$16M</w:t>
            </w:r>
          </w:p>
        </w:tc>
        <w:tc>
          <w:tcPr>
            <w:tcW w:type="dxa" w:w="3744"/>
          </w:tcPr>
          <w:p>
            <w:r/>
            <w:r>
              <w:rPr>
                <w:rFonts w:ascii="Calibri" w:hAnsi="Calibri"/>
                <w:color w:val="0F172A"/>
                <w:sz w:val="18"/>
              </w:rPr>
              <w:t>$20M–$180M+ (excluding safety tail)</w:t>
            </w:r>
          </w:p>
        </w:tc>
      </w:tr>
      <w:tr>
        <w:tc>
          <w:tcPr>
            <w:tcW w:type="dxa" w:w="2592"/>
          </w:tcPr>
          <w:p>
            <w:r/>
            <w:r>
              <w:rPr>
                <w:rFonts w:ascii="Calibri" w:hAnsi="Calibri"/>
                <w:color w:val="0F172A"/>
                <w:sz w:val="18"/>
              </w:rPr>
              <w:t>Insurability</w:t>
            </w:r>
          </w:p>
        </w:tc>
        <w:tc>
          <w:tcPr>
            <w:tcW w:type="dxa" w:w="3744"/>
          </w:tcPr>
          <w:p>
            <w:r/>
            <w:r>
              <w:rPr>
                <w:rFonts w:ascii="Calibri" w:hAnsi="Calibri"/>
                <w:color w:val="0F172A"/>
                <w:sz w:val="18"/>
              </w:rPr>
              <w:t>Partial</w:t>
            </w:r>
          </w:p>
        </w:tc>
        <w:tc>
          <w:tcPr>
            <w:tcW w:type="dxa" w:w="3744"/>
          </w:tcPr>
          <w:p>
            <w:r/>
            <w:r>
              <w:rPr>
                <w:rFonts w:ascii="Calibri" w:hAnsi="Calibri"/>
                <w:color w:val="0F172A"/>
                <w:sz w:val="18"/>
              </w:rPr>
              <w:t>Low (IP and safety tails are largely uninsurable)</w:t>
            </w:r>
          </w:p>
        </w:tc>
      </w:tr>
      <w:tr>
        <w:tc>
          <w:tcPr>
            <w:tcW w:type="dxa" w:w="2592"/>
          </w:tcPr>
          <w:p>
            <w:r/>
            <w:r>
              <w:rPr>
                <w:rFonts w:ascii="Calibri" w:hAnsi="Calibri"/>
                <w:color w:val="0F172A"/>
                <w:sz w:val="18"/>
              </w:rPr>
              <w:t>Detection dimension</w:t>
            </w:r>
          </w:p>
        </w:tc>
        <w:tc>
          <w:tcPr>
            <w:tcW w:type="dxa" w:w="3744"/>
          </w:tcPr>
          <w:p>
            <w:r/>
            <w:r>
              <w:rPr>
                <w:rFonts w:ascii="Calibri" w:hAnsi="Calibri"/>
                <w:color w:val="0F172A"/>
                <w:sz w:val="18"/>
              </w:rPr>
              <w:t>Human-led visual + structured inspection</w:t>
            </w:r>
          </w:p>
        </w:tc>
        <w:tc>
          <w:tcPr>
            <w:tcW w:type="dxa" w:w="3744"/>
          </w:tcPr>
          <w:p>
            <w:r/>
            <w:r>
              <w:rPr>
                <w:rFonts w:ascii="Calibri" w:hAnsi="Calibri"/>
                <w:color w:val="0F172A"/>
                <w:sz w:val="18"/>
              </w:rPr>
              <w:t>SOC/SIEM/IR + AI-augmented behavioural detection</w:t>
            </w:r>
          </w:p>
        </w:tc>
      </w:tr>
      <w:tr>
        <w:tc>
          <w:tcPr>
            <w:tcW w:type="dxa" w:w="2592"/>
          </w:tcPr>
          <w:p>
            <w:r/>
            <w:r>
              <w:rPr>
                <w:rFonts w:ascii="Calibri" w:hAnsi="Calibri"/>
                <w:color w:val="0F172A"/>
                <w:sz w:val="18"/>
              </w:rPr>
              <w:t>Response dimension</w:t>
            </w:r>
          </w:p>
        </w:tc>
        <w:tc>
          <w:tcPr>
            <w:tcW w:type="dxa" w:w="3744"/>
          </w:tcPr>
          <w:p>
            <w:r/>
            <w:r>
              <w:rPr>
                <w:rFonts w:ascii="Calibri" w:hAnsi="Calibri"/>
                <w:color w:val="0F172A"/>
                <w:sz w:val="18"/>
              </w:rPr>
              <w:t>Human-led SMED recovery + standard work</w:t>
            </w:r>
          </w:p>
        </w:tc>
        <w:tc>
          <w:tcPr>
            <w:tcW w:type="dxa" w:w="3744"/>
          </w:tcPr>
          <w:p>
            <w:r/>
            <w:r>
              <w:rPr>
                <w:rFonts w:ascii="Calibri" w:hAnsi="Calibri"/>
                <w:color w:val="0F172A"/>
                <w:sz w:val="18"/>
              </w:rPr>
              <w:t>IR playbook + SMED recovery rig + AI-augmented triage</w:t>
            </w:r>
          </w:p>
        </w:tc>
      </w:tr>
      <w:tr>
        <w:tc>
          <w:tcPr>
            <w:tcW w:type="dxa" w:w="2592"/>
          </w:tcPr>
          <w:p>
            <w:r/>
            <w:r>
              <w:rPr>
                <w:rFonts w:ascii="Calibri" w:hAnsi="Calibri"/>
                <w:color w:val="0F172A"/>
                <w:sz w:val="18"/>
              </w:rPr>
              <w:t>AI augmentation potential</w:t>
            </w:r>
          </w:p>
        </w:tc>
        <w:tc>
          <w:tcPr>
            <w:tcW w:type="dxa" w:w="3744"/>
          </w:tcPr>
          <w:p>
            <w:r/>
            <w:r>
              <w:rPr>
                <w:rFonts w:ascii="Calibri" w:hAnsi="Calibri"/>
                <w:color w:val="0F172A"/>
                <w:sz w:val="18"/>
              </w:rPr>
              <w:t>Low</w:t>
            </w:r>
          </w:p>
        </w:tc>
        <w:tc>
          <w:tcPr>
            <w:tcW w:type="dxa" w:w="3744"/>
          </w:tcPr>
          <w:p>
            <w:r/>
            <w:r>
              <w:rPr>
                <w:rFonts w:ascii="Calibri" w:hAnsi="Calibri"/>
                <w:color w:val="0F172A"/>
                <w:sz w:val="18"/>
              </w:rPr>
              <w:t>High (Layer 3 is the natural home for autonomous agents)</w:t>
            </w:r>
          </w:p>
        </w:tc>
      </w:tr>
      <w:tr>
        <w:tc>
          <w:tcPr>
            <w:tcW w:type="dxa" w:w="2592"/>
          </w:tcPr>
          <w:p>
            <w:r/>
            <w:r>
              <w:rPr>
                <w:rFonts w:ascii="Calibri" w:hAnsi="Calibri"/>
                <w:color w:val="0F172A"/>
                <w:sz w:val="18"/>
              </w:rPr>
              <w:t>Regulatory dimension</w:t>
            </w:r>
          </w:p>
        </w:tc>
        <w:tc>
          <w:tcPr>
            <w:tcW w:type="dxa" w:w="3744"/>
          </w:tcPr>
          <w:p>
            <w:r/>
            <w:r>
              <w:rPr>
                <w:rFonts w:ascii="Calibri" w:hAnsi="Calibri"/>
                <w:color w:val="0F172A"/>
                <w:sz w:val="18"/>
              </w:rPr>
              <w:t>Quality/environmental</w:t>
            </w:r>
          </w:p>
        </w:tc>
        <w:tc>
          <w:tcPr>
            <w:tcW w:type="dxa" w:w="3744"/>
          </w:tcPr>
          <w:p>
            <w:r/>
            <w:r>
              <w:rPr>
                <w:rFonts w:ascii="Calibri" w:hAnsi="Calibri"/>
                <w:color w:val="0F172A"/>
                <w:sz w:val="18"/>
              </w:rPr>
              <w:t>Cyber (NIS2, IEC 62443, OEM attestation, GDPR, PLD)</w:t>
            </w:r>
          </w:p>
        </w:tc>
      </w:tr>
    </w:tbl>
    <w:p>
      <w:r>
        <w:rPr>
          <w:rFonts w:ascii="Calibri" w:hAnsi="Calibri"/>
          <w:i/>
          <w:color w:val="334155"/>
          <w:sz w:val="20"/>
        </w:rPr>
        <w:t>The cyber engagement is structurally a higher-exposure, lower-insurability, higher-AI-augmentation-potential engagement than the OSI entropy framework. The same MBB methodology applies, but the cost-of-no-action is materially larger.</w:t>
      </w:r>
    </w:p>
    <w:p>
      <w:r>
        <w:br w:type="page"/>
      </w:r>
    </w:p>
    <w:p>
      <w:pPr>
        <w:pStyle w:val="Heading1"/>
      </w:pPr>
      <w:r>
        <w:rPr>
          <w:color w:val="1E40AF"/>
          <w:sz w:val="40"/>
        </w:rPr>
        <w:t>Section 3 — CISO Strategic Alignment</w:t>
      </w:r>
    </w:p>
    <w:p>
      <w:pPr>
        <w:pBdr>
          <w:bottom w:val="single" w:sz="6" w:space="1" w:color="CBD5E1"/>
        </w:pBdr>
      </w:pPr>
    </w:p>
    <w:p/>
    <w:p>
      <w:pPr>
        <w:pStyle w:val="Heading2"/>
      </w:pPr>
      <w:r>
        <w:rPr>
          <w:color w:val="0F172A"/>
          <w:sz w:val="28"/>
        </w:rPr>
        <w:t>3.1 Role Architecture</w:t>
      </w:r>
    </w:p>
    <w:p>
      <w:r>
        <w:rPr>
          <w:rFonts w:ascii="Calibri" w:hAnsi="Calibri"/>
          <w:sz w:val="22"/>
        </w:rPr>
        <w:t>The engagement is structured around five role layers. Each layer has explicit decision rights, escalation ownership, and accountability boundaries.</w:t>
      </w:r>
    </w:p>
    <w:p/>
    <w:p>
      <w:pPr>
        <w:pStyle w:val="Heading3"/>
      </w:pPr>
      <w:r>
        <w:rPr>
          <w:color w:val="0F172A"/>
          <w:sz w:val="24"/>
        </w:rPr>
        <w:t>3.1.1 CISO — Executive Sponsor &amp; Process Owner</w:t>
      </w:r>
    </w:p>
    <w:p>
      <w:r>
        <w:rPr>
          <w:rFonts w:ascii="Calibri" w:hAnsi="Calibri"/>
          <w:sz w:val="22"/>
        </w:rPr>
        <w:t>The CISO is the single accountable authority for the engagement. The CISO's role is structural, not operational — they set the boundaries within which the MBB and the 19 Green Belts operate.</w:t>
      </w:r>
    </w:p>
    <w:p>
      <w:r>
        <w:rPr>
          <w:rFonts w:ascii="Calibri" w:hAnsi="Calibri"/>
          <w:b/>
          <w:sz w:val="22"/>
        </w:rPr>
        <w:t>Decision rights:</w:t>
      </w:r>
    </w:p>
    <w:p>
      <w:pPr>
        <w:pStyle w:val="ListBullet"/>
      </w:pPr>
      <w:r>
        <w:rPr>
          <w:sz w:val="22"/>
        </w:rPr>
        <w:t>Risk appetite — defines what residual risk is acceptable post-engagement; sets the Z-score target floor</w:t>
      </w:r>
    </w:p>
    <w:p>
      <w:pPr>
        <w:pStyle w:val="ListBullet"/>
      </w:pPr>
      <w:r>
        <w:rPr>
          <w:sz w:val="22"/>
        </w:rPr>
        <w:t>Confidentiality protocol — owns the data-access governance (§3.5); grants or revokes the 19 Green Belts' access to anonymised data</w:t>
      </w:r>
    </w:p>
    <w:p>
      <w:pPr>
        <w:pStyle w:val="ListBullet"/>
      </w:pPr>
      <w:r>
        <w:rPr>
          <w:sz w:val="22"/>
        </w:rPr>
        <w:t>Tollgate sign-off — sole signatory on G1–G5; no phase advances without CISO approval</w:t>
      </w:r>
    </w:p>
    <w:p>
      <w:pPr>
        <w:pStyle w:val="ListBullet"/>
      </w:pPr>
      <w:r>
        <w:rPr>
          <w:sz w:val="22"/>
        </w:rPr>
        <w:t>Budget allocation — approves any non-standard spend (e.g. external SOC tooling, AI agent platform licensing)</w:t>
      </w:r>
    </w:p>
    <w:p>
      <w:pPr>
        <w:pStyle w:val="ListBullet"/>
      </w:pPr>
      <w:r>
        <w:rPr>
          <w:sz w:val="22"/>
        </w:rPr>
        <w:t>Strategic escalation — receives Tier 3 and Tier 4 escalations (§3.4); routes to executive committee as required</w:t>
      </w:r>
    </w:p>
    <w:p>
      <w:pPr>
        <w:pStyle w:val="ListBullet"/>
      </w:pPr>
      <w:r>
        <w:rPr>
          <w:sz w:val="22"/>
        </w:rPr>
        <w:t>Incident notification — receives real-time notification of any confirmed cyber event on a protected line, regardless of severity</w:t>
      </w:r>
    </w:p>
    <w:p/>
    <w:p>
      <w:pPr>
        <w:pStyle w:val="Heading3"/>
      </w:pPr>
      <w:r>
        <w:rPr>
          <w:color w:val="0F172A"/>
          <w:sz w:val="24"/>
        </w:rPr>
        <w:t>3.1.2 MBB — Project Lead &amp; Methodology Owner</w:t>
      </w:r>
    </w:p>
    <w:p>
      <w:r>
        <w:rPr>
          <w:rFonts w:ascii="Calibri" w:hAnsi="Calibri"/>
          <w:sz w:val="22"/>
        </w:rPr>
        <w:t>The MBB (Olivia) is the accountable authority for engagement delivery and methodology integrity.</w:t>
      </w:r>
    </w:p>
    <w:p>
      <w:pPr>
        <w:pStyle w:val="ListBullet"/>
      </w:pPr>
      <w:r>
        <w:rPr>
          <w:sz w:val="22"/>
        </w:rPr>
        <w:t>Project velocity — drives the engagement to each tollgate on schedule; resolves cross-track dependencies</w:t>
      </w:r>
    </w:p>
    <w:p>
      <w:pPr>
        <w:pStyle w:val="ListBullet"/>
      </w:pPr>
      <w:r>
        <w:rPr>
          <w:sz w:val="22"/>
        </w:rPr>
        <w:t>DMAIC methodology — owns the analytical engine (FMEA, SPC, capability indices); arbitrates methodological disputes</w:t>
      </w:r>
    </w:p>
    <w:p>
      <w:pPr>
        <w:pStyle w:val="ListBullet"/>
      </w:pPr>
      <w:r>
        <w:rPr>
          <w:sz w:val="22"/>
        </w:rPr>
        <w:t>Track allocation — allocates the 19 Green Belts across Track A / B / C; can reallocate within the approved headcount</w:t>
      </w:r>
    </w:p>
    <w:p>
      <w:pPr>
        <w:pStyle w:val="ListBullet"/>
      </w:pPr>
      <w:r>
        <w:rPr>
          <w:sz w:val="22"/>
        </w:rPr>
        <w:t>Internal escalation — resolves Tier 1 and Tier 2 issues within 24 hours</w:t>
      </w:r>
    </w:p>
    <w:p>
      <w:pPr>
        <w:pStyle w:val="ListBullet"/>
      </w:pPr>
      <w:r>
        <w:rPr>
          <w:sz w:val="22"/>
        </w:rPr>
        <w:t>Operational decisions — makes all day-to-day decisions within the approved charter</w:t>
      </w:r>
    </w:p>
    <w:p>
      <w:pPr>
        <w:pStyle w:val="ListBullet"/>
      </w:pPr>
      <w:r>
        <w:rPr>
          <w:sz w:val="22"/>
        </w:rPr>
        <w:t>CISO presentation — sole presenter of tollgate findings to the CISO</w:t>
      </w:r>
    </w:p>
    <w:p/>
    <w:p>
      <w:pPr>
        <w:pStyle w:val="Heading3"/>
      </w:pPr>
      <w:r>
        <w:rPr>
          <w:color w:val="0F172A"/>
          <w:sz w:val="24"/>
        </w:rPr>
        <w:t>3.1.3 Track Leads</w:t>
      </w:r>
    </w:p>
    <w:p>
      <w:r>
        <w:rPr>
          <w:rFonts w:ascii="Calibri" w:hAnsi="Calibri"/>
          <w:sz w:val="22"/>
        </w:rPr>
        <w:t>Each of the three tracks has a Track Lead (typically the most senior Green Belt on the track).</w:t>
      </w:r>
    </w:p>
    <w:tbl>
      <w:tblPr>
        <w:tblStyle w:val="LightGrid-Accent1"/>
        <w:tblW w:type="auto" w:w="0"/>
        <w:tblLook w:firstColumn="1" w:firstRow="1" w:lastColumn="0" w:lastRow="0" w:noHBand="0" w:noVBand="1" w:val="04A0"/>
      </w:tblPr>
      <w:tblGrid>
        <w:gridCol w:w="4873"/>
        <w:gridCol w:w="4873"/>
      </w:tblGrid>
      <w:tr>
        <w:tc>
          <w:tcPr>
            <w:tcW w:type="dxa" w:w="3456"/>
          </w:tcPr>
          <w:p>
            <w:r>
              <w:rPr>
                <w:b/>
                <w:color w:val="334155"/>
                <w:sz w:val="20"/>
              </w:rPr>
              <w:t>Track A — Architecture (6 GBs)</w:t>
            </w:r>
          </w:p>
        </w:tc>
        <w:tc>
          <w:tcPr>
            <w:tcW w:type="dxa" w:w="6624"/>
          </w:tcPr>
          <w:p>
            <w:r>
              <w:rPr>
                <w:color w:val="0F172A"/>
                <w:sz w:val="20"/>
              </w:rPr>
              <w:t>IT/OT segmentation, air-gapping, network isolation, vendor remote-access hardening</w:t>
            </w:r>
          </w:p>
        </w:tc>
      </w:tr>
      <w:tr>
        <w:tc>
          <w:tcPr>
            <w:tcW w:type="dxa" w:w="3456"/>
          </w:tcPr>
          <w:p>
            <w:r>
              <w:rPr>
                <w:b/>
                <w:color w:val="334155"/>
                <w:sz w:val="20"/>
              </w:rPr>
              <w:t>Track B — Data &amp; Metrics (7 GBs)</w:t>
            </w:r>
          </w:p>
        </w:tc>
        <w:tc>
          <w:tcPr>
            <w:tcW w:type="dxa" w:w="6624"/>
          </w:tcPr>
          <w:p>
            <w:r>
              <w:rPr>
                <w:color w:val="0F172A"/>
                <w:sz w:val="20"/>
              </w:rPr>
              <w:t>Anonymised data pipelines, SPC chart construction, FMEA calculation, capability reporting</w:t>
            </w:r>
          </w:p>
        </w:tc>
      </w:tr>
      <w:tr>
        <w:tc>
          <w:tcPr>
            <w:tcW w:type="dxa" w:w="3456"/>
          </w:tcPr>
          <w:p>
            <w:r>
              <w:rPr>
                <w:b/>
                <w:color w:val="334155"/>
                <w:sz w:val="20"/>
              </w:rPr>
              <w:t>Track C — Automation (6 GBs)</w:t>
            </w:r>
          </w:p>
        </w:tc>
        <w:tc>
          <w:tcPr>
            <w:tcW w:type="dxa" w:w="6624"/>
          </w:tcPr>
          <w:p>
            <w:r>
              <w:rPr>
                <w:color w:val="0F172A"/>
                <w:sz w:val="20"/>
              </w:rPr>
              <w:t>Cyber Poka-Yoke coding, SMED recovery rig, IR playbook automation, AI-augmented Layer 3 agents</w:t>
            </w:r>
          </w:p>
        </w:tc>
      </w:tr>
    </w:tbl>
    <w:p/>
    <w:p>
      <w:pPr>
        <w:pStyle w:val="Heading3"/>
      </w:pPr>
      <w:r>
        <w:rPr>
          <w:color w:val="0F172A"/>
          <w:sz w:val="24"/>
        </w:rPr>
        <w:t>3.1.4 Green Belts (19 total)</w:t>
      </w:r>
    </w:p>
    <w:p>
      <w:pPr>
        <w:pStyle w:val="ListBullet"/>
      </w:pPr>
      <w:r>
        <w:rPr>
          <w:sz w:val="22"/>
        </w:rPr>
        <w:t>Code / data / automation — write code within the track's approved scope, query the anonymised data lake, deploy automation</w:t>
      </w:r>
    </w:p>
    <w:p>
      <w:pPr>
        <w:pStyle w:val="ListBullet"/>
      </w:pPr>
      <w:r>
        <w:rPr>
          <w:sz w:val="22"/>
        </w:rPr>
        <w:t>Standard work — follow the Standard Work checklist (§6) for weekly, monthly, quarterly routines</w:t>
      </w:r>
    </w:p>
    <w:p>
      <w:pPr>
        <w:pStyle w:val="ListBullet"/>
      </w:pPr>
      <w:r>
        <w:rPr>
          <w:sz w:val="22"/>
        </w:rPr>
        <w:t>Issue flag — raise issues to the Track Lead; can pause work if a data-access anomaly is detected</w:t>
      </w:r>
    </w:p>
    <w:p/>
    <w:p>
      <w:pPr>
        <w:pStyle w:val="Heading2"/>
      </w:pPr>
      <w:r>
        <w:rPr>
          <w:color w:val="0F172A"/>
          <w:sz w:val="28"/>
        </w:rPr>
        <w:t>3.2 Decision Authority &amp; RACI Matrix</w:t>
      </w:r>
    </w:p>
    <w:p>
      <w:r>
        <w:rPr>
          <w:rFonts w:ascii="Calibri" w:hAnsi="Calibri"/>
          <w:i/>
          <w:color w:val="64748B"/>
          <w:sz w:val="20"/>
        </w:rPr>
        <w:t>A = Accountable (single owner); R = Responsible (does the work); C = Consulted (input before decision); I = Informed (notified after decision).</w:t>
      </w:r>
    </w:p>
    <w:p/>
    <w:tbl>
      <w:tblPr>
        <w:tblStyle w:val="LightGrid-Accent1"/>
        <w:tblW w:type="auto" w:w="0"/>
        <w:tblLook w:firstColumn="1" w:firstRow="1" w:lastColumn="0" w:lastRow="0" w:noHBand="0" w:noVBand="1" w:val="04A0"/>
      </w:tblPr>
      <w:tblGrid>
        <w:gridCol w:w="975"/>
        <w:gridCol w:w="975"/>
        <w:gridCol w:w="975"/>
        <w:gridCol w:w="975"/>
        <w:gridCol w:w="975"/>
        <w:gridCol w:w="975"/>
        <w:gridCol w:w="975"/>
        <w:gridCol w:w="975"/>
        <w:gridCol w:w="975"/>
        <w:gridCol w:w="975"/>
      </w:tblGrid>
      <w:tr>
        <w:tc>
          <w:tcPr>
            <w:tcW w:type="dxa" w:w="2880"/>
            <w:shd w:val="clear" w:color="auto" w:fill="1E40AF"/>
          </w:tcPr>
          <w:p>
            <w:r/>
            <w:r>
              <w:rPr>
                <w:rFonts w:ascii="Calibri" w:hAnsi="Calibri"/>
                <w:b/>
                <w:color w:val="FFFFFF"/>
                <w:sz w:val="20"/>
              </w:rPr>
              <w:t>Decision Category</w:t>
            </w:r>
          </w:p>
        </w:tc>
        <w:tc>
          <w:tcPr>
            <w:tcW w:type="dxa" w:w="720"/>
            <w:shd w:val="clear" w:color="auto" w:fill="1E40AF"/>
          </w:tcPr>
          <w:p>
            <w:r/>
            <w:r>
              <w:rPr>
                <w:rFonts w:ascii="Calibri" w:hAnsi="Calibri"/>
                <w:b/>
                <w:color w:val="FFFFFF"/>
                <w:sz w:val="20"/>
              </w:rPr>
              <w:t>CISO</w:t>
            </w:r>
          </w:p>
        </w:tc>
        <w:tc>
          <w:tcPr>
            <w:tcW w:type="dxa" w:w="720"/>
            <w:shd w:val="clear" w:color="auto" w:fill="1E40AF"/>
          </w:tcPr>
          <w:p>
            <w:r/>
            <w:r>
              <w:rPr>
                <w:rFonts w:ascii="Calibri" w:hAnsi="Calibri"/>
                <w:b/>
                <w:color w:val="FFFFFF"/>
                <w:sz w:val="20"/>
              </w:rPr>
              <w:t>MBB</w:t>
            </w:r>
          </w:p>
        </w:tc>
        <w:tc>
          <w:tcPr>
            <w:tcW w:type="dxa" w:w="864"/>
            <w:shd w:val="clear" w:color="auto" w:fill="1E40AF"/>
          </w:tcPr>
          <w:p>
            <w:r/>
            <w:r>
              <w:rPr>
                <w:rFonts w:ascii="Calibri" w:hAnsi="Calibri"/>
                <w:b/>
                <w:color w:val="FFFFFF"/>
                <w:sz w:val="20"/>
              </w:rPr>
              <w:t>Track Lead</w:t>
            </w:r>
          </w:p>
        </w:tc>
        <w:tc>
          <w:tcPr>
            <w:tcW w:type="dxa" w:w="576"/>
            <w:shd w:val="clear" w:color="auto" w:fill="1E40AF"/>
          </w:tcPr>
          <w:p>
            <w:r/>
            <w:r>
              <w:rPr>
                <w:rFonts w:ascii="Calibri" w:hAnsi="Calibri"/>
                <w:b/>
                <w:color w:val="FFFFFF"/>
                <w:sz w:val="20"/>
              </w:rPr>
              <w:t>GB</w:t>
            </w:r>
          </w:p>
        </w:tc>
        <w:tc>
          <w:tcPr>
            <w:tcW w:type="dxa" w:w="576"/>
            <w:shd w:val="clear" w:color="auto" w:fill="1E40AF"/>
          </w:tcPr>
          <w:p>
            <w:r/>
            <w:r>
              <w:rPr>
                <w:rFonts w:ascii="Calibri" w:hAnsi="Calibri"/>
                <w:b/>
                <w:color w:val="FFFFFF"/>
                <w:sz w:val="20"/>
              </w:rPr>
              <w:t>Ops</w:t>
            </w:r>
          </w:p>
        </w:tc>
        <w:tc>
          <w:tcPr>
            <w:tcW w:type="dxa" w:w="864"/>
            <w:shd w:val="clear" w:color="auto" w:fill="1E40AF"/>
          </w:tcPr>
          <w:p>
            <w:r/>
            <w:r>
              <w:rPr>
                <w:rFonts w:ascii="Calibri" w:hAnsi="Calibri"/>
                <w:b/>
                <w:color w:val="FFFFFF"/>
                <w:sz w:val="20"/>
              </w:rPr>
              <w:t>IT Sec</w:t>
            </w:r>
          </w:p>
        </w:tc>
        <w:tc>
          <w:tcPr>
            <w:tcW w:type="dxa" w:w="864"/>
            <w:shd w:val="clear" w:color="auto" w:fill="1E40AF"/>
          </w:tcPr>
          <w:p>
            <w:r/>
            <w:r>
              <w:rPr>
                <w:rFonts w:ascii="Calibri" w:hAnsi="Calibri"/>
                <w:b/>
                <w:color w:val="FFFFFF"/>
                <w:sz w:val="20"/>
              </w:rPr>
              <w:t>OT Eng</w:t>
            </w:r>
          </w:p>
        </w:tc>
        <w:tc>
          <w:tcPr>
            <w:tcW w:type="dxa" w:w="720"/>
            <w:shd w:val="clear" w:color="auto" w:fill="1E40AF"/>
          </w:tcPr>
          <w:p>
            <w:r/>
            <w:r>
              <w:rPr>
                <w:rFonts w:ascii="Calibri" w:hAnsi="Calibri"/>
                <w:b/>
                <w:color w:val="FFFFFF"/>
                <w:sz w:val="20"/>
              </w:rPr>
              <w:t>Safety</w:t>
            </w:r>
          </w:p>
        </w:tc>
        <w:tc>
          <w:tcPr>
            <w:tcW w:type="dxa" w:w="720"/>
            <w:shd w:val="clear" w:color="auto" w:fill="1E40AF"/>
          </w:tcPr>
          <w:p>
            <w:r/>
            <w:r>
              <w:rPr>
                <w:rFonts w:ascii="Calibri" w:hAnsi="Calibri"/>
                <w:b/>
                <w:color w:val="FFFFFF"/>
                <w:sz w:val="20"/>
              </w:rPr>
              <w:t>Legal</w:t>
            </w:r>
          </w:p>
        </w:tc>
      </w:tr>
      <w:tr>
        <w:tc>
          <w:tcPr>
            <w:tcW w:type="dxa" w:w="2880"/>
          </w:tcPr>
          <w:p>
            <w:r/>
            <w:r>
              <w:rPr>
                <w:rFonts w:ascii="Calibri" w:hAnsi="Calibri"/>
                <w:color w:val="0F172A"/>
                <w:sz w:val="18"/>
              </w:rPr>
              <w:t>Risk appetite</w:t>
            </w:r>
          </w:p>
        </w:tc>
        <w:tc>
          <w:tcPr>
            <w:tcW w:type="dxa" w:w="720"/>
          </w:tcPr>
          <w:p>
            <w:r/>
            <w:r>
              <w:rPr>
                <w:rFonts w:ascii="Calibri" w:hAnsi="Calibri"/>
                <w:color w:val="0F172A"/>
                <w:sz w:val="18"/>
              </w:rPr>
              <w:t>A</w:t>
            </w:r>
          </w:p>
        </w:tc>
        <w:tc>
          <w:tcPr>
            <w:tcW w:type="dxa" w:w="720"/>
          </w:tcPr>
          <w:p>
            <w:r/>
            <w:r>
              <w:rPr>
                <w:rFonts w:ascii="Calibri" w:hAnsi="Calibri"/>
                <w:color w:val="0F172A"/>
                <w:sz w:val="18"/>
              </w:rPr>
              <w:t>C</w:t>
            </w:r>
          </w:p>
        </w:tc>
        <w:tc>
          <w:tcPr>
            <w:tcW w:type="dxa" w:w="864"/>
          </w:tcPr>
          <w:p>
            <w:r/>
            <w:r>
              <w:rPr>
                <w:rFonts w:ascii="Calibri" w:hAnsi="Calibri"/>
                <w:color w:val="0F172A"/>
                <w:sz w:val="18"/>
              </w:rPr>
              <w:t>I</w:t>
            </w:r>
          </w:p>
        </w:tc>
        <w:tc>
          <w:tcPr>
            <w:tcW w:type="dxa" w:w="576"/>
          </w:tcPr>
          <w:p>
            <w:r/>
            <w:r>
              <w:rPr>
                <w:rFonts w:ascii="Calibri" w:hAnsi="Calibri"/>
                <w:color w:val="0F172A"/>
                <w:sz w:val="18"/>
              </w:rPr>
              <w:t>I</w:t>
            </w:r>
          </w:p>
        </w:tc>
        <w:tc>
          <w:tcPr>
            <w:tcW w:type="dxa" w:w="576"/>
          </w:tcPr>
          <w:p>
            <w:r/>
            <w:r>
              <w:rPr>
                <w:rFonts w:ascii="Calibri" w:hAnsi="Calibri"/>
                <w:color w:val="0F172A"/>
                <w:sz w:val="18"/>
              </w:rPr>
              <w:t>C</w:t>
            </w:r>
          </w:p>
        </w:tc>
        <w:tc>
          <w:tcPr>
            <w:tcW w:type="dxa" w:w="864"/>
          </w:tcPr>
          <w:p>
            <w:r/>
            <w:r>
              <w:rPr>
                <w:rFonts w:ascii="Calibri" w:hAnsi="Calibri"/>
                <w:color w:val="0F172A"/>
                <w:sz w:val="18"/>
              </w:rPr>
              <w:t>C</w:t>
            </w:r>
          </w:p>
        </w:tc>
        <w:tc>
          <w:tcPr>
            <w:tcW w:type="dxa" w:w="864"/>
          </w:tcPr>
          <w:p>
            <w:r/>
            <w:r>
              <w:rPr>
                <w:rFonts w:ascii="Calibri" w:hAnsi="Calibri"/>
                <w:color w:val="0F172A"/>
                <w:sz w:val="18"/>
              </w:rPr>
              <w:t>C</w:t>
            </w:r>
          </w:p>
        </w:tc>
        <w:tc>
          <w:tcPr>
            <w:tcW w:type="dxa" w:w="720"/>
          </w:tcPr>
          <w:p>
            <w:r/>
            <w:r>
              <w:rPr>
                <w:rFonts w:ascii="Calibri" w:hAnsi="Calibri"/>
                <w:color w:val="0F172A"/>
                <w:sz w:val="18"/>
              </w:rPr>
              <w:t>C</w:t>
            </w:r>
          </w:p>
        </w:tc>
        <w:tc>
          <w:tcPr>
            <w:tcW w:type="dxa" w:w="720"/>
          </w:tcPr>
          <w:p>
            <w:r/>
            <w:r>
              <w:rPr>
                <w:rFonts w:ascii="Calibri" w:hAnsi="Calibri"/>
                <w:color w:val="0F172A"/>
                <w:sz w:val="18"/>
              </w:rPr>
              <w:t>C</w:t>
            </w:r>
          </w:p>
        </w:tc>
      </w:tr>
      <w:tr>
        <w:tc>
          <w:tcPr>
            <w:tcW w:type="dxa" w:w="2880"/>
          </w:tcPr>
          <w:p>
            <w:r/>
            <w:r>
              <w:rPr>
                <w:rFonts w:ascii="Calibri" w:hAnsi="Calibri"/>
                <w:color w:val="0F172A"/>
                <w:sz w:val="18"/>
              </w:rPr>
              <w:t>Tollgate sign-off (G1–G5)</w:t>
            </w:r>
          </w:p>
        </w:tc>
        <w:tc>
          <w:tcPr>
            <w:tcW w:type="dxa" w:w="720"/>
          </w:tcPr>
          <w:p>
            <w:r/>
            <w:r>
              <w:rPr>
                <w:rFonts w:ascii="Calibri" w:hAnsi="Calibri"/>
                <w:color w:val="0F172A"/>
                <w:sz w:val="18"/>
              </w:rPr>
              <w:t>A</w:t>
            </w:r>
          </w:p>
        </w:tc>
        <w:tc>
          <w:tcPr>
            <w:tcW w:type="dxa" w:w="720"/>
          </w:tcPr>
          <w:p>
            <w:r/>
            <w:r>
              <w:rPr>
                <w:rFonts w:ascii="Calibri" w:hAnsi="Calibri"/>
                <w:color w:val="0F172A"/>
                <w:sz w:val="18"/>
              </w:rPr>
              <w:t>R</w:t>
            </w:r>
          </w:p>
        </w:tc>
        <w:tc>
          <w:tcPr>
            <w:tcW w:type="dxa" w:w="864"/>
          </w:tcPr>
          <w:p>
            <w:r/>
            <w:r>
              <w:rPr>
                <w:rFonts w:ascii="Calibri" w:hAnsi="Calibri"/>
                <w:color w:val="0F172A"/>
                <w:sz w:val="18"/>
              </w:rPr>
              <w:t>I</w:t>
            </w:r>
          </w:p>
        </w:tc>
        <w:tc>
          <w:tcPr>
            <w:tcW w:type="dxa" w:w="576"/>
          </w:tcPr>
          <w:p>
            <w:r/>
            <w:r>
              <w:rPr>
                <w:rFonts w:ascii="Calibri" w:hAnsi="Calibri"/>
                <w:color w:val="0F172A"/>
                <w:sz w:val="18"/>
              </w:rPr>
              <w:t>I</w:t>
            </w:r>
          </w:p>
        </w:tc>
        <w:tc>
          <w:tcPr>
            <w:tcW w:type="dxa" w:w="576"/>
          </w:tcPr>
          <w:p>
            <w:r/>
            <w:r>
              <w:rPr>
                <w:rFonts w:ascii="Calibri" w:hAnsi="Calibri"/>
                <w:color w:val="0F172A"/>
                <w:sz w:val="18"/>
              </w:rPr>
              <w:t>I</w:t>
            </w:r>
          </w:p>
        </w:tc>
        <w:tc>
          <w:tcPr>
            <w:tcW w:type="dxa" w:w="864"/>
          </w:tcPr>
          <w:p>
            <w:r/>
            <w:r>
              <w:rPr>
                <w:rFonts w:ascii="Calibri" w:hAnsi="Calibri"/>
                <w:color w:val="0F172A"/>
                <w:sz w:val="18"/>
              </w:rPr>
              <w:t>I</w:t>
            </w:r>
          </w:p>
        </w:tc>
        <w:tc>
          <w:tcPr>
            <w:tcW w:type="dxa" w:w="864"/>
          </w:tcPr>
          <w:p>
            <w:r/>
            <w:r>
              <w:rPr>
                <w:rFonts w:ascii="Calibri" w:hAnsi="Calibri"/>
                <w:color w:val="0F172A"/>
                <w:sz w:val="18"/>
              </w:rPr>
              <w:t>I</w:t>
            </w:r>
          </w:p>
        </w:tc>
        <w:tc>
          <w:tcPr>
            <w:tcW w:type="dxa" w:w="720"/>
          </w:tcPr>
          <w:p>
            <w:r/>
            <w:r>
              <w:rPr>
                <w:rFonts w:ascii="Calibri" w:hAnsi="Calibri"/>
                <w:color w:val="0F172A"/>
                <w:sz w:val="18"/>
              </w:rPr>
              <w:t>I</w:t>
            </w:r>
          </w:p>
        </w:tc>
        <w:tc>
          <w:tcPr>
            <w:tcW w:type="dxa" w:w="720"/>
          </w:tcPr>
          <w:p>
            <w:r/>
            <w:r>
              <w:rPr>
                <w:rFonts w:ascii="Calibri" w:hAnsi="Calibri"/>
                <w:color w:val="0F172A"/>
                <w:sz w:val="18"/>
              </w:rPr>
              <w:t>I</w:t>
            </w:r>
          </w:p>
        </w:tc>
      </w:tr>
      <w:tr>
        <w:tc>
          <w:tcPr>
            <w:tcW w:type="dxa" w:w="2880"/>
          </w:tcPr>
          <w:p>
            <w:r/>
            <w:r>
              <w:rPr>
                <w:rFonts w:ascii="Calibri" w:hAnsi="Calibri"/>
                <w:color w:val="0F172A"/>
                <w:sz w:val="18"/>
              </w:rPr>
              <w:t>Project velocity &amp; schedule</w:t>
            </w:r>
          </w:p>
        </w:tc>
        <w:tc>
          <w:tcPr>
            <w:tcW w:type="dxa" w:w="720"/>
          </w:tcPr>
          <w:p>
            <w:r/>
            <w:r>
              <w:rPr>
                <w:rFonts w:ascii="Calibri" w:hAnsi="Calibri"/>
                <w:color w:val="0F172A"/>
                <w:sz w:val="18"/>
              </w:rPr>
              <w:t>C</w:t>
            </w:r>
          </w:p>
        </w:tc>
        <w:tc>
          <w:tcPr>
            <w:tcW w:type="dxa" w:w="720"/>
          </w:tcPr>
          <w:p>
            <w:r/>
            <w:r>
              <w:rPr>
                <w:rFonts w:ascii="Calibri" w:hAnsi="Calibri"/>
                <w:color w:val="0F172A"/>
                <w:sz w:val="18"/>
              </w:rPr>
              <w:t>A/R</w:t>
            </w:r>
          </w:p>
        </w:tc>
        <w:tc>
          <w:tcPr>
            <w:tcW w:type="dxa" w:w="864"/>
          </w:tcPr>
          <w:p>
            <w:r/>
            <w:r>
              <w:rPr>
                <w:rFonts w:ascii="Calibri" w:hAnsi="Calibri"/>
                <w:color w:val="0F172A"/>
                <w:sz w:val="18"/>
              </w:rPr>
              <w:t>R</w:t>
            </w:r>
          </w:p>
        </w:tc>
        <w:tc>
          <w:tcPr>
            <w:tcW w:type="dxa" w:w="576"/>
          </w:tcPr>
          <w:p>
            <w:r/>
            <w:r>
              <w:rPr>
                <w:rFonts w:ascii="Calibri" w:hAnsi="Calibri"/>
                <w:color w:val="0F172A"/>
                <w:sz w:val="18"/>
              </w:rPr>
              <w:t>I</w:t>
            </w:r>
          </w:p>
        </w:tc>
        <w:tc>
          <w:tcPr>
            <w:tcW w:type="dxa" w:w="576"/>
          </w:tcPr>
          <w:p>
            <w:r/>
            <w:r>
              <w:rPr>
                <w:rFonts w:ascii="Calibri" w:hAnsi="Calibri"/>
                <w:color w:val="0F172A"/>
                <w:sz w:val="18"/>
              </w:rPr>
              <w:t>C</w:t>
            </w:r>
          </w:p>
        </w:tc>
        <w:tc>
          <w:tcPr>
            <w:tcW w:type="dxa" w:w="864"/>
          </w:tcPr>
          <w:p>
            <w:r/>
            <w:r>
              <w:rPr>
                <w:rFonts w:ascii="Calibri" w:hAnsi="Calibri"/>
                <w:color w:val="0F172A"/>
                <w:sz w:val="18"/>
              </w:rPr>
              <w:t>I</w:t>
            </w:r>
          </w:p>
        </w:tc>
        <w:tc>
          <w:tcPr>
            <w:tcW w:type="dxa" w:w="864"/>
          </w:tcPr>
          <w:p>
            <w:r/>
            <w:r>
              <w:rPr>
                <w:rFonts w:ascii="Calibri" w:hAnsi="Calibri"/>
                <w:color w:val="0F172A"/>
                <w:sz w:val="18"/>
              </w:rPr>
              <w:t>I</w:t>
            </w:r>
          </w:p>
        </w:tc>
        <w:tc>
          <w:tcPr>
            <w:tcW w:type="dxa" w:w="720"/>
          </w:tcPr>
          <w:p>
            <w:r/>
            <w:r>
              <w:rPr>
                <w:rFonts w:ascii="Calibri" w:hAnsi="Calibri"/>
                <w:color w:val="0F172A"/>
                <w:sz w:val="18"/>
              </w:rPr>
              <w:t>I</w:t>
            </w:r>
          </w:p>
        </w:tc>
        <w:tc>
          <w:tcPr>
            <w:tcW w:type="dxa" w:w="720"/>
          </w:tcPr>
          <w:p>
            <w:r/>
            <w:r>
              <w:rPr>
                <w:rFonts w:ascii="Calibri" w:hAnsi="Calibri"/>
                <w:color w:val="0F172A"/>
                <w:sz w:val="18"/>
              </w:rPr>
              <w:t>I</w:t>
            </w:r>
          </w:p>
        </w:tc>
      </w:tr>
      <w:tr>
        <w:tc>
          <w:tcPr>
            <w:tcW w:type="dxa" w:w="2880"/>
          </w:tcPr>
          <w:p>
            <w:r/>
            <w:r>
              <w:rPr>
                <w:rFonts w:ascii="Calibri" w:hAnsi="Calibri"/>
                <w:color w:val="0F172A"/>
                <w:sz w:val="18"/>
              </w:rPr>
              <w:t>DMAIC methodology</w:t>
            </w:r>
          </w:p>
        </w:tc>
        <w:tc>
          <w:tcPr>
            <w:tcW w:type="dxa" w:w="720"/>
          </w:tcPr>
          <w:p>
            <w:r/>
            <w:r>
              <w:rPr>
                <w:rFonts w:ascii="Calibri" w:hAnsi="Calibri"/>
                <w:color w:val="0F172A"/>
                <w:sz w:val="18"/>
              </w:rPr>
              <w:t>C</w:t>
            </w:r>
          </w:p>
        </w:tc>
        <w:tc>
          <w:tcPr>
            <w:tcW w:type="dxa" w:w="720"/>
          </w:tcPr>
          <w:p>
            <w:r/>
            <w:r>
              <w:rPr>
                <w:rFonts w:ascii="Calibri" w:hAnsi="Calibri"/>
                <w:color w:val="0F172A"/>
                <w:sz w:val="18"/>
              </w:rPr>
              <w:t>A/R</w:t>
            </w:r>
          </w:p>
        </w:tc>
        <w:tc>
          <w:tcPr>
            <w:tcW w:type="dxa" w:w="864"/>
          </w:tcPr>
          <w:p>
            <w:r/>
            <w:r>
              <w:rPr>
                <w:rFonts w:ascii="Calibri" w:hAnsi="Calibri"/>
                <w:color w:val="0F172A"/>
                <w:sz w:val="18"/>
              </w:rPr>
              <w:t>R</w:t>
            </w:r>
          </w:p>
        </w:tc>
        <w:tc>
          <w:tcPr>
            <w:tcW w:type="dxa" w:w="576"/>
          </w:tcPr>
          <w:p>
            <w:r/>
            <w:r>
              <w:rPr>
                <w:rFonts w:ascii="Calibri" w:hAnsi="Calibri"/>
                <w:color w:val="0F172A"/>
                <w:sz w:val="18"/>
              </w:rPr>
              <w:t>I</w:t>
            </w:r>
          </w:p>
        </w:tc>
        <w:tc>
          <w:tcPr>
            <w:tcW w:type="dxa" w:w="576"/>
          </w:tcPr>
          <w:p>
            <w:r/>
            <w:r>
              <w:rPr>
                <w:rFonts w:ascii="Calibri" w:hAnsi="Calibri"/>
                <w:color w:val="0F172A"/>
                <w:sz w:val="18"/>
              </w:rPr>
              <w:t>I</w:t>
            </w:r>
          </w:p>
        </w:tc>
        <w:tc>
          <w:tcPr>
            <w:tcW w:type="dxa" w:w="864"/>
          </w:tcPr>
          <w:p>
            <w:r/>
            <w:r>
              <w:rPr>
                <w:rFonts w:ascii="Calibri" w:hAnsi="Calibri"/>
                <w:color w:val="0F172A"/>
                <w:sz w:val="18"/>
              </w:rPr>
              <w:t>I</w:t>
            </w:r>
          </w:p>
        </w:tc>
        <w:tc>
          <w:tcPr>
            <w:tcW w:type="dxa" w:w="864"/>
          </w:tcPr>
          <w:p>
            <w:r/>
            <w:r>
              <w:rPr>
                <w:rFonts w:ascii="Calibri" w:hAnsi="Calibri"/>
                <w:color w:val="0F172A"/>
                <w:sz w:val="18"/>
              </w:rPr>
              <w:t>I</w:t>
            </w:r>
          </w:p>
        </w:tc>
        <w:tc>
          <w:tcPr>
            <w:tcW w:type="dxa" w:w="720"/>
          </w:tcPr>
          <w:p>
            <w:r/>
            <w:r>
              <w:rPr>
                <w:rFonts w:ascii="Calibri" w:hAnsi="Calibri"/>
                <w:color w:val="0F172A"/>
                <w:sz w:val="18"/>
              </w:rPr>
              <w:t>I</w:t>
            </w:r>
          </w:p>
        </w:tc>
        <w:tc>
          <w:tcPr>
            <w:tcW w:type="dxa" w:w="720"/>
          </w:tcPr>
          <w:p>
            <w:r/>
            <w:r>
              <w:rPr>
                <w:rFonts w:ascii="Calibri" w:hAnsi="Calibri"/>
                <w:color w:val="0F172A"/>
                <w:sz w:val="18"/>
              </w:rPr>
              <w:t>I</w:t>
            </w:r>
          </w:p>
        </w:tc>
      </w:tr>
      <w:tr>
        <w:tc>
          <w:tcPr>
            <w:tcW w:type="dxa" w:w="2880"/>
          </w:tcPr>
          <w:p>
            <w:r/>
            <w:r>
              <w:rPr>
                <w:rFonts w:ascii="Calibri" w:hAnsi="Calibri"/>
                <w:color w:val="0F172A"/>
                <w:sz w:val="18"/>
              </w:rPr>
              <w:t>Track allocation (19 GBs)</w:t>
            </w:r>
          </w:p>
        </w:tc>
        <w:tc>
          <w:tcPr>
            <w:tcW w:type="dxa" w:w="720"/>
          </w:tcPr>
          <w:p>
            <w:r/>
            <w:r>
              <w:rPr>
                <w:rFonts w:ascii="Calibri" w:hAnsi="Calibri"/>
                <w:color w:val="0F172A"/>
                <w:sz w:val="18"/>
              </w:rPr>
              <w:t>I</w:t>
            </w:r>
          </w:p>
        </w:tc>
        <w:tc>
          <w:tcPr>
            <w:tcW w:type="dxa" w:w="720"/>
          </w:tcPr>
          <w:p>
            <w:r/>
            <w:r>
              <w:rPr>
                <w:rFonts w:ascii="Calibri" w:hAnsi="Calibri"/>
                <w:color w:val="0F172A"/>
                <w:sz w:val="18"/>
              </w:rPr>
              <w:t>A/R</w:t>
            </w:r>
          </w:p>
        </w:tc>
        <w:tc>
          <w:tcPr>
            <w:tcW w:type="dxa" w:w="864"/>
          </w:tcPr>
          <w:p>
            <w:r/>
            <w:r>
              <w:rPr>
                <w:rFonts w:ascii="Calibri" w:hAnsi="Calibri"/>
                <w:color w:val="0F172A"/>
                <w:sz w:val="18"/>
              </w:rPr>
              <w:t>C</w:t>
            </w:r>
          </w:p>
        </w:tc>
        <w:tc>
          <w:tcPr>
            <w:tcW w:type="dxa" w:w="576"/>
          </w:tcPr>
          <w:p>
            <w:r/>
            <w:r>
              <w:rPr>
                <w:rFonts w:ascii="Calibri" w:hAnsi="Calibri"/>
                <w:color w:val="0F172A"/>
                <w:sz w:val="18"/>
              </w:rPr>
              <w:t>I</w:t>
            </w:r>
          </w:p>
        </w:tc>
        <w:tc>
          <w:tcPr>
            <w:tcW w:type="dxa" w:w="576"/>
          </w:tcPr>
          <w:p>
            <w:r/>
            <w:r>
              <w:rPr>
                <w:rFonts w:ascii="Calibri" w:hAnsi="Calibri"/>
                <w:color w:val="0F172A"/>
                <w:sz w:val="18"/>
              </w:rPr>
              <w:t>I</w:t>
            </w:r>
          </w:p>
        </w:tc>
        <w:tc>
          <w:tcPr>
            <w:tcW w:type="dxa" w:w="864"/>
          </w:tcPr>
          <w:p>
            <w:r/>
            <w:r>
              <w:rPr>
                <w:rFonts w:ascii="Calibri" w:hAnsi="Calibri"/>
                <w:color w:val="0F172A"/>
                <w:sz w:val="18"/>
              </w:rPr>
              <w:t>I</w:t>
            </w:r>
          </w:p>
        </w:tc>
        <w:tc>
          <w:tcPr>
            <w:tcW w:type="dxa" w:w="864"/>
          </w:tcPr>
          <w:p>
            <w:r/>
            <w:r>
              <w:rPr>
                <w:rFonts w:ascii="Calibri" w:hAnsi="Calibri"/>
                <w:color w:val="0F172A"/>
                <w:sz w:val="18"/>
              </w:rPr>
              <w:t>I</w:t>
            </w:r>
          </w:p>
        </w:tc>
        <w:tc>
          <w:tcPr>
            <w:tcW w:type="dxa" w:w="720"/>
          </w:tcPr>
          <w:p>
            <w:r/>
            <w:r>
              <w:rPr>
                <w:rFonts w:ascii="Calibri" w:hAnsi="Calibri"/>
                <w:color w:val="0F172A"/>
                <w:sz w:val="18"/>
              </w:rPr>
              <w:t>I</w:t>
            </w:r>
          </w:p>
        </w:tc>
        <w:tc>
          <w:tcPr>
            <w:tcW w:type="dxa" w:w="720"/>
          </w:tcPr>
          <w:p>
            <w:r/>
            <w:r>
              <w:rPr>
                <w:rFonts w:ascii="Calibri" w:hAnsi="Calibri"/>
                <w:color w:val="0F172A"/>
                <w:sz w:val="18"/>
              </w:rPr>
              <w:t>I</w:t>
            </w:r>
          </w:p>
        </w:tc>
      </w:tr>
      <w:tr>
        <w:tc>
          <w:tcPr>
            <w:tcW w:type="dxa" w:w="2880"/>
          </w:tcPr>
          <w:p>
            <w:r/>
            <w:r>
              <w:rPr>
                <w:rFonts w:ascii="Calibri" w:hAnsi="Calibri"/>
                <w:color w:val="0F172A"/>
                <w:sz w:val="18"/>
              </w:rPr>
              <w:t>Data-access protocol</w:t>
            </w:r>
          </w:p>
        </w:tc>
        <w:tc>
          <w:tcPr>
            <w:tcW w:type="dxa" w:w="720"/>
          </w:tcPr>
          <w:p>
            <w:r/>
            <w:r>
              <w:rPr>
                <w:rFonts w:ascii="Calibri" w:hAnsi="Calibri"/>
                <w:color w:val="0F172A"/>
                <w:sz w:val="18"/>
              </w:rPr>
              <w:t>A</w:t>
            </w:r>
          </w:p>
        </w:tc>
        <w:tc>
          <w:tcPr>
            <w:tcW w:type="dxa" w:w="720"/>
          </w:tcPr>
          <w:p>
            <w:r/>
            <w:r>
              <w:rPr>
                <w:rFonts w:ascii="Calibri" w:hAnsi="Calibri"/>
                <w:color w:val="0F172A"/>
                <w:sz w:val="18"/>
              </w:rPr>
              <w:t>C</w:t>
            </w:r>
          </w:p>
        </w:tc>
        <w:tc>
          <w:tcPr>
            <w:tcW w:type="dxa" w:w="864"/>
          </w:tcPr>
          <w:p>
            <w:r/>
            <w:r>
              <w:rPr>
                <w:rFonts w:ascii="Calibri" w:hAnsi="Calibri"/>
                <w:color w:val="0F172A"/>
                <w:sz w:val="18"/>
              </w:rPr>
              <w:t>I</w:t>
            </w:r>
          </w:p>
        </w:tc>
        <w:tc>
          <w:tcPr>
            <w:tcW w:type="dxa" w:w="576"/>
          </w:tcPr>
          <w:p>
            <w:r/>
            <w:r>
              <w:rPr>
                <w:rFonts w:ascii="Calibri" w:hAnsi="Calibri"/>
                <w:color w:val="0F172A"/>
                <w:sz w:val="18"/>
              </w:rPr>
              <w:t>I</w:t>
            </w:r>
          </w:p>
        </w:tc>
        <w:tc>
          <w:tcPr>
            <w:tcW w:type="dxa" w:w="576"/>
          </w:tcPr>
          <w:p>
            <w:r/>
            <w:r>
              <w:rPr>
                <w:rFonts w:ascii="Calibri" w:hAnsi="Calibri"/>
                <w:color w:val="0F172A"/>
                <w:sz w:val="18"/>
              </w:rPr>
              <w:t>I</w:t>
            </w:r>
          </w:p>
        </w:tc>
        <w:tc>
          <w:tcPr>
            <w:tcW w:type="dxa" w:w="864"/>
          </w:tcPr>
          <w:p>
            <w:r/>
            <w:r>
              <w:rPr>
                <w:rFonts w:ascii="Calibri" w:hAnsi="Calibri"/>
                <w:color w:val="0F172A"/>
                <w:sz w:val="18"/>
              </w:rPr>
              <w:t>R</w:t>
            </w:r>
          </w:p>
        </w:tc>
        <w:tc>
          <w:tcPr>
            <w:tcW w:type="dxa" w:w="864"/>
          </w:tcPr>
          <w:p>
            <w:r/>
            <w:r>
              <w:rPr>
                <w:rFonts w:ascii="Calibri" w:hAnsi="Calibri"/>
                <w:color w:val="0F172A"/>
                <w:sz w:val="18"/>
              </w:rPr>
              <w:t>I</w:t>
            </w:r>
          </w:p>
        </w:tc>
        <w:tc>
          <w:tcPr>
            <w:tcW w:type="dxa" w:w="720"/>
          </w:tcPr>
          <w:p>
            <w:r/>
            <w:r>
              <w:rPr>
                <w:rFonts w:ascii="Calibri" w:hAnsi="Calibri"/>
                <w:color w:val="0F172A"/>
                <w:sz w:val="18"/>
              </w:rPr>
              <w:t>I</w:t>
            </w:r>
          </w:p>
        </w:tc>
        <w:tc>
          <w:tcPr>
            <w:tcW w:type="dxa" w:w="720"/>
          </w:tcPr>
          <w:p>
            <w:r/>
            <w:r>
              <w:rPr>
                <w:rFonts w:ascii="Calibri" w:hAnsi="Calibri"/>
                <w:color w:val="0F172A"/>
                <w:sz w:val="18"/>
              </w:rPr>
              <w:t>C</w:t>
            </w:r>
          </w:p>
        </w:tc>
      </w:tr>
      <w:tr>
        <w:tc>
          <w:tcPr>
            <w:tcW w:type="dxa" w:w="2880"/>
          </w:tcPr>
          <w:p>
            <w:r/>
            <w:r>
              <w:rPr>
                <w:rFonts w:ascii="Calibri" w:hAnsi="Calibri"/>
                <w:color w:val="0F172A"/>
                <w:sz w:val="18"/>
              </w:rPr>
              <w:t>Anonymised data query</w:t>
            </w:r>
          </w:p>
        </w:tc>
        <w:tc>
          <w:tcPr>
            <w:tcW w:type="dxa" w:w="720"/>
          </w:tcPr>
          <w:p>
            <w:r/>
            <w:r>
              <w:rPr>
                <w:rFonts w:ascii="Calibri" w:hAnsi="Calibri"/>
                <w:color w:val="0F172A"/>
                <w:sz w:val="18"/>
              </w:rPr>
              <w:t>I</w:t>
            </w:r>
          </w:p>
        </w:tc>
        <w:tc>
          <w:tcPr>
            <w:tcW w:type="dxa" w:w="720"/>
          </w:tcPr>
          <w:p>
            <w:r/>
            <w:r>
              <w:rPr>
                <w:rFonts w:ascii="Calibri" w:hAnsi="Calibri"/>
                <w:color w:val="0F172A"/>
                <w:sz w:val="18"/>
              </w:rPr>
              <w:t>C</w:t>
            </w:r>
          </w:p>
        </w:tc>
        <w:tc>
          <w:tcPr>
            <w:tcW w:type="dxa" w:w="864"/>
          </w:tcPr>
          <w:p>
            <w:r/>
            <w:r>
              <w:rPr>
                <w:rFonts w:ascii="Calibri" w:hAnsi="Calibri"/>
                <w:color w:val="0F172A"/>
                <w:sz w:val="18"/>
              </w:rPr>
              <w:t>R</w:t>
            </w:r>
          </w:p>
        </w:tc>
        <w:tc>
          <w:tcPr>
            <w:tcW w:type="dxa" w:w="576"/>
          </w:tcPr>
          <w:p>
            <w:r/>
            <w:r>
              <w:rPr>
                <w:rFonts w:ascii="Calibri" w:hAnsi="Calibri"/>
                <w:color w:val="0F172A"/>
                <w:sz w:val="18"/>
              </w:rPr>
              <w:t>R</w:t>
            </w:r>
          </w:p>
        </w:tc>
        <w:tc>
          <w:tcPr>
            <w:tcW w:type="dxa" w:w="576"/>
          </w:tcPr>
          <w:p>
            <w:r/>
            <w:r>
              <w:rPr>
                <w:rFonts w:ascii="Calibri" w:hAnsi="Calibri"/>
                <w:color w:val="0F172A"/>
                <w:sz w:val="18"/>
              </w:rPr>
              <w:t>I</w:t>
            </w:r>
          </w:p>
        </w:tc>
        <w:tc>
          <w:tcPr>
            <w:tcW w:type="dxa" w:w="864"/>
          </w:tcPr>
          <w:p>
            <w:r/>
            <w:r>
              <w:rPr>
                <w:rFonts w:ascii="Calibri" w:hAnsi="Calibri"/>
                <w:color w:val="0F172A"/>
                <w:sz w:val="18"/>
              </w:rPr>
              <w:t>C</w:t>
            </w:r>
          </w:p>
        </w:tc>
        <w:tc>
          <w:tcPr>
            <w:tcW w:type="dxa" w:w="864"/>
          </w:tcPr>
          <w:p>
            <w:r/>
            <w:r>
              <w:rPr>
                <w:rFonts w:ascii="Calibri" w:hAnsi="Calibri"/>
                <w:color w:val="0F172A"/>
                <w:sz w:val="18"/>
              </w:rPr>
              <w:t>I</w:t>
            </w:r>
          </w:p>
        </w:tc>
        <w:tc>
          <w:tcPr>
            <w:tcW w:type="dxa" w:w="720"/>
          </w:tcPr>
          <w:p>
            <w:r/>
            <w:r>
              <w:rPr>
                <w:rFonts w:ascii="Calibri" w:hAnsi="Calibri"/>
                <w:color w:val="0F172A"/>
                <w:sz w:val="18"/>
              </w:rPr>
              <w:t>I</w:t>
            </w:r>
          </w:p>
        </w:tc>
        <w:tc>
          <w:tcPr>
            <w:tcW w:type="dxa" w:w="720"/>
          </w:tcPr>
          <w:p>
            <w:r/>
            <w:r>
              <w:rPr>
                <w:rFonts w:ascii="Calibri" w:hAnsi="Calibri"/>
                <w:color w:val="0F172A"/>
                <w:sz w:val="18"/>
              </w:rPr>
              <w:t>I</w:t>
            </w:r>
          </w:p>
        </w:tc>
      </w:tr>
      <w:tr>
        <w:tc>
          <w:tcPr>
            <w:tcW w:type="dxa" w:w="2880"/>
          </w:tcPr>
          <w:p>
            <w:r/>
            <w:r>
              <w:rPr>
                <w:rFonts w:ascii="Calibri" w:hAnsi="Calibri"/>
                <w:color w:val="0F172A"/>
                <w:sz w:val="18"/>
              </w:rPr>
              <w:t>Cyber Poka-Yoke design</w:t>
            </w:r>
          </w:p>
        </w:tc>
        <w:tc>
          <w:tcPr>
            <w:tcW w:type="dxa" w:w="720"/>
          </w:tcPr>
          <w:p>
            <w:r/>
            <w:r>
              <w:rPr>
                <w:rFonts w:ascii="Calibri" w:hAnsi="Calibri"/>
                <w:color w:val="0F172A"/>
                <w:sz w:val="18"/>
              </w:rPr>
              <w:t>I</w:t>
            </w:r>
          </w:p>
        </w:tc>
        <w:tc>
          <w:tcPr>
            <w:tcW w:type="dxa" w:w="720"/>
          </w:tcPr>
          <w:p>
            <w:r/>
            <w:r>
              <w:rPr>
                <w:rFonts w:ascii="Calibri" w:hAnsi="Calibri"/>
                <w:color w:val="0F172A"/>
                <w:sz w:val="18"/>
              </w:rPr>
              <w:t>A</w:t>
            </w:r>
          </w:p>
        </w:tc>
        <w:tc>
          <w:tcPr>
            <w:tcW w:type="dxa" w:w="864"/>
          </w:tcPr>
          <w:p>
            <w:r/>
            <w:r>
              <w:rPr>
                <w:rFonts w:ascii="Calibri" w:hAnsi="Calibri"/>
                <w:color w:val="0F172A"/>
                <w:sz w:val="18"/>
              </w:rPr>
              <w:t>R</w:t>
            </w:r>
          </w:p>
        </w:tc>
        <w:tc>
          <w:tcPr>
            <w:tcW w:type="dxa" w:w="576"/>
          </w:tcPr>
          <w:p>
            <w:r/>
            <w:r>
              <w:rPr>
                <w:rFonts w:ascii="Calibri" w:hAnsi="Calibri"/>
                <w:color w:val="0F172A"/>
                <w:sz w:val="18"/>
              </w:rPr>
              <w:t>R</w:t>
            </w:r>
          </w:p>
        </w:tc>
        <w:tc>
          <w:tcPr>
            <w:tcW w:type="dxa" w:w="576"/>
          </w:tcPr>
          <w:p>
            <w:r/>
            <w:r>
              <w:rPr>
                <w:rFonts w:ascii="Calibri" w:hAnsi="Calibri"/>
                <w:color w:val="0F172A"/>
                <w:sz w:val="18"/>
              </w:rPr>
              <w:t>C</w:t>
            </w:r>
          </w:p>
        </w:tc>
        <w:tc>
          <w:tcPr>
            <w:tcW w:type="dxa" w:w="864"/>
          </w:tcPr>
          <w:p>
            <w:r/>
            <w:r>
              <w:rPr>
                <w:rFonts w:ascii="Calibri" w:hAnsi="Calibri"/>
                <w:color w:val="0F172A"/>
                <w:sz w:val="18"/>
              </w:rPr>
              <w:t>C</w:t>
            </w:r>
          </w:p>
        </w:tc>
        <w:tc>
          <w:tcPr>
            <w:tcW w:type="dxa" w:w="864"/>
          </w:tcPr>
          <w:p>
            <w:r/>
            <w:r>
              <w:rPr>
                <w:rFonts w:ascii="Calibri" w:hAnsi="Calibri"/>
                <w:color w:val="0F172A"/>
                <w:sz w:val="18"/>
              </w:rPr>
              <w:t>C</w:t>
            </w:r>
          </w:p>
        </w:tc>
        <w:tc>
          <w:tcPr>
            <w:tcW w:type="dxa" w:w="720"/>
          </w:tcPr>
          <w:p>
            <w:r/>
            <w:r>
              <w:rPr>
                <w:rFonts w:ascii="Calibri" w:hAnsi="Calibri"/>
                <w:color w:val="0F172A"/>
                <w:sz w:val="18"/>
              </w:rPr>
              <w:t>C</w:t>
            </w:r>
          </w:p>
        </w:tc>
        <w:tc>
          <w:tcPr>
            <w:tcW w:type="dxa" w:w="720"/>
          </w:tcPr>
          <w:p>
            <w:r/>
            <w:r>
              <w:rPr>
                <w:rFonts w:ascii="Calibri" w:hAnsi="Calibri"/>
                <w:color w:val="0F172A"/>
                <w:sz w:val="18"/>
              </w:rPr>
              <w:t>I</w:t>
            </w:r>
          </w:p>
        </w:tc>
      </w:tr>
      <w:tr>
        <w:tc>
          <w:tcPr>
            <w:tcW w:type="dxa" w:w="2880"/>
          </w:tcPr>
          <w:p>
            <w:r/>
            <w:r>
              <w:rPr>
                <w:rFonts w:ascii="Calibri" w:hAnsi="Calibri"/>
                <w:color w:val="0F172A"/>
                <w:sz w:val="18"/>
              </w:rPr>
              <w:t>IR playbook</w:t>
            </w:r>
          </w:p>
        </w:tc>
        <w:tc>
          <w:tcPr>
            <w:tcW w:type="dxa" w:w="720"/>
          </w:tcPr>
          <w:p>
            <w:r/>
            <w:r>
              <w:rPr>
                <w:rFonts w:ascii="Calibri" w:hAnsi="Calibri"/>
                <w:color w:val="0F172A"/>
                <w:sz w:val="18"/>
              </w:rPr>
              <w:t>I</w:t>
            </w:r>
          </w:p>
        </w:tc>
        <w:tc>
          <w:tcPr>
            <w:tcW w:type="dxa" w:w="720"/>
          </w:tcPr>
          <w:p>
            <w:r/>
            <w:r>
              <w:rPr>
                <w:rFonts w:ascii="Calibri" w:hAnsi="Calibri"/>
                <w:color w:val="0F172A"/>
                <w:sz w:val="18"/>
              </w:rPr>
              <w:t>A</w:t>
            </w:r>
          </w:p>
        </w:tc>
        <w:tc>
          <w:tcPr>
            <w:tcW w:type="dxa" w:w="864"/>
          </w:tcPr>
          <w:p>
            <w:r/>
            <w:r>
              <w:rPr>
                <w:rFonts w:ascii="Calibri" w:hAnsi="Calibri"/>
                <w:color w:val="0F172A"/>
                <w:sz w:val="18"/>
              </w:rPr>
              <w:t>R</w:t>
            </w:r>
          </w:p>
        </w:tc>
        <w:tc>
          <w:tcPr>
            <w:tcW w:type="dxa" w:w="576"/>
          </w:tcPr>
          <w:p>
            <w:r/>
            <w:r>
              <w:rPr>
                <w:rFonts w:ascii="Calibri" w:hAnsi="Calibri"/>
                <w:color w:val="0F172A"/>
                <w:sz w:val="18"/>
              </w:rPr>
              <w:t>R</w:t>
            </w:r>
          </w:p>
        </w:tc>
        <w:tc>
          <w:tcPr>
            <w:tcW w:type="dxa" w:w="576"/>
          </w:tcPr>
          <w:p>
            <w:r/>
            <w:r>
              <w:rPr>
                <w:rFonts w:ascii="Calibri" w:hAnsi="Calibri"/>
                <w:color w:val="0F172A"/>
                <w:sz w:val="18"/>
              </w:rPr>
              <w:t>C</w:t>
            </w:r>
          </w:p>
        </w:tc>
        <w:tc>
          <w:tcPr>
            <w:tcW w:type="dxa" w:w="864"/>
          </w:tcPr>
          <w:p>
            <w:r/>
            <w:r>
              <w:rPr>
                <w:rFonts w:ascii="Calibri" w:hAnsi="Calibri"/>
                <w:color w:val="0F172A"/>
                <w:sz w:val="18"/>
              </w:rPr>
              <w:t>C</w:t>
            </w:r>
          </w:p>
        </w:tc>
        <w:tc>
          <w:tcPr>
            <w:tcW w:type="dxa" w:w="864"/>
          </w:tcPr>
          <w:p>
            <w:r/>
            <w:r>
              <w:rPr>
                <w:rFonts w:ascii="Calibri" w:hAnsi="Calibri"/>
                <w:color w:val="0F172A"/>
                <w:sz w:val="18"/>
              </w:rPr>
              <w:t>I</w:t>
            </w:r>
          </w:p>
        </w:tc>
        <w:tc>
          <w:tcPr>
            <w:tcW w:type="dxa" w:w="720"/>
          </w:tcPr>
          <w:p>
            <w:r/>
            <w:r>
              <w:rPr>
                <w:rFonts w:ascii="Calibri" w:hAnsi="Calibri"/>
                <w:color w:val="0F172A"/>
                <w:sz w:val="18"/>
              </w:rPr>
              <w:t>I</w:t>
            </w:r>
          </w:p>
        </w:tc>
        <w:tc>
          <w:tcPr>
            <w:tcW w:type="dxa" w:w="720"/>
          </w:tcPr>
          <w:p>
            <w:r/>
            <w:r>
              <w:rPr>
                <w:rFonts w:ascii="Calibri" w:hAnsi="Calibri"/>
                <w:color w:val="0F172A"/>
                <w:sz w:val="18"/>
              </w:rPr>
              <w:t>I</w:t>
            </w:r>
          </w:p>
        </w:tc>
      </w:tr>
      <w:tr>
        <w:tc>
          <w:tcPr>
            <w:tcW w:type="dxa" w:w="2880"/>
          </w:tcPr>
          <w:p>
            <w:r/>
            <w:r>
              <w:rPr>
                <w:rFonts w:ascii="Calibri" w:hAnsi="Calibri"/>
                <w:color w:val="0F172A"/>
                <w:sz w:val="18"/>
              </w:rPr>
              <w:t>Network segmentation (Track A)</w:t>
            </w:r>
          </w:p>
        </w:tc>
        <w:tc>
          <w:tcPr>
            <w:tcW w:type="dxa" w:w="720"/>
          </w:tcPr>
          <w:p>
            <w:r/>
            <w:r>
              <w:rPr>
                <w:rFonts w:ascii="Calibri" w:hAnsi="Calibri"/>
                <w:color w:val="0F172A"/>
                <w:sz w:val="18"/>
              </w:rPr>
              <w:t>C</w:t>
            </w:r>
          </w:p>
        </w:tc>
        <w:tc>
          <w:tcPr>
            <w:tcW w:type="dxa" w:w="720"/>
          </w:tcPr>
          <w:p>
            <w:r/>
            <w:r>
              <w:rPr>
                <w:rFonts w:ascii="Calibri" w:hAnsi="Calibri"/>
                <w:color w:val="0F172A"/>
                <w:sz w:val="18"/>
              </w:rPr>
              <w:t>A</w:t>
            </w:r>
          </w:p>
        </w:tc>
        <w:tc>
          <w:tcPr>
            <w:tcW w:type="dxa" w:w="864"/>
          </w:tcPr>
          <w:p>
            <w:r/>
            <w:r>
              <w:rPr>
                <w:rFonts w:ascii="Calibri" w:hAnsi="Calibri"/>
                <w:color w:val="0F172A"/>
                <w:sz w:val="18"/>
              </w:rPr>
              <w:t>R</w:t>
            </w:r>
          </w:p>
        </w:tc>
        <w:tc>
          <w:tcPr>
            <w:tcW w:type="dxa" w:w="576"/>
          </w:tcPr>
          <w:p>
            <w:r/>
            <w:r>
              <w:rPr>
                <w:rFonts w:ascii="Calibri" w:hAnsi="Calibri"/>
                <w:color w:val="0F172A"/>
                <w:sz w:val="18"/>
              </w:rPr>
              <w:t>R</w:t>
            </w:r>
          </w:p>
        </w:tc>
        <w:tc>
          <w:tcPr>
            <w:tcW w:type="dxa" w:w="576"/>
          </w:tcPr>
          <w:p>
            <w:r/>
            <w:r>
              <w:rPr>
                <w:rFonts w:ascii="Calibri" w:hAnsi="Calibri"/>
                <w:color w:val="0F172A"/>
                <w:sz w:val="18"/>
              </w:rPr>
              <w:t>C</w:t>
            </w:r>
          </w:p>
        </w:tc>
        <w:tc>
          <w:tcPr>
            <w:tcW w:type="dxa" w:w="864"/>
          </w:tcPr>
          <w:p>
            <w:r/>
            <w:r>
              <w:rPr>
                <w:rFonts w:ascii="Calibri" w:hAnsi="Calibri"/>
                <w:color w:val="0F172A"/>
                <w:sz w:val="18"/>
              </w:rPr>
              <w:t>C</w:t>
            </w:r>
          </w:p>
        </w:tc>
        <w:tc>
          <w:tcPr>
            <w:tcW w:type="dxa" w:w="864"/>
          </w:tcPr>
          <w:p>
            <w:r/>
            <w:r>
              <w:rPr>
                <w:rFonts w:ascii="Calibri" w:hAnsi="Calibri"/>
                <w:color w:val="0F172A"/>
                <w:sz w:val="18"/>
              </w:rPr>
              <w:t>R</w:t>
            </w:r>
          </w:p>
        </w:tc>
        <w:tc>
          <w:tcPr>
            <w:tcW w:type="dxa" w:w="720"/>
          </w:tcPr>
          <w:p>
            <w:r/>
            <w:r>
              <w:rPr>
                <w:rFonts w:ascii="Calibri" w:hAnsi="Calibri"/>
                <w:color w:val="0F172A"/>
                <w:sz w:val="18"/>
              </w:rPr>
              <w:t>C</w:t>
            </w:r>
          </w:p>
        </w:tc>
        <w:tc>
          <w:tcPr>
            <w:tcW w:type="dxa" w:w="720"/>
          </w:tcPr>
          <w:p>
            <w:r/>
            <w:r>
              <w:rPr>
                <w:rFonts w:ascii="Calibri" w:hAnsi="Calibri"/>
                <w:color w:val="0F172A"/>
                <w:sz w:val="18"/>
              </w:rPr>
              <w:t>I</w:t>
            </w:r>
          </w:p>
        </w:tc>
      </w:tr>
      <w:tr>
        <w:tc>
          <w:tcPr>
            <w:tcW w:type="dxa" w:w="2880"/>
          </w:tcPr>
          <w:p>
            <w:r/>
            <w:r>
              <w:rPr>
                <w:rFonts w:ascii="Calibri" w:hAnsi="Calibri"/>
                <w:color w:val="0F172A"/>
                <w:sz w:val="18"/>
              </w:rPr>
              <w:t>SPC chart deployment (Track B)</w:t>
            </w:r>
          </w:p>
        </w:tc>
        <w:tc>
          <w:tcPr>
            <w:tcW w:type="dxa" w:w="720"/>
          </w:tcPr>
          <w:p>
            <w:r/>
            <w:r>
              <w:rPr>
                <w:rFonts w:ascii="Calibri" w:hAnsi="Calibri"/>
                <w:color w:val="0F172A"/>
                <w:sz w:val="18"/>
              </w:rPr>
              <w:t>I</w:t>
            </w:r>
          </w:p>
        </w:tc>
        <w:tc>
          <w:tcPr>
            <w:tcW w:type="dxa" w:w="720"/>
          </w:tcPr>
          <w:p>
            <w:r/>
            <w:r>
              <w:rPr>
                <w:rFonts w:ascii="Calibri" w:hAnsi="Calibri"/>
                <w:color w:val="0F172A"/>
                <w:sz w:val="18"/>
              </w:rPr>
              <w:t>A</w:t>
            </w:r>
          </w:p>
        </w:tc>
        <w:tc>
          <w:tcPr>
            <w:tcW w:type="dxa" w:w="864"/>
          </w:tcPr>
          <w:p>
            <w:r/>
            <w:r>
              <w:rPr>
                <w:rFonts w:ascii="Calibri" w:hAnsi="Calibri"/>
                <w:color w:val="0F172A"/>
                <w:sz w:val="18"/>
              </w:rPr>
              <w:t>R</w:t>
            </w:r>
          </w:p>
        </w:tc>
        <w:tc>
          <w:tcPr>
            <w:tcW w:type="dxa" w:w="576"/>
          </w:tcPr>
          <w:p>
            <w:r/>
            <w:r>
              <w:rPr>
                <w:rFonts w:ascii="Calibri" w:hAnsi="Calibri"/>
                <w:color w:val="0F172A"/>
                <w:sz w:val="18"/>
              </w:rPr>
              <w:t>R</w:t>
            </w:r>
          </w:p>
        </w:tc>
        <w:tc>
          <w:tcPr>
            <w:tcW w:type="dxa" w:w="576"/>
          </w:tcPr>
          <w:p>
            <w:r/>
            <w:r>
              <w:rPr>
                <w:rFonts w:ascii="Calibri" w:hAnsi="Calibri"/>
                <w:color w:val="0F172A"/>
                <w:sz w:val="18"/>
              </w:rPr>
              <w:t>I</w:t>
            </w:r>
          </w:p>
        </w:tc>
        <w:tc>
          <w:tcPr>
            <w:tcW w:type="dxa" w:w="864"/>
          </w:tcPr>
          <w:p>
            <w:r/>
            <w:r>
              <w:rPr>
                <w:rFonts w:ascii="Calibri" w:hAnsi="Calibri"/>
                <w:color w:val="0F172A"/>
                <w:sz w:val="18"/>
              </w:rPr>
              <w:t>C</w:t>
            </w:r>
          </w:p>
        </w:tc>
        <w:tc>
          <w:tcPr>
            <w:tcW w:type="dxa" w:w="864"/>
          </w:tcPr>
          <w:p>
            <w:r/>
            <w:r>
              <w:rPr>
                <w:rFonts w:ascii="Calibri" w:hAnsi="Calibri"/>
                <w:color w:val="0F172A"/>
                <w:sz w:val="18"/>
              </w:rPr>
              <w:t>I</w:t>
            </w:r>
          </w:p>
        </w:tc>
        <w:tc>
          <w:tcPr>
            <w:tcW w:type="dxa" w:w="720"/>
          </w:tcPr>
          <w:p>
            <w:r/>
            <w:r>
              <w:rPr>
                <w:rFonts w:ascii="Calibri" w:hAnsi="Calibri"/>
                <w:color w:val="0F172A"/>
                <w:sz w:val="18"/>
              </w:rPr>
              <w:t>I</w:t>
            </w:r>
          </w:p>
        </w:tc>
        <w:tc>
          <w:tcPr>
            <w:tcW w:type="dxa" w:w="720"/>
          </w:tcPr>
          <w:p>
            <w:r/>
            <w:r>
              <w:rPr>
                <w:rFonts w:ascii="Calibri" w:hAnsi="Calibri"/>
                <w:color w:val="0F172A"/>
                <w:sz w:val="18"/>
              </w:rPr>
              <w:t>I</w:t>
            </w:r>
          </w:p>
        </w:tc>
      </w:tr>
      <w:tr>
        <w:tc>
          <w:tcPr>
            <w:tcW w:type="dxa" w:w="2880"/>
          </w:tcPr>
          <w:p>
            <w:r/>
            <w:r>
              <w:rPr>
                <w:rFonts w:ascii="Calibri" w:hAnsi="Calibri"/>
                <w:color w:val="0F172A"/>
                <w:sz w:val="18"/>
              </w:rPr>
              <w:t>AI agent specification (Track C)</w:t>
            </w:r>
          </w:p>
        </w:tc>
        <w:tc>
          <w:tcPr>
            <w:tcW w:type="dxa" w:w="720"/>
          </w:tcPr>
          <w:p>
            <w:r/>
            <w:r>
              <w:rPr>
                <w:rFonts w:ascii="Calibri" w:hAnsi="Calibri"/>
                <w:color w:val="0F172A"/>
                <w:sz w:val="18"/>
              </w:rPr>
              <w:t>C</w:t>
            </w:r>
          </w:p>
        </w:tc>
        <w:tc>
          <w:tcPr>
            <w:tcW w:type="dxa" w:w="720"/>
          </w:tcPr>
          <w:p>
            <w:r/>
            <w:r>
              <w:rPr>
                <w:rFonts w:ascii="Calibri" w:hAnsi="Calibri"/>
                <w:color w:val="0F172A"/>
                <w:sz w:val="18"/>
              </w:rPr>
              <w:t>A</w:t>
            </w:r>
          </w:p>
        </w:tc>
        <w:tc>
          <w:tcPr>
            <w:tcW w:type="dxa" w:w="864"/>
          </w:tcPr>
          <w:p>
            <w:r/>
            <w:r>
              <w:rPr>
                <w:rFonts w:ascii="Calibri" w:hAnsi="Calibri"/>
                <w:color w:val="0F172A"/>
                <w:sz w:val="18"/>
              </w:rPr>
              <w:t>R</w:t>
            </w:r>
          </w:p>
        </w:tc>
        <w:tc>
          <w:tcPr>
            <w:tcW w:type="dxa" w:w="576"/>
          </w:tcPr>
          <w:p>
            <w:r/>
            <w:r>
              <w:rPr>
                <w:rFonts w:ascii="Calibri" w:hAnsi="Calibri"/>
                <w:color w:val="0F172A"/>
                <w:sz w:val="18"/>
              </w:rPr>
              <w:t>R</w:t>
            </w:r>
          </w:p>
        </w:tc>
        <w:tc>
          <w:tcPr>
            <w:tcW w:type="dxa" w:w="576"/>
          </w:tcPr>
          <w:p>
            <w:r/>
            <w:r>
              <w:rPr>
                <w:rFonts w:ascii="Calibri" w:hAnsi="Calibri"/>
                <w:color w:val="0F172A"/>
                <w:sz w:val="18"/>
              </w:rPr>
              <w:t>I</w:t>
            </w:r>
          </w:p>
        </w:tc>
        <w:tc>
          <w:tcPr>
            <w:tcW w:type="dxa" w:w="864"/>
          </w:tcPr>
          <w:p>
            <w:r/>
            <w:r>
              <w:rPr>
                <w:rFonts w:ascii="Calibri" w:hAnsi="Calibri"/>
                <w:color w:val="0F172A"/>
                <w:sz w:val="18"/>
              </w:rPr>
              <w:t>C</w:t>
            </w:r>
          </w:p>
        </w:tc>
        <w:tc>
          <w:tcPr>
            <w:tcW w:type="dxa" w:w="864"/>
          </w:tcPr>
          <w:p>
            <w:r/>
            <w:r>
              <w:rPr>
                <w:rFonts w:ascii="Calibri" w:hAnsi="Calibri"/>
                <w:color w:val="0F172A"/>
                <w:sz w:val="18"/>
              </w:rPr>
              <w:t>I</w:t>
            </w:r>
          </w:p>
        </w:tc>
        <w:tc>
          <w:tcPr>
            <w:tcW w:type="dxa" w:w="720"/>
          </w:tcPr>
          <w:p>
            <w:r/>
            <w:r>
              <w:rPr>
                <w:rFonts w:ascii="Calibri" w:hAnsi="Calibri"/>
                <w:color w:val="0F172A"/>
                <w:sz w:val="18"/>
              </w:rPr>
              <w:t>I</w:t>
            </w:r>
          </w:p>
        </w:tc>
        <w:tc>
          <w:tcPr>
            <w:tcW w:type="dxa" w:w="720"/>
          </w:tcPr>
          <w:p>
            <w:r/>
            <w:r>
              <w:rPr>
                <w:rFonts w:ascii="Calibri" w:hAnsi="Calibri"/>
                <w:color w:val="0F172A"/>
                <w:sz w:val="18"/>
              </w:rPr>
              <w:t>I</w:t>
            </w:r>
          </w:p>
        </w:tc>
      </w:tr>
      <w:tr>
        <w:tc>
          <w:tcPr>
            <w:tcW w:type="dxa" w:w="2880"/>
          </w:tcPr>
          <w:p>
            <w:r/>
            <w:r>
              <w:rPr>
                <w:rFonts w:ascii="Calibri" w:hAnsi="Calibri"/>
                <w:color w:val="0F172A"/>
                <w:sz w:val="18"/>
              </w:rPr>
              <w:t>Tooling / vendor selection</w:t>
            </w:r>
          </w:p>
        </w:tc>
        <w:tc>
          <w:tcPr>
            <w:tcW w:type="dxa" w:w="720"/>
          </w:tcPr>
          <w:p>
            <w:r/>
            <w:r>
              <w:rPr>
                <w:rFonts w:ascii="Calibri" w:hAnsi="Calibri"/>
                <w:color w:val="0F172A"/>
                <w:sz w:val="18"/>
              </w:rPr>
              <w:t>C</w:t>
            </w:r>
          </w:p>
        </w:tc>
        <w:tc>
          <w:tcPr>
            <w:tcW w:type="dxa" w:w="720"/>
          </w:tcPr>
          <w:p>
            <w:r/>
            <w:r>
              <w:rPr>
                <w:rFonts w:ascii="Calibri" w:hAnsi="Calibri"/>
                <w:color w:val="0F172A"/>
                <w:sz w:val="18"/>
              </w:rPr>
              <w:t>A</w:t>
            </w:r>
          </w:p>
        </w:tc>
        <w:tc>
          <w:tcPr>
            <w:tcW w:type="dxa" w:w="864"/>
          </w:tcPr>
          <w:p>
            <w:r/>
            <w:r>
              <w:rPr>
                <w:rFonts w:ascii="Calibri" w:hAnsi="Calibri"/>
                <w:color w:val="0F172A"/>
                <w:sz w:val="18"/>
              </w:rPr>
              <w:t>R</w:t>
            </w:r>
          </w:p>
        </w:tc>
        <w:tc>
          <w:tcPr>
            <w:tcW w:type="dxa" w:w="576"/>
          </w:tcPr>
          <w:p>
            <w:r/>
            <w:r>
              <w:rPr>
                <w:rFonts w:ascii="Calibri" w:hAnsi="Calibri"/>
                <w:color w:val="0F172A"/>
                <w:sz w:val="18"/>
              </w:rPr>
              <w:t>R</w:t>
            </w:r>
          </w:p>
        </w:tc>
        <w:tc>
          <w:tcPr>
            <w:tcW w:type="dxa" w:w="576"/>
          </w:tcPr>
          <w:p>
            <w:r/>
            <w:r>
              <w:rPr>
                <w:rFonts w:ascii="Calibri" w:hAnsi="Calibri"/>
                <w:color w:val="0F172A"/>
                <w:sz w:val="18"/>
              </w:rPr>
              <w:t>I</w:t>
            </w:r>
          </w:p>
        </w:tc>
        <w:tc>
          <w:tcPr>
            <w:tcW w:type="dxa" w:w="864"/>
          </w:tcPr>
          <w:p>
            <w:r/>
            <w:r>
              <w:rPr>
                <w:rFonts w:ascii="Calibri" w:hAnsi="Calibri"/>
                <w:color w:val="0F172A"/>
                <w:sz w:val="18"/>
              </w:rPr>
              <w:t>C</w:t>
            </w:r>
          </w:p>
        </w:tc>
        <w:tc>
          <w:tcPr>
            <w:tcW w:type="dxa" w:w="864"/>
          </w:tcPr>
          <w:p>
            <w:r/>
            <w:r>
              <w:rPr>
                <w:rFonts w:ascii="Calibri" w:hAnsi="Calibri"/>
                <w:color w:val="0F172A"/>
                <w:sz w:val="18"/>
              </w:rPr>
              <w:t>I</w:t>
            </w:r>
          </w:p>
        </w:tc>
        <w:tc>
          <w:tcPr>
            <w:tcW w:type="dxa" w:w="720"/>
          </w:tcPr>
          <w:p>
            <w:r/>
            <w:r>
              <w:rPr>
                <w:rFonts w:ascii="Calibri" w:hAnsi="Calibri"/>
                <w:color w:val="0F172A"/>
                <w:sz w:val="18"/>
              </w:rPr>
              <w:t>I</w:t>
            </w:r>
          </w:p>
        </w:tc>
        <w:tc>
          <w:tcPr>
            <w:tcW w:type="dxa" w:w="720"/>
          </w:tcPr>
          <w:p>
            <w:r/>
            <w:r>
              <w:rPr>
                <w:rFonts w:ascii="Calibri" w:hAnsi="Calibri"/>
                <w:color w:val="0F172A"/>
                <w:sz w:val="18"/>
              </w:rPr>
              <w:t>I</w:t>
            </w:r>
          </w:p>
        </w:tc>
      </w:tr>
      <w:tr>
        <w:tc>
          <w:tcPr>
            <w:tcW w:type="dxa" w:w="2880"/>
          </w:tcPr>
          <w:p>
            <w:r/>
            <w:r>
              <w:rPr>
                <w:rFonts w:ascii="Calibri" w:hAnsi="Calibri"/>
                <w:color w:val="0F172A"/>
                <w:sz w:val="18"/>
              </w:rPr>
              <w:t>Budget over $50K (per item)</w:t>
            </w:r>
          </w:p>
        </w:tc>
        <w:tc>
          <w:tcPr>
            <w:tcW w:type="dxa" w:w="720"/>
          </w:tcPr>
          <w:p>
            <w:r/>
            <w:r>
              <w:rPr>
                <w:rFonts w:ascii="Calibri" w:hAnsi="Calibri"/>
                <w:color w:val="0F172A"/>
                <w:sz w:val="18"/>
              </w:rPr>
              <w:t>A</w:t>
            </w:r>
          </w:p>
        </w:tc>
        <w:tc>
          <w:tcPr>
            <w:tcW w:type="dxa" w:w="720"/>
          </w:tcPr>
          <w:p>
            <w:r/>
            <w:r>
              <w:rPr>
                <w:rFonts w:ascii="Calibri" w:hAnsi="Calibri"/>
                <w:color w:val="0F172A"/>
                <w:sz w:val="18"/>
              </w:rPr>
              <w:t>R</w:t>
            </w:r>
          </w:p>
        </w:tc>
        <w:tc>
          <w:tcPr>
            <w:tcW w:type="dxa" w:w="864"/>
          </w:tcPr>
          <w:p>
            <w:r/>
            <w:r>
              <w:rPr>
                <w:rFonts w:ascii="Calibri" w:hAnsi="Calibri"/>
                <w:color w:val="0F172A"/>
                <w:sz w:val="18"/>
              </w:rPr>
              <w:t>I</w:t>
            </w:r>
          </w:p>
        </w:tc>
        <w:tc>
          <w:tcPr>
            <w:tcW w:type="dxa" w:w="576"/>
          </w:tcPr>
          <w:p>
            <w:r/>
            <w:r>
              <w:rPr>
                <w:rFonts w:ascii="Calibri" w:hAnsi="Calibri"/>
                <w:color w:val="0F172A"/>
                <w:sz w:val="18"/>
              </w:rPr>
              <w:t>I</w:t>
            </w:r>
          </w:p>
        </w:tc>
        <w:tc>
          <w:tcPr>
            <w:tcW w:type="dxa" w:w="576"/>
          </w:tcPr>
          <w:p>
            <w:r/>
            <w:r>
              <w:rPr>
                <w:rFonts w:ascii="Calibri" w:hAnsi="Calibri"/>
                <w:color w:val="0F172A"/>
                <w:sz w:val="18"/>
              </w:rPr>
              <w:t>C</w:t>
            </w:r>
          </w:p>
        </w:tc>
        <w:tc>
          <w:tcPr>
            <w:tcW w:type="dxa" w:w="864"/>
          </w:tcPr>
          <w:p>
            <w:r/>
            <w:r>
              <w:rPr>
                <w:rFonts w:ascii="Calibri" w:hAnsi="Calibri"/>
                <w:color w:val="0F172A"/>
                <w:sz w:val="18"/>
              </w:rPr>
              <w:t>I</w:t>
            </w:r>
          </w:p>
        </w:tc>
        <w:tc>
          <w:tcPr>
            <w:tcW w:type="dxa" w:w="864"/>
          </w:tcPr>
          <w:p>
            <w:r/>
            <w:r>
              <w:rPr>
                <w:rFonts w:ascii="Calibri" w:hAnsi="Calibri"/>
                <w:color w:val="0F172A"/>
                <w:sz w:val="18"/>
              </w:rPr>
              <w:t>I</w:t>
            </w:r>
          </w:p>
        </w:tc>
        <w:tc>
          <w:tcPr>
            <w:tcW w:type="dxa" w:w="720"/>
          </w:tcPr>
          <w:p>
            <w:r/>
            <w:r>
              <w:rPr>
                <w:rFonts w:ascii="Calibri" w:hAnsi="Calibri"/>
                <w:color w:val="0F172A"/>
                <w:sz w:val="18"/>
              </w:rPr>
              <w:t>I</w:t>
            </w:r>
          </w:p>
        </w:tc>
        <w:tc>
          <w:tcPr>
            <w:tcW w:type="dxa" w:w="720"/>
          </w:tcPr>
          <w:p>
            <w:r/>
            <w:r>
              <w:rPr>
                <w:rFonts w:ascii="Calibri" w:hAnsi="Calibri"/>
                <w:color w:val="0F172A"/>
                <w:sz w:val="18"/>
              </w:rPr>
              <w:t>C</w:t>
            </w:r>
          </w:p>
        </w:tc>
      </w:tr>
      <w:tr>
        <w:tc>
          <w:tcPr>
            <w:tcW w:type="dxa" w:w="2880"/>
          </w:tcPr>
          <w:p>
            <w:r/>
            <w:r>
              <w:rPr>
                <w:rFonts w:ascii="Calibri" w:hAnsi="Calibri"/>
                <w:color w:val="0F172A"/>
                <w:sz w:val="18"/>
              </w:rPr>
              <w:t>Line-impacting change window</w:t>
            </w:r>
          </w:p>
        </w:tc>
        <w:tc>
          <w:tcPr>
            <w:tcW w:type="dxa" w:w="720"/>
          </w:tcPr>
          <w:p>
            <w:r/>
            <w:r>
              <w:rPr>
                <w:rFonts w:ascii="Calibri" w:hAnsi="Calibri"/>
                <w:color w:val="0F172A"/>
                <w:sz w:val="18"/>
              </w:rPr>
              <w:t>C</w:t>
            </w:r>
          </w:p>
        </w:tc>
        <w:tc>
          <w:tcPr>
            <w:tcW w:type="dxa" w:w="720"/>
          </w:tcPr>
          <w:p>
            <w:r/>
            <w:r>
              <w:rPr>
                <w:rFonts w:ascii="Calibri" w:hAnsi="Calibri"/>
                <w:color w:val="0F172A"/>
                <w:sz w:val="18"/>
              </w:rPr>
              <w:t>A</w:t>
            </w:r>
          </w:p>
        </w:tc>
        <w:tc>
          <w:tcPr>
            <w:tcW w:type="dxa" w:w="864"/>
          </w:tcPr>
          <w:p>
            <w:r/>
            <w:r>
              <w:rPr>
                <w:rFonts w:ascii="Calibri" w:hAnsi="Calibri"/>
                <w:color w:val="0F172A"/>
                <w:sz w:val="18"/>
              </w:rPr>
              <w:t>C</w:t>
            </w:r>
          </w:p>
        </w:tc>
        <w:tc>
          <w:tcPr>
            <w:tcW w:type="dxa" w:w="576"/>
          </w:tcPr>
          <w:p>
            <w:r/>
            <w:r>
              <w:rPr>
                <w:rFonts w:ascii="Calibri" w:hAnsi="Calibri"/>
                <w:color w:val="0F172A"/>
                <w:sz w:val="18"/>
              </w:rPr>
              <w:t>I</w:t>
            </w:r>
          </w:p>
        </w:tc>
        <w:tc>
          <w:tcPr>
            <w:tcW w:type="dxa" w:w="576"/>
          </w:tcPr>
          <w:p>
            <w:r/>
            <w:r>
              <w:rPr>
                <w:rFonts w:ascii="Calibri" w:hAnsi="Calibri"/>
                <w:color w:val="0F172A"/>
                <w:sz w:val="18"/>
              </w:rPr>
              <w:t>R</w:t>
            </w:r>
          </w:p>
        </w:tc>
        <w:tc>
          <w:tcPr>
            <w:tcW w:type="dxa" w:w="864"/>
          </w:tcPr>
          <w:p>
            <w:r/>
            <w:r>
              <w:rPr>
                <w:rFonts w:ascii="Calibri" w:hAnsi="Calibri"/>
                <w:color w:val="0F172A"/>
                <w:sz w:val="18"/>
              </w:rPr>
              <w:t>I</w:t>
            </w:r>
          </w:p>
        </w:tc>
        <w:tc>
          <w:tcPr>
            <w:tcW w:type="dxa" w:w="864"/>
          </w:tcPr>
          <w:p>
            <w:r/>
            <w:r>
              <w:rPr>
                <w:rFonts w:ascii="Calibri" w:hAnsi="Calibri"/>
                <w:color w:val="0F172A"/>
                <w:sz w:val="18"/>
              </w:rPr>
              <w:t>C</w:t>
            </w:r>
          </w:p>
        </w:tc>
        <w:tc>
          <w:tcPr>
            <w:tcW w:type="dxa" w:w="720"/>
          </w:tcPr>
          <w:p>
            <w:r/>
            <w:r>
              <w:rPr>
                <w:rFonts w:ascii="Calibri" w:hAnsi="Calibri"/>
                <w:color w:val="0F172A"/>
                <w:sz w:val="18"/>
              </w:rPr>
              <w:t>C</w:t>
            </w:r>
          </w:p>
        </w:tc>
        <w:tc>
          <w:tcPr>
            <w:tcW w:type="dxa" w:w="720"/>
          </w:tcPr>
          <w:p>
            <w:r/>
            <w:r>
              <w:rPr>
                <w:rFonts w:ascii="Calibri" w:hAnsi="Calibri"/>
                <w:color w:val="0F172A"/>
                <w:sz w:val="18"/>
              </w:rPr>
              <w:t>I</w:t>
            </w:r>
          </w:p>
        </w:tc>
      </w:tr>
      <w:tr>
        <w:tc>
          <w:tcPr>
            <w:tcW w:type="dxa" w:w="2880"/>
          </w:tcPr>
          <w:p>
            <w:r/>
            <w:r>
              <w:rPr>
                <w:rFonts w:ascii="Calibri" w:hAnsi="Calibri"/>
                <w:color w:val="0F172A"/>
                <w:sz w:val="18"/>
              </w:rPr>
              <w:t>Incident response (real-time)</w:t>
            </w:r>
          </w:p>
        </w:tc>
        <w:tc>
          <w:tcPr>
            <w:tcW w:type="dxa" w:w="720"/>
          </w:tcPr>
          <w:p>
            <w:r/>
            <w:r>
              <w:rPr>
                <w:rFonts w:ascii="Calibri" w:hAnsi="Calibri"/>
                <w:color w:val="0F172A"/>
                <w:sz w:val="18"/>
              </w:rPr>
              <w:t>I</w:t>
            </w:r>
          </w:p>
        </w:tc>
        <w:tc>
          <w:tcPr>
            <w:tcW w:type="dxa" w:w="720"/>
          </w:tcPr>
          <w:p>
            <w:r/>
            <w:r>
              <w:rPr>
                <w:rFonts w:ascii="Calibri" w:hAnsi="Calibri"/>
                <w:color w:val="0F172A"/>
                <w:sz w:val="18"/>
              </w:rPr>
              <w:t>A</w:t>
            </w:r>
          </w:p>
        </w:tc>
        <w:tc>
          <w:tcPr>
            <w:tcW w:type="dxa" w:w="864"/>
          </w:tcPr>
          <w:p>
            <w:r/>
            <w:r>
              <w:rPr>
                <w:rFonts w:ascii="Calibri" w:hAnsi="Calibri"/>
                <w:color w:val="0F172A"/>
                <w:sz w:val="18"/>
              </w:rPr>
              <w:t>R</w:t>
            </w:r>
          </w:p>
        </w:tc>
        <w:tc>
          <w:tcPr>
            <w:tcW w:type="dxa" w:w="576"/>
          </w:tcPr>
          <w:p>
            <w:r/>
            <w:r>
              <w:rPr>
                <w:rFonts w:ascii="Calibri" w:hAnsi="Calibri"/>
                <w:color w:val="0F172A"/>
                <w:sz w:val="18"/>
              </w:rPr>
              <w:t>R</w:t>
            </w:r>
          </w:p>
        </w:tc>
        <w:tc>
          <w:tcPr>
            <w:tcW w:type="dxa" w:w="576"/>
          </w:tcPr>
          <w:p>
            <w:r/>
            <w:r>
              <w:rPr>
                <w:rFonts w:ascii="Calibri" w:hAnsi="Calibri"/>
                <w:color w:val="0F172A"/>
                <w:sz w:val="18"/>
              </w:rPr>
              <w:t>C</w:t>
            </w:r>
          </w:p>
        </w:tc>
        <w:tc>
          <w:tcPr>
            <w:tcW w:type="dxa" w:w="864"/>
          </w:tcPr>
          <w:p>
            <w:r/>
            <w:r>
              <w:rPr>
                <w:rFonts w:ascii="Calibri" w:hAnsi="Calibri"/>
                <w:color w:val="0F172A"/>
                <w:sz w:val="18"/>
              </w:rPr>
              <w:t>R</w:t>
            </w:r>
          </w:p>
        </w:tc>
        <w:tc>
          <w:tcPr>
            <w:tcW w:type="dxa" w:w="864"/>
          </w:tcPr>
          <w:p>
            <w:r/>
            <w:r>
              <w:rPr>
                <w:rFonts w:ascii="Calibri" w:hAnsi="Calibri"/>
                <w:color w:val="0F172A"/>
                <w:sz w:val="18"/>
              </w:rPr>
              <w:t>C</w:t>
            </w:r>
          </w:p>
        </w:tc>
        <w:tc>
          <w:tcPr>
            <w:tcW w:type="dxa" w:w="720"/>
          </w:tcPr>
          <w:p>
            <w:r/>
            <w:r>
              <w:rPr>
                <w:rFonts w:ascii="Calibri" w:hAnsi="Calibri"/>
                <w:color w:val="0F172A"/>
                <w:sz w:val="18"/>
              </w:rPr>
              <w:t>C</w:t>
            </w:r>
          </w:p>
        </w:tc>
        <w:tc>
          <w:tcPr>
            <w:tcW w:type="dxa" w:w="720"/>
          </w:tcPr>
          <w:p>
            <w:r/>
            <w:r>
              <w:rPr>
                <w:rFonts w:ascii="Calibri" w:hAnsi="Calibri"/>
                <w:color w:val="0F172A"/>
                <w:sz w:val="18"/>
              </w:rPr>
              <w:t>I</w:t>
            </w:r>
          </w:p>
        </w:tc>
      </w:tr>
      <w:tr>
        <w:tc>
          <w:tcPr>
            <w:tcW w:type="dxa" w:w="2880"/>
          </w:tcPr>
          <w:p>
            <w:r/>
            <w:r>
              <w:rPr>
                <w:rFonts w:ascii="Calibri" w:hAnsi="Calibri"/>
                <w:color w:val="0F172A"/>
                <w:sz w:val="18"/>
              </w:rPr>
              <w:t>Incident notification (external)</w:t>
            </w:r>
          </w:p>
        </w:tc>
        <w:tc>
          <w:tcPr>
            <w:tcW w:type="dxa" w:w="720"/>
          </w:tcPr>
          <w:p>
            <w:r/>
            <w:r>
              <w:rPr>
                <w:rFonts w:ascii="Calibri" w:hAnsi="Calibri"/>
                <w:color w:val="0F172A"/>
                <w:sz w:val="18"/>
              </w:rPr>
              <w:t>A</w:t>
            </w:r>
          </w:p>
        </w:tc>
        <w:tc>
          <w:tcPr>
            <w:tcW w:type="dxa" w:w="720"/>
          </w:tcPr>
          <w:p>
            <w:r/>
            <w:r>
              <w:rPr>
                <w:rFonts w:ascii="Calibri" w:hAnsi="Calibri"/>
                <w:color w:val="0F172A"/>
                <w:sz w:val="18"/>
              </w:rPr>
              <w:t>C</w:t>
            </w:r>
          </w:p>
        </w:tc>
        <w:tc>
          <w:tcPr>
            <w:tcW w:type="dxa" w:w="864"/>
          </w:tcPr>
          <w:p>
            <w:r/>
            <w:r>
              <w:rPr>
                <w:rFonts w:ascii="Calibri" w:hAnsi="Calibri"/>
                <w:color w:val="0F172A"/>
                <w:sz w:val="18"/>
              </w:rPr>
              <w:t>I</w:t>
            </w:r>
          </w:p>
        </w:tc>
        <w:tc>
          <w:tcPr>
            <w:tcW w:type="dxa" w:w="576"/>
          </w:tcPr>
          <w:p>
            <w:r/>
            <w:r>
              <w:rPr>
                <w:rFonts w:ascii="Calibri" w:hAnsi="Calibri"/>
                <w:color w:val="0F172A"/>
                <w:sz w:val="18"/>
              </w:rPr>
              <w:t>I</w:t>
            </w:r>
          </w:p>
        </w:tc>
        <w:tc>
          <w:tcPr>
            <w:tcW w:type="dxa" w:w="576"/>
          </w:tcPr>
          <w:p>
            <w:r/>
            <w:r>
              <w:rPr>
                <w:rFonts w:ascii="Calibri" w:hAnsi="Calibri"/>
                <w:color w:val="0F172A"/>
                <w:sz w:val="18"/>
              </w:rPr>
              <w:t>I</w:t>
            </w:r>
          </w:p>
        </w:tc>
        <w:tc>
          <w:tcPr>
            <w:tcW w:type="dxa" w:w="864"/>
          </w:tcPr>
          <w:p>
            <w:r/>
            <w:r>
              <w:rPr>
                <w:rFonts w:ascii="Calibri" w:hAnsi="Calibri"/>
                <w:color w:val="0F172A"/>
                <w:sz w:val="18"/>
              </w:rPr>
              <w:t>I</w:t>
            </w:r>
          </w:p>
        </w:tc>
        <w:tc>
          <w:tcPr>
            <w:tcW w:type="dxa" w:w="864"/>
          </w:tcPr>
          <w:p>
            <w:r/>
            <w:r>
              <w:rPr>
                <w:rFonts w:ascii="Calibri" w:hAnsi="Calibri"/>
                <w:color w:val="0F172A"/>
                <w:sz w:val="18"/>
              </w:rPr>
              <w:t>I</w:t>
            </w:r>
          </w:p>
        </w:tc>
        <w:tc>
          <w:tcPr>
            <w:tcW w:type="dxa" w:w="720"/>
          </w:tcPr>
          <w:p>
            <w:r/>
            <w:r>
              <w:rPr>
                <w:rFonts w:ascii="Calibri" w:hAnsi="Calibri"/>
                <w:color w:val="0F172A"/>
                <w:sz w:val="18"/>
              </w:rPr>
              <w:t>I</w:t>
            </w:r>
          </w:p>
        </w:tc>
        <w:tc>
          <w:tcPr>
            <w:tcW w:type="dxa" w:w="720"/>
          </w:tcPr>
          <w:p>
            <w:r/>
            <w:r>
              <w:rPr>
                <w:rFonts w:ascii="Calibri" w:hAnsi="Calibri"/>
                <w:color w:val="0F172A"/>
                <w:sz w:val="18"/>
              </w:rPr>
              <w:t>R</w:t>
            </w:r>
          </w:p>
        </w:tc>
      </w:tr>
      <w:tr>
        <w:tc>
          <w:tcPr>
            <w:tcW w:type="dxa" w:w="2880"/>
          </w:tcPr>
          <w:p>
            <w:r/>
            <w:r>
              <w:rPr>
                <w:rFonts w:ascii="Calibri" w:hAnsi="Calibri"/>
                <w:color w:val="0F172A"/>
                <w:sz w:val="18"/>
              </w:rPr>
              <w:t>Regulatory disclosure</w:t>
            </w:r>
          </w:p>
        </w:tc>
        <w:tc>
          <w:tcPr>
            <w:tcW w:type="dxa" w:w="720"/>
          </w:tcPr>
          <w:p>
            <w:r/>
            <w:r>
              <w:rPr>
                <w:rFonts w:ascii="Calibri" w:hAnsi="Calibri"/>
                <w:color w:val="0F172A"/>
                <w:sz w:val="18"/>
              </w:rPr>
              <w:t>A</w:t>
            </w:r>
          </w:p>
        </w:tc>
        <w:tc>
          <w:tcPr>
            <w:tcW w:type="dxa" w:w="720"/>
          </w:tcPr>
          <w:p>
            <w:r/>
            <w:r>
              <w:rPr>
                <w:rFonts w:ascii="Calibri" w:hAnsi="Calibri"/>
                <w:color w:val="0F172A"/>
                <w:sz w:val="18"/>
              </w:rPr>
              <w:t>C</w:t>
            </w:r>
          </w:p>
        </w:tc>
        <w:tc>
          <w:tcPr>
            <w:tcW w:type="dxa" w:w="864"/>
          </w:tcPr>
          <w:p>
            <w:r/>
            <w:r>
              <w:rPr>
                <w:rFonts w:ascii="Calibri" w:hAnsi="Calibri"/>
                <w:color w:val="0F172A"/>
                <w:sz w:val="18"/>
              </w:rPr>
              <w:t>I</w:t>
            </w:r>
          </w:p>
        </w:tc>
        <w:tc>
          <w:tcPr>
            <w:tcW w:type="dxa" w:w="576"/>
          </w:tcPr>
          <w:p>
            <w:r/>
            <w:r>
              <w:rPr>
                <w:rFonts w:ascii="Calibri" w:hAnsi="Calibri"/>
                <w:color w:val="0F172A"/>
                <w:sz w:val="18"/>
              </w:rPr>
              <w:t>I</w:t>
            </w:r>
          </w:p>
        </w:tc>
        <w:tc>
          <w:tcPr>
            <w:tcW w:type="dxa" w:w="576"/>
          </w:tcPr>
          <w:p>
            <w:r/>
            <w:r>
              <w:rPr>
                <w:rFonts w:ascii="Calibri" w:hAnsi="Calibri"/>
                <w:color w:val="0F172A"/>
                <w:sz w:val="18"/>
              </w:rPr>
              <w:t>I</w:t>
            </w:r>
          </w:p>
        </w:tc>
        <w:tc>
          <w:tcPr>
            <w:tcW w:type="dxa" w:w="864"/>
          </w:tcPr>
          <w:p>
            <w:r/>
            <w:r>
              <w:rPr>
                <w:rFonts w:ascii="Calibri" w:hAnsi="Calibri"/>
                <w:color w:val="0F172A"/>
                <w:sz w:val="18"/>
              </w:rPr>
              <w:t>I</w:t>
            </w:r>
          </w:p>
        </w:tc>
        <w:tc>
          <w:tcPr>
            <w:tcW w:type="dxa" w:w="864"/>
          </w:tcPr>
          <w:p>
            <w:r/>
            <w:r>
              <w:rPr>
                <w:rFonts w:ascii="Calibri" w:hAnsi="Calibri"/>
                <w:color w:val="0F172A"/>
                <w:sz w:val="18"/>
              </w:rPr>
              <w:t>I</w:t>
            </w:r>
          </w:p>
        </w:tc>
        <w:tc>
          <w:tcPr>
            <w:tcW w:type="dxa" w:w="720"/>
          </w:tcPr>
          <w:p>
            <w:r/>
            <w:r>
              <w:rPr>
                <w:rFonts w:ascii="Calibri" w:hAnsi="Calibri"/>
                <w:color w:val="0F172A"/>
                <w:sz w:val="18"/>
              </w:rPr>
              <w:t>I</w:t>
            </w:r>
          </w:p>
        </w:tc>
        <w:tc>
          <w:tcPr>
            <w:tcW w:type="dxa" w:w="720"/>
          </w:tcPr>
          <w:p>
            <w:r/>
            <w:r>
              <w:rPr>
                <w:rFonts w:ascii="Calibri" w:hAnsi="Calibri"/>
                <w:color w:val="0F172A"/>
                <w:sz w:val="18"/>
              </w:rPr>
              <w:t>R</w:t>
            </w:r>
          </w:p>
        </w:tc>
      </w:tr>
    </w:tbl>
    <w:p/>
    <w:p>
      <w:r>
        <w:rPr>
          <w:rFonts w:ascii="Calibri" w:hAnsi="Calibri"/>
          <w:i/>
          <w:color w:val="334155"/>
          <w:sz w:val="20"/>
        </w:rPr>
        <w:t>Operating rule: Every decision has exactly one A. Where the MBB is the A for an engineering decision, the CISO retains C so the risk-appetite boundary is visible at every decision point.</w:t>
      </w:r>
    </w:p>
    <w:p/>
    <w:p>
      <w:pPr>
        <w:pStyle w:val="Heading2"/>
      </w:pPr>
      <w:r>
        <w:rPr>
          <w:color w:val="0F172A"/>
          <w:sz w:val="28"/>
        </w:rPr>
        <w:t>3.3 Tollgate Sign-off Authority (G1–G5)</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152"/>
            <w:shd w:val="clear" w:color="auto" w:fill="1E40AF"/>
          </w:tcPr>
          <w:p>
            <w:r/>
            <w:r>
              <w:rPr>
                <w:rFonts w:ascii="Calibri" w:hAnsi="Calibri"/>
                <w:b/>
                <w:color w:val="FFFFFF"/>
                <w:sz w:val="20"/>
              </w:rPr>
              <w:t>Tollgate</w:t>
            </w:r>
          </w:p>
        </w:tc>
        <w:tc>
          <w:tcPr>
            <w:tcW w:type="dxa" w:w="1440"/>
            <w:shd w:val="clear" w:color="auto" w:fill="1E40AF"/>
          </w:tcPr>
          <w:p>
            <w:r/>
            <w:r>
              <w:rPr>
                <w:rFonts w:ascii="Calibri" w:hAnsi="Calibri"/>
                <w:b/>
                <w:color w:val="FFFFFF"/>
                <w:sz w:val="20"/>
              </w:rPr>
              <w:t>Phase End</w:t>
            </w:r>
          </w:p>
        </w:tc>
        <w:tc>
          <w:tcPr>
            <w:tcW w:type="dxa" w:w="864"/>
            <w:shd w:val="clear" w:color="auto" w:fill="1E40AF"/>
          </w:tcPr>
          <w:p>
            <w:r/>
            <w:r>
              <w:rPr>
                <w:rFonts w:ascii="Calibri" w:hAnsi="Calibri"/>
                <w:b/>
                <w:color w:val="FFFFFF"/>
                <w:sz w:val="20"/>
              </w:rPr>
              <w:t>Week</w:t>
            </w:r>
          </w:p>
        </w:tc>
        <w:tc>
          <w:tcPr>
            <w:tcW w:type="dxa" w:w="4896"/>
            <w:shd w:val="clear" w:color="auto" w:fill="1E40AF"/>
          </w:tcPr>
          <w:p>
            <w:r/>
            <w:r>
              <w:rPr>
                <w:rFonts w:ascii="Calibri" w:hAnsi="Calibri"/>
                <w:b/>
                <w:color w:val="FFFFFF"/>
                <w:sz w:val="20"/>
              </w:rPr>
              <w:t>CISO Decision</w:t>
            </w:r>
          </w:p>
        </w:tc>
        <w:tc>
          <w:tcPr>
            <w:tcW w:type="dxa" w:w="2016"/>
            <w:shd w:val="clear" w:color="auto" w:fill="1E40AF"/>
          </w:tcPr>
          <w:p>
            <w:r/>
            <w:r>
              <w:rPr>
                <w:rFonts w:ascii="Calibri" w:hAnsi="Calibri"/>
                <w:b/>
                <w:color w:val="FFFFFF"/>
                <w:sz w:val="20"/>
              </w:rPr>
              <w:t>Sign-off Authority</w:t>
            </w:r>
          </w:p>
        </w:tc>
      </w:tr>
      <w:tr>
        <w:tc>
          <w:tcPr>
            <w:tcW w:type="dxa" w:w="1152"/>
          </w:tcPr>
          <w:p>
            <w:r/>
            <w:r>
              <w:rPr>
                <w:rFonts w:ascii="Calibri" w:hAnsi="Calibri"/>
                <w:color w:val="0F172A"/>
                <w:sz w:val="18"/>
              </w:rPr>
              <w:t>G1</w:t>
            </w:r>
          </w:p>
        </w:tc>
        <w:tc>
          <w:tcPr>
            <w:tcW w:type="dxa" w:w="1440"/>
          </w:tcPr>
          <w:p>
            <w:r/>
            <w:r>
              <w:rPr>
                <w:rFonts w:ascii="Calibri" w:hAnsi="Calibri"/>
                <w:color w:val="0F172A"/>
                <w:sz w:val="18"/>
              </w:rPr>
              <w:t>Define</w:t>
            </w:r>
          </w:p>
        </w:tc>
        <w:tc>
          <w:tcPr>
            <w:tcW w:type="dxa" w:w="864"/>
          </w:tcPr>
          <w:p>
            <w:r/>
            <w:r>
              <w:rPr>
                <w:rFonts w:ascii="Calibri" w:hAnsi="Calibri"/>
                <w:color w:val="0F172A"/>
                <w:sz w:val="18"/>
              </w:rPr>
              <w:t>3</w:t>
            </w:r>
          </w:p>
        </w:tc>
        <w:tc>
          <w:tcPr>
            <w:tcW w:type="dxa" w:w="4896"/>
          </w:tcPr>
          <w:p>
            <w:r/>
            <w:r>
              <w:rPr>
                <w:rFonts w:ascii="Calibri" w:hAnsi="Calibri"/>
                <w:color w:val="0F172A"/>
                <w:sz w:val="18"/>
              </w:rPr>
              <w:t>Approve charter, scope, team allocation, confidentiality protocol</w:t>
            </w:r>
          </w:p>
        </w:tc>
        <w:tc>
          <w:tcPr>
            <w:tcW w:type="dxa" w:w="2016"/>
          </w:tcPr>
          <w:p>
            <w:r/>
            <w:r>
              <w:rPr>
                <w:rFonts w:ascii="Calibri" w:hAnsi="Calibri"/>
                <w:color w:val="0F172A"/>
                <w:sz w:val="18"/>
              </w:rPr>
              <w:t>CISO (sole)</w:t>
            </w:r>
          </w:p>
        </w:tc>
      </w:tr>
      <w:tr>
        <w:tc>
          <w:tcPr>
            <w:tcW w:type="dxa" w:w="1152"/>
          </w:tcPr>
          <w:p>
            <w:r/>
            <w:r>
              <w:rPr>
                <w:rFonts w:ascii="Calibri" w:hAnsi="Calibri"/>
                <w:color w:val="0F172A"/>
                <w:sz w:val="18"/>
              </w:rPr>
              <w:t>G2</w:t>
            </w:r>
          </w:p>
        </w:tc>
        <w:tc>
          <w:tcPr>
            <w:tcW w:type="dxa" w:w="1440"/>
          </w:tcPr>
          <w:p>
            <w:r/>
            <w:r>
              <w:rPr>
                <w:rFonts w:ascii="Calibri" w:hAnsi="Calibri"/>
                <w:color w:val="0F172A"/>
                <w:sz w:val="18"/>
              </w:rPr>
              <w:t>Measure</w:t>
            </w:r>
          </w:p>
        </w:tc>
        <w:tc>
          <w:tcPr>
            <w:tcW w:type="dxa" w:w="864"/>
          </w:tcPr>
          <w:p>
            <w:r/>
            <w:r>
              <w:rPr>
                <w:rFonts w:ascii="Calibri" w:hAnsi="Calibri"/>
                <w:color w:val="0F172A"/>
                <w:sz w:val="18"/>
              </w:rPr>
              <w:t>5</w:t>
            </w:r>
          </w:p>
        </w:tc>
        <w:tc>
          <w:tcPr>
            <w:tcW w:type="dxa" w:w="4896"/>
          </w:tcPr>
          <w:p>
            <w:r/>
            <w:r>
              <w:rPr>
                <w:rFonts w:ascii="Calibri" w:hAnsi="Calibri"/>
                <w:color w:val="0F172A"/>
                <w:sz w:val="18"/>
              </w:rPr>
              <w:t>Approve capability baseline, validate MTTD/MTTR targets</w:t>
            </w:r>
          </w:p>
        </w:tc>
        <w:tc>
          <w:tcPr>
            <w:tcW w:type="dxa" w:w="2016"/>
          </w:tcPr>
          <w:p>
            <w:r/>
            <w:r>
              <w:rPr>
                <w:rFonts w:ascii="Calibri" w:hAnsi="Calibri"/>
                <w:color w:val="0F172A"/>
                <w:sz w:val="18"/>
              </w:rPr>
              <w:t>CISO (sole)</w:t>
            </w:r>
          </w:p>
        </w:tc>
      </w:tr>
      <w:tr>
        <w:tc>
          <w:tcPr>
            <w:tcW w:type="dxa" w:w="1152"/>
          </w:tcPr>
          <w:p>
            <w:r/>
            <w:r>
              <w:rPr>
                <w:rFonts w:ascii="Calibri" w:hAnsi="Calibri"/>
                <w:color w:val="0F172A"/>
                <w:sz w:val="18"/>
              </w:rPr>
              <w:t>G3</w:t>
            </w:r>
          </w:p>
        </w:tc>
        <w:tc>
          <w:tcPr>
            <w:tcW w:type="dxa" w:w="1440"/>
          </w:tcPr>
          <w:p>
            <w:r/>
            <w:r>
              <w:rPr>
                <w:rFonts w:ascii="Calibri" w:hAnsi="Calibri"/>
                <w:color w:val="0F172A"/>
                <w:sz w:val="18"/>
              </w:rPr>
              <w:t>Analyse</w:t>
            </w:r>
          </w:p>
        </w:tc>
        <w:tc>
          <w:tcPr>
            <w:tcW w:type="dxa" w:w="864"/>
          </w:tcPr>
          <w:p>
            <w:r/>
            <w:r>
              <w:rPr>
                <w:rFonts w:ascii="Calibri" w:hAnsi="Calibri"/>
                <w:color w:val="0F172A"/>
                <w:sz w:val="18"/>
              </w:rPr>
              <w:t>7</w:t>
            </w:r>
          </w:p>
        </w:tc>
        <w:tc>
          <w:tcPr>
            <w:tcW w:type="dxa" w:w="4896"/>
          </w:tcPr>
          <w:p>
            <w:r/>
            <w:r>
              <w:rPr>
                <w:rFonts w:ascii="Calibri" w:hAnsi="Calibri"/>
                <w:color w:val="0F172A"/>
                <w:sz w:val="18"/>
              </w:rPr>
              <w:t>Approve prioritised FMEA, ratify RPN reduction targets</w:t>
            </w:r>
          </w:p>
        </w:tc>
        <w:tc>
          <w:tcPr>
            <w:tcW w:type="dxa" w:w="2016"/>
          </w:tcPr>
          <w:p>
            <w:r/>
            <w:r>
              <w:rPr>
                <w:rFonts w:ascii="Calibri" w:hAnsi="Calibri"/>
                <w:color w:val="0F172A"/>
                <w:sz w:val="18"/>
              </w:rPr>
              <w:t>CISO (sole)</w:t>
            </w:r>
          </w:p>
        </w:tc>
      </w:tr>
      <w:tr>
        <w:tc>
          <w:tcPr>
            <w:tcW w:type="dxa" w:w="1152"/>
          </w:tcPr>
          <w:p>
            <w:r/>
            <w:r>
              <w:rPr>
                <w:rFonts w:ascii="Calibri" w:hAnsi="Calibri"/>
                <w:color w:val="0F172A"/>
                <w:sz w:val="18"/>
              </w:rPr>
              <w:t>G4</w:t>
            </w:r>
          </w:p>
        </w:tc>
        <w:tc>
          <w:tcPr>
            <w:tcW w:type="dxa" w:w="1440"/>
          </w:tcPr>
          <w:p>
            <w:r/>
            <w:r>
              <w:rPr>
                <w:rFonts w:ascii="Calibri" w:hAnsi="Calibri"/>
                <w:color w:val="0F172A"/>
                <w:sz w:val="18"/>
              </w:rPr>
              <w:t>Improve</w:t>
            </w:r>
          </w:p>
        </w:tc>
        <w:tc>
          <w:tcPr>
            <w:tcW w:type="dxa" w:w="864"/>
          </w:tcPr>
          <w:p>
            <w:r/>
            <w:r>
              <w:rPr>
                <w:rFonts w:ascii="Calibri" w:hAnsi="Calibri"/>
                <w:color w:val="0F172A"/>
                <w:sz w:val="18"/>
              </w:rPr>
              <w:t>10</w:t>
            </w:r>
          </w:p>
        </w:tc>
        <w:tc>
          <w:tcPr>
            <w:tcW w:type="dxa" w:w="4896"/>
          </w:tcPr>
          <w:p>
            <w:r/>
            <w:r>
              <w:rPr>
                <w:rFonts w:ascii="Calibri" w:hAnsi="Calibri"/>
                <w:color w:val="0F172A"/>
                <w:sz w:val="18"/>
              </w:rPr>
              <w:t>Approve controls for deployment, ratify AI agent scope</w:t>
            </w:r>
          </w:p>
        </w:tc>
        <w:tc>
          <w:tcPr>
            <w:tcW w:type="dxa" w:w="2016"/>
          </w:tcPr>
          <w:p>
            <w:r/>
            <w:r>
              <w:rPr>
                <w:rFonts w:ascii="Calibri" w:hAnsi="Calibri"/>
                <w:color w:val="0F172A"/>
                <w:sz w:val="18"/>
              </w:rPr>
              <w:t>CISO (sole)</w:t>
            </w:r>
          </w:p>
        </w:tc>
      </w:tr>
      <w:tr>
        <w:tc>
          <w:tcPr>
            <w:tcW w:type="dxa" w:w="1152"/>
          </w:tcPr>
          <w:p>
            <w:r/>
            <w:r>
              <w:rPr>
                <w:rFonts w:ascii="Calibri" w:hAnsi="Calibri"/>
                <w:color w:val="0F172A"/>
                <w:sz w:val="18"/>
              </w:rPr>
              <w:t>G5</w:t>
            </w:r>
          </w:p>
        </w:tc>
        <w:tc>
          <w:tcPr>
            <w:tcW w:type="dxa" w:w="1440"/>
          </w:tcPr>
          <w:p>
            <w:r/>
            <w:r>
              <w:rPr>
                <w:rFonts w:ascii="Calibri" w:hAnsi="Calibri"/>
                <w:color w:val="0F172A"/>
                <w:sz w:val="18"/>
              </w:rPr>
              <w:t>Control</w:t>
            </w:r>
          </w:p>
        </w:tc>
        <w:tc>
          <w:tcPr>
            <w:tcW w:type="dxa" w:w="864"/>
          </w:tcPr>
          <w:p>
            <w:r/>
            <w:r>
              <w:rPr>
                <w:rFonts w:ascii="Calibri" w:hAnsi="Calibri"/>
                <w:color w:val="0F172A"/>
                <w:sz w:val="18"/>
              </w:rPr>
              <w:t>12</w:t>
            </w:r>
          </w:p>
        </w:tc>
        <w:tc>
          <w:tcPr>
            <w:tcW w:type="dxa" w:w="4896"/>
          </w:tcPr>
          <w:p>
            <w:r/>
            <w:r>
              <w:rPr>
                <w:rFonts w:ascii="Calibri" w:hAnsi="Calibri"/>
                <w:color w:val="0F172A"/>
                <w:sz w:val="18"/>
              </w:rPr>
              <w:t>Approve control plan, authorise handover to Operations</w:t>
            </w:r>
          </w:p>
        </w:tc>
        <w:tc>
          <w:tcPr>
            <w:tcW w:type="dxa" w:w="2016"/>
          </w:tcPr>
          <w:p>
            <w:r/>
            <w:r>
              <w:rPr>
                <w:rFonts w:ascii="Calibri" w:hAnsi="Calibri"/>
                <w:color w:val="0F172A"/>
                <w:sz w:val="18"/>
              </w:rPr>
              <w:t>CISO + Operations Director (joint)</w:t>
            </w:r>
          </w:p>
        </w:tc>
      </w:tr>
    </w:tbl>
    <w:p>
      <w:r>
        <w:rPr>
          <w:rFonts w:ascii="Calibri" w:hAnsi="Calibri"/>
          <w:i/>
          <w:color w:val="334155"/>
          <w:sz w:val="20"/>
        </w:rPr>
        <w:t>No phase advances without CISO sign-off. If the CISO defers or rejects a tollgate, the engagement pauses and the MBB presents a recovery plan within 48 hours.</w:t>
      </w:r>
    </w:p>
    <w:p/>
    <w:p>
      <w:pPr>
        <w:pStyle w:val="Heading2"/>
      </w:pPr>
      <w:r>
        <w:rPr>
          <w:color w:val="0F172A"/>
          <w:sz w:val="28"/>
        </w:rPr>
        <w:t>3.4 Escalation Matrix</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440"/>
            <w:shd w:val="clear" w:color="auto" w:fill="1E40AF"/>
          </w:tcPr>
          <w:p>
            <w:r/>
            <w:r>
              <w:rPr>
                <w:rFonts w:ascii="Calibri" w:hAnsi="Calibri"/>
                <w:b/>
                <w:color w:val="FFFFFF"/>
                <w:sz w:val="20"/>
              </w:rPr>
              <w:t>Tier</w:t>
            </w:r>
          </w:p>
        </w:tc>
        <w:tc>
          <w:tcPr>
            <w:tcW w:type="dxa" w:w="2304"/>
            <w:shd w:val="clear" w:color="auto" w:fill="1E40AF"/>
          </w:tcPr>
          <w:p>
            <w:r/>
            <w:r>
              <w:rPr>
                <w:rFonts w:ascii="Calibri" w:hAnsi="Calibri"/>
                <w:b/>
                <w:color w:val="FFFFFF"/>
                <w:sz w:val="20"/>
              </w:rPr>
              <w:t>Trigger</w:t>
            </w:r>
          </w:p>
        </w:tc>
        <w:tc>
          <w:tcPr>
            <w:tcW w:type="dxa" w:w="1440"/>
            <w:shd w:val="clear" w:color="auto" w:fill="1E40AF"/>
          </w:tcPr>
          <w:p>
            <w:r/>
            <w:r>
              <w:rPr>
                <w:rFonts w:ascii="Calibri" w:hAnsi="Calibri"/>
                <w:b/>
                <w:color w:val="FFFFFF"/>
                <w:sz w:val="20"/>
              </w:rPr>
              <w:t>Owner</w:t>
            </w:r>
          </w:p>
        </w:tc>
        <w:tc>
          <w:tcPr>
            <w:tcW w:type="dxa" w:w="2304"/>
            <w:shd w:val="clear" w:color="auto" w:fill="1E40AF"/>
          </w:tcPr>
          <w:p>
            <w:r/>
            <w:r>
              <w:rPr>
                <w:rFonts w:ascii="Calibri" w:hAnsi="Calibri"/>
                <w:b/>
                <w:color w:val="FFFFFF"/>
                <w:sz w:val="20"/>
              </w:rPr>
              <w:t>Resolution SLA</w:t>
            </w:r>
          </w:p>
        </w:tc>
        <w:tc>
          <w:tcPr>
            <w:tcW w:type="dxa" w:w="2592"/>
            <w:shd w:val="clear" w:color="auto" w:fill="1E40AF"/>
          </w:tcPr>
          <w:p>
            <w:r/>
            <w:r>
              <w:rPr>
                <w:rFonts w:ascii="Calibri" w:hAnsi="Calibri"/>
                <w:b/>
                <w:color w:val="FFFFFF"/>
                <w:sz w:val="20"/>
              </w:rPr>
              <w:t>Resolution Authority</w:t>
            </w:r>
          </w:p>
        </w:tc>
      </w:tr>
      <w:tr>
        <w:tc>
          <w:tcPr>
            <w:tcW w:type="dxa" w:w="1440"/>
          </w:tcPr>
          <w:p>
            <w:r/>
            <w:r>
              <w:rPr>
                <w:rFonts w:ascii="Calibri" w:hAnsi="Calibri"/>
                <w:color w:val="0F172A"/>
                <w:sz w:val="18"/>
              </w:rPr>
              <w:t>Tier 1</w:t>
            </w:r>
          </w:p>
        </w:tc>
        <w:tc>
          <w:tcPr>
            <w:tcW w:type="dxa" w:w="2304"/>
          </w:tcPr>
          <w:p>
            <w:r/>
            <w:r>
              <w:rPr>
                <w:rFonts w:ascii="Calibri" w:hAnsi="Calibri"/>
                <w:color w:val="0F172A"/>
                <w:sz w:val="18"/>
              </w:rPr>
              <w:t>Track-internal issue</w:t>
            </w:r>
          </w:p>
        </w:tc>
        <w:tc>
          <w:tcPr>
            <w:tcW w:type="dxa" w:w="1440"/>
          </w:tcPr>
          <w:p>
            <w:r/>
            <w:r>
              <w:rPr>
                <w:rFonts w:ascii="Calibri" w:hAnsi="Calibri"/>
                <w:color w:val="0F172A"/>
                <w:sz w:val="18"/>
              </w:rPr>
              <w:t>Track Lead</w:t>
            </w:r>
          </w:p>
        </w:tc>
        <w:tc>
          <w:tcPr>
            <w:tcW w:type="dxa" w:w="2304"/>
          </w:tcPr>
          <w:p>
            <w:r/>
            <w:r>
              <w:rPr>
                <w:rFonts w:ascii="Calibri" w:hAnsi="Calibri"/>
                <w:color w:val="0F172A"/>
                <w:sz w:val="18"/>
              </w:rPr>
              <w:t>24 hours</w:t>
            </w:r>
          </w:p>
        </w:tc>
        <w:tc>
          <w:tcPr>
            <w:tcW w:type="dxa" w:w="2592"/>
          </w:tcPr>
          <w:p>
            <w:r/>
            <w:r>
              <w:rPr>
                <w:rFonts w:ascii="Calibri" w:hAnsi="Calibri"/>
                <w:color w:val="0F172A"/>
                <w:sz w:val="18"/>
              </w:rPr>
              <w:t>Track Lead</w:t>
            </w:r>
          </w:p>
        </w:tc>
      </w:tr>
      <w:tr>
        <w:tc>
          <w:tcPr>
            <w:tcW w:type="dxa" w:w="1440"/>
          </w:tcPr>
          <w:p>
            <w:r/>
            <w:r>
              <w:rPr>
                <w:rFonts w:ascii="Calibri" w:hAnsi="Calibri"/>
                <w:color w:val="0F172A"/>
                <w:sz w:val="18"/>
              </w:rPr>
              <w:t>Tier 2</w:t>
            </w:r>
          </w:p>
        </w:tc>
        <w:tc>
          <w:tcPr>
            <w:tcW w:type="dxa" w:w="2304"/>
          </w:tcPr>
          <w:p>
            <w:r/>
            <w:r>
              <w:rPr>
                <w:rFonts w:ascii="Calibri" w:hAnsi="Calibri"/>
                <w:color w:val="0F172A"/>
                <w:sz w:val="18"/>
              </w:rPr>
              <w:t>Cross-track issue</w:t>
            </w:r>
          </w:p>
        </w:tc>
        <w:tc>
          <w:tcPr>
            <w:tcW w:type="dxa" w:w="1440"/>
          </w:tcPr>
          <w:p>
            <w:r/>
            <w:r>
              <w:rPr>
                <w:rFonts w:ascii="Calibri" w:hAnsi="Calibri"/>
                <w:color w:val="0F172A"/>
                <w:sz w:val="18"/>
              </w:rPr>
              <w:t>MBB</w:t>
            </w:r>
          </w:p>
        </w:tc>
        <w:tc>
          <w:tcPr>
            <w:tcW w:type="dxa" w:w="2304"/>
          </w:tcPr>
          <w:p>
            <w:r/>
            <w:r>
              <w:rPr>
                <w:rFonts w:ascii="Calibri" w:hAnsi="Calibri"/>
                <w:color w:val="0F172A"/>
                <w:sz w:val="18"/>
              </w:rPr>
              <w:t>24 hours</w:t>
            </w:r>
          </w:p>
        </w:tc>
        <w:tc>
          <w:tcPr>
            <w:tcW w:type="dxa" w:w="2592"/>
          </w:tcPr>
          <w:p>
            <w:r/>
            <w:r>
              <w:rPr>
                <w:rFonts w:ascii="Calibri" w:hAnsi="Calibri"/>
                <w:color w:val="0F172A"/>
                <w:sz w:val="18"/>
              </w:rPr>
              <w:t>MBB</w:t>
            </w:r>
          </w:p>
        </w:tc>
      </w:tr>
      <w:tr>
        <w:tc>
          <w:tcPr>
            <w:tcW w:type="dxa" w:w="1440"/>
          </w:tcPr>
          <w:p>
            <w:r/>
            <w:r>
              <w:rPr>
                <w:rFonts w:ascii="Calibri" w:hAnsi="Calibri"/>
                <w:color w:val="0F172A"/>
                <w:sz w:val="18"/>
              </w:rPr>
              <w:t>Tier 3</w:t>
            </w:r>
          </w:p>
        </w:tc>
        <w:tc>
          <w:tcPr>
            <w:tcW w:type="dxa" w:w="2304"/>
          </w:tcPr>
          <w:p>
            <w:r/>
            <w:r>
              <w:rPr>
                <w:rFonts w:ascii="Calibri" w:hAnsi="Calibri"/>
                <w:color w:val="0F172A"/>
                <w:sz w:val="18"/>
              </w:rPr>
              <w:t>Budget, scope, or risk-appetite deviation</w:t>
            </w:r>
          </w:p>
        </w:tc>
        <w:tc>
          <w:tcPr>
            <w:tcW w:type="dxa" w:w="1440"/>
          </w:tcPr>
          <w:p>
            <w:r/>
            <w:r>
              <w:rPr>
                <w:rFonts w:ascii="Calibri" w:hAnsi="Calibri"/>
                <w:color w:val="0F172A"/>
                <w:sz w:val="18"/>
              </w:rPr>
              <w:t>CISO + MBB</w:t>
            </w:r>
          </w:p>
        </w:tc>
        <w:tc>
          <w:tcPr>
            <w:tcW w:type="dxa" w:w="2304"/>
          </w:tcPr>
          <w:p>
            <w:r/>
            <w:r>
              <w:rPr>
                <w:rFonts w:ascii="Calibri" w:hAnsi="Calibri"/>
                <w:color w:val="0F172A"/>
                <w:sz w:val="18"/>
              </w:rPr>
              <w:t>48 hours</w:t>
            </w:r>
          </w:p>
        </w:tc>
        <w:tc>
          <w:tcPr>
            <w:tcW w:type="dxa" w:w="2592"/>
          </w:tcPr>
          <w:p>
            <w:r/>
            <w:r>
              <w:rPr>
                <w:rFonts w:ascii="Calibri" w:hAnsi="Calibri"/>
                <w:color w:val="0F172A"/>
                <w:sz w:val="18"/>
              </w:rPr>
              <w:t>CISO (budget, risk); MBB (scope re-baseline)</w:t>
            </w:r>
          </w:p>
        </w:tc>
      </w:tr>
      <w:tr>
        <w:tc>
          <w:tcPr>
            <w:tcW w:type="dxa" w:w="1440"/>
          </w:tcPr>
          <w:p>
            <w:r/>
            <w:r>
              <w:rPr>
                <w:rFonts w:ascii="Calibri" w:hAnsi="Calibri"/>
                <w:color w:val="0F172A"/>
                <w:sz w:val="18"/>
              </w:rPr>
              <w:t>Tier 4</w:t>
            </w:r>
          </w:p>
        </w:tc>
        <w:tc>
          <w:tcPr>
            <w:tcW w:type="dxa" w:w="2304"/>
          </w:tcPr>
          <w:p>
            <w:r/>
            <w:r>
              <w:rPr>
                <w:rFonts w:ascii="Calibri" w:hAnsi="Calibri"/>
                <w:color w:val="0F172A"/>
                <w:sz w:val="18"/>
              </w:rPr>
              <w:t>Strategic, regulatory, or external-party issue</w:t>
            </w:r>
          </w:p>
        </w:tc>
        <w:tc>
          <w:tcPr>
            <w:tcW w:type="dxa" w:w="1440"/>
          </w:tcPr>
          <w:p>
            <w:r/>
            <w:r>
              <w:rPr>
                <w:rFonts w:ascii="Calibri" w:hAnsi="Calibri"/>
                <w:color w:val="0F172A"/>
                <w:sz w:val="18"/>
              </w:rPr>
              <w:t>CISO</w:t>
            </w:r>
          </w:p>
        </w:tc>
        <w:tc>
          <w:tcPr>
            <w:tcW w:type="dxa" w:w="2304"/>
          </w:tcPr>
          <w:p>
            <w:r/>
            <w:r>
              <w:rPr>
                <w:rFonts w:ascii="Calibri" w:hAnsi="Calibri"/>
                <w:color w:val="0F172A"/>
                <w:sz w:val="18"/>
              </w:rPr>
              <w:t>5 business days</w:t>
            </w:r>
          </w:p>
        </w:tc>
        <w:tc>
          <w:tcPr>
            <w:tcW w:type="dxa" w:w="2592"/>
          </w:tcPr>
          <w:p>
            <w:r/>
            <w:r>
              <w:rPr>
                <w:rFonts w:ascii="Calibri" w:hAnsi="Calibri"/>
                <w:color w:val="0F172A"/>
                <w:sz w:val="18"/>
              </w:rPr>
              <w:t>Executive Committee</w:t>
            </w:r>
          </w:p>
        </w:tc>
      </w:tr>
      <w:tr>
        <w:tc>
          <w:tcPr>
            <w:tcW w:type="dxa" w:w="1440"/>
          </w:tcPr>
          <w:p>
            <w:r/>
            <w:r>
              <w:rPr>
                <w:rFonts w:ascii="Calibri" w:hAnsi="Calibri"/>
                <w:color w:val="0F172A"/>
                <w:sz w:val="18"/>
              </w:rPr>
              <w:t>Real-Time Incident</w:t>
            </w:r>
          </w:p>
        </w:tc>
        <w:tc>
          <w:tcPr>
            <w:tcW w:type="dxa" w:w="2304"/>
          </w:tcPr>
          <w:p>
            <w:r/>
            <w:r>
              <w:rPr>
                <w:rFonts w:ascii="Calibri" w:hAnsi="Calibri"/>
                <w:color w:val="0F172A"/>
                <w:sz w:val="18"/>
              </w:rPr>
              <w:t>Confirmed cyber event on a protected line</w:t>
            </w:r>
          </w:p>
        </w:tc>
        <w:tc>
          <w:tcPr>
            <w:tcW w:type="dxa" w:w="1440"/>
          </w:tcPr>
          <w:p>
            <w:r/>
            <w:r>
              <w:rPr>
                <w:rFonts w:ascii="Calibri" w:hAnsi="Calibri"/>
                <w:color w:val="0F172A"/>
                <w:sz w:val="18"/>
              </w:rPr>
              <w:t>MBB + IT Security</w:t>
            </w:r>
          </w:p>
        </w:tc>
        <w:tc>
          <w:tcPr>
            <w:tcW w:type="dxa" w:w="2304"/>
          </w:tcPr>
          <w:p>
            <w:r/>
            <w:r>
              <w:rPr>
                <w:rFonts w:ascii="Calibri" w:hAnsi="Calibri"/>
                <w:color w:val="0F172A"/>
                <w:sz w:val="18"/>
              </w:rPr>
              <w:t>Immediate IR activation; CISO notified within 15 minutes</w:t>
            </w:r>
          </w:p>
        </w:tc>
        <w:tc>
          <w:tcPr>
            <w:tcW w:type="dxa" w:w="2592"/>
          </w:tcPr>
          <w:p>
            <w:r/>
            <w:r>
              <w:rPr>
                <w:rFonts w:ascii="Calibri" w:hAnsi="Calibri"/>
                <w:color w:val="0F172A"/>
                <w:sz w:val="18"/>
              </w:rPr>
              <w:t>MBB operational; CISO strategic</w:t>
            </w:r>
          </w:p>
        </w:tc>
      </w:tr>
    </w:tbl>
    <w:p/>
    <w:p>
      <w:pPr>
        <w:pStyle w:val="Heading2"/>
      </w:pPr>
      <w:r>
        <w:rPr>
          <w:color w:val="1E40AF"/>
          <w:sz w:val="28"/>
        </w:rPr>
        <w:t>3.5 Data-Access Governance (the Data-Blind Protocol)</w:t>
      </w:r>
    </w:p>
    <w:p>
      <w:r>
        <w:rPr>
          <w:rFonts w:ascii="Calibri" w:hAnsi="Calibri"/>
          <w:b/>
          <w:color w:val="1E40AF"/>
          <w:sz w:val="22"/>
        </w:rPr>
        <w:t>The data-access protocol is the CISO's largest single decision in the engagement. It defines exactly what the 19 Green Belts can and cannot access, how the data flows, and what happens on breach.</w:t>
      </w:r>
    </w:p>
    <w:p/>
    <w:p>
      <w:pPr>
        <w:pStyle w:val="Heading3"/>
      </w:pPr>
      <w:r>
        <w:rPr>
          <w:color w:val="0F172A"/>
          <w:sz w:val="24"/>
        </w:rPr>
        <w:t>3.5.1 Data Classification</w:t>
      </w:r>
    </w:p>
    <w:tbl>
      <w:tblPr>
        <w:tblStyle w:val="LightGrid-Accent1"/>
        <w:tblW w:type="auto" w:w="0"/>
        <w:tblLook w:firstColumn="1" w:firstRow="1" w:lastColumn="0" w:lastRow="0" w:noHBand="0" w:noVBand="1" w:val="04A0"/>
      </w:tblPr>
      <w:tblGrid>
        <w:gridCol w:w="3249"/>
        <w:gridCol w:w="3249"/>
        <w:gridCol w:w="3249"/>
      </w:tblGrid>
      <w:tr>
        <w:tc>
          <w:tcPr>
            <w:tcW w:type="dxa" w:w="1728"/>
            <w:shd w:val="clear" w:color="auto" w:fill="1E40AF"/>
          </w:tcPr>
          <w:p>
            <w:r/>
            <w:r>
              <w:rPr>
                <w:rFonts w:ascii="Calibri" w:hAnsi="Calibri"/>
                <w:b/>
                <w:color w:val="FFFFFF"/>
                <w:sz w:val="20"/>
              </w:rPr>
              <w:t>Class</w:t>
            </w:r>
          </w:p>
        </w:tc>
        <w:tc>
          <w:tcPr>
            <w:tcW w:type="dxa" w:w="5760"/>
            <w:shd w:val="clear" w:color="auto" w:fill="1E40AF"/>
          </w:tcPr>
          <w:p>
            <w:r/>
            <w:r>
              <w:rPr>
                <w:rFonts w:ascii="Calibri" w:hAnsi="Calibri"/>
                <w:b/>
                <w:color w:val="FFFFFF"/>
                <w:sz w:val="20"/>
              </w:rPr>
              <w:t>Examples</w:t>
            </w:r>
          </w:p>
        </w:tc>
        <w:tc>
          <w:tcPr>
            <w:tcW w:type="dxa" w:w="2880"/>
            <w:shd w:val="clear" w:color="auto" w:fill="1E40AF"/>
          </w:tcPr>
          <w:p>
            <w:r/>
            <w:r>
              <w:rPr>
                <w:rFonts w:ascii="Calibri" w:hAnsi="Calibri"/>
                <w:b/>
                <w:color w:val="FFFFFF"/>
                <w:sz w:val="20"/>
              </w:rPr>
              <w:t>GB access</w:t>
            </w:r>
          </w:p>
        </w:tc>
      </w:tr>
      <w:tr>
        <w:tc>
          <w:tcPr>
            <w:tcW w:type="dxa" w:w="1728"/>
          </w:tcPr>
          <w:p>
            <w:r/>
            <w:r>
              <w:rPr>
                <w:rFonts w:ascii="Calibri" w:hAnsi="Calibri"/>
                <w:color w:val="0F172A"/>
                <w:sz w:val="18"/>
              </w:rPr>
              <w:t>ALLOWED</w:t>
            </w:r>
          </w:p>
        </w:tc>
        <w:tc>
          <w:tcPr>
            <w:tcW w:type="dxa" w:w="5760"/>
          </w:tcPr>
          <w:p>
            <w:r/>
            <w:r>
              <w:rPr>
                <w:rFonts w:ascii="Calibri" w:hAnsi="Calibri"/>
                <w:color w:val="0F172A"/>
                <w:sz w:val="18"/>
              </w:rPr>
              <w:t>Time deltas, compliance %, defect rates, traffic volumes, capability indices</w:t>
            </w:r>
          </w:p>
        </w:tc>
        <w:tc>
          <w:tcPr>
            <w:tcW w:type="dxa" w:w="2880"/>
          </w:tcPr>
          <w:p>
            <w:r/>
            <w:r>
              <w:rPr>
                <w:rFonts w:ascii="Calibri" w:hAnsi="Calibri"/>
                <w:color w:val="0F172A"/>
                <w:sz w:val="18"/>
              </w:rPr>
              <w:t>Read-only via query interface</w:t>
            </w:r>
          </w:p>
        </w:tc>
      </w:tr>
      <w:tr>
        <w:tc>
          <w:tcPr>
            <w:tcW w:type="dxa" w:w="1728"/>
          </w:tcPr>
          <w:p>
            <w:r/>
            <w:r>
              <w:rPr>
                <w:rFonts w:ascii="Calibri" w:hAnsi="Calibri"/>
                <w:color w:val="0F172A"/>
                <w:sz w:val="18"/>
              </w:rPr>
              <w:t>RESTRICTED</w:t>
            </w:r>
          </w:p>
        </w:tc>
        <w:tc>
          <w:tcPr>
            <w:tcW w:type="dxa" w:w="5760"/>
          </w:tcPr>
          <w:p>
            <w:r/>
            <w:r>
              <w:rPr>
                <w:rFonts w:ascii="Calibri" w:hAnsi="Calibri"/>
                <w:color w:val="0F172A"/>
                <w:sz w:val="18"/>
              </w:rPr>
              <w:t>IP addresses, hostnames, MAC addresses, raw network logs, vendor credentials, proprietary configs</w:t>
            </w:r>
          </w:p>
        </w:tc>
        <w:tc>
          <w:tcPr>
            <w:tcW w:type="dxa" w:w="2880"/>
          </w:tcPr>
          <w:p>
            <w:r/>
            <w:r>
              <w:rPr>
                <w:rFonts w:ascii="Calibri" w:hAnsi="Calibri"/>
                <w:color w:val="0F172A"/>
                <w:sz w:val="18"/>
              </w:rPr>
              <w:t>CISO team only</w:t>
            </w:r>
          </w:p>
        </w:tc>
      </w:tr>
      <w:tr>
        <w:tc>
          <w:tcPr>
            <w:tcW w:type="dxa" w:w="1728"/>
          </w:tcPr>
          <w:p>
            <w:r/>
            <w:r>
              <w:rPr>
                <w:rFonts w:ascii="Calibri" w:hAnsi="Calibri"/>
                <w:color w:val="0F172A"/>
                <w:sz w:val="18"/>
              </w:rPr>
              <w:t>PROHIBITED</w:t>
            </w:r>
          </w:p>
        </w:tc>
        <w:tc>
          <w:tcPr>
            <w:tcW w:type="dxa" w:w="5760"/>
          </w:tcPr>
          <w:p>
            <w:r/>
            <w:r>
              <w:rPr>
                <w:rFonts w:ascii="Calibri" w:hAnsi="Calibri"/>
                <w:color w:val="0F172A"/>
                <w:sz w:val="18"/>
              </w:rPr>
              <w:t>Anything identifying a specific asset, person, vendor, or proprietary system</w:t>
            </w:r>
          </w:p>
        </w:tc>
        <w:tc>
          <w:tcPr>
            <w:tcW w:type="dxa" w:w="2880"/>
          </w:tcPr>
          <w:p>
            <w:r/>
            <w:r>
              <w:rPr>
                <w:rFonts w:ascii="Calibri" w:hAnsi="Calibri"/>
                <w:color w:val="0F172A"/>
                <w:sz w:val="18"/>
              </w:rPr>
              <w:t>Not accessible to anyone outside CISO team</w:t>
            </w:r>
          </w:p>
        </w:tc>
      </w:tr>
    </w:tbl>
    <w:p/>
    <w:p>
      <w:pPr>
        <w:pStyle w:val="Heading3"/>
      </w:pPr>
      <w:r>
        <w:rPr>
          <w:color w:val="0F172A"/>
          <w:sz w:val="24"/>
        </w:rPr>
        <w:t>3.5.2 Data Flow</w:t>
      </w:r>
    </w:p>
    <w:p>
      <w:pPr>
        <w:shd w:val="clear" w:color="auto" w:fill="F1F5F9"/>
      </w:pPr>
      <w:r>
        <w:rPr>
          <w:rFonts w:ascii="Consolas" w:hAnsi="Consolas"/>
          <w:color w:val="334155"/>
          <w:sz w:val="18"/>
        </w:rPr>
        <w:t>[ Raw OT/IT data ]  →  [ CISO-controlled anonymisation pipeline ]  →  [ Anonymised data lake ]  →  [ GB query interface ]</w:t>
      </w:r>
    </w:p>
    <w:p>
      <w:r>
        <w:rPr>
          <w:rFonts w:ascii="Calibri" w:hAnsi="Calibri"/>
          <w:i/>
          <w:color w:val="334155"/>
          <w:sz w:val="20"/>
        </w:rPr>
        <w:t>The anonymisation pipeline is owned and operated by the CISO's team only. GBs cannot modify the anonymisation pipeline, the data lake, or the query interface. GBs never access raw data — only the post-anonymisation outputs. Anonymisation rules are defined by the CISO and audited quarterly.</w:t>
      </w:r>
    </w:p>
    <w:p/>
    <w:p>
      <w:pPr>
        <w:pStyle w:val="Heading3"/>
      </w:pPr>
      <w:r>
        <w:rPr>
          <w:color w:val="0F172A"/>
          <w:sz w:val="24"/>
        </w:rPr>
        <w:t>3.5.5 Breach Protocol</w:t>
      </w:r>
    </w:p>
    <w:p>
      <w:pPr>
        <w:pStyle w:val="ListBullet"/>
      </w:pPr>
      <w:r>
        <w:rPr>
          <w:sz w:val="22"/>
        </w:rPr>
        <w:t>Immediate access revocation for the offending GB (within 1 hour of detection)</w:t>
      </w:r>
    </w:p>
    <w:p>
      <w:pPr>
        <w:pStyle w:val="ListBullet"/>
      </w:pPr>
      <w:r>
        <w:rPr>
          <w:sz w:val="22"/>
        </w:rPr>
        <w:t>Forensic review by CISO team within 24 hours</w:t>
      </w:r>
    </w:p>
    <w:p>
      <w:pPr>
        <w:pStyle w:val="ListBullet"/>
      </w:pPr>
      <w:r>
        <w:rPr>
          <w:sz w:val="22"/>
        </w:rPr>
        <w:t>Engagement pause pending CISO review</w:t>
      </w:r>
    </w:p>
    <w:p>
      <w:pPr>
        <w:pStyle w:val="ListBullet"/>
      </w:pPr>
      <w:r>
        <w:rPr>
          <w:sz w:val="22"/>
        </w:rPr>
        <w:t>Re-permissioning requires CISO sign-off, Track Lead attestation, and MBB approval</w:t>
      </w:r>
    </w:p>
    <w:p>
      <w:pPr>
        <w:pStyle w:val="ListBullet"/>
      </w:pPr>
      <w:r>
        <w:rPr>
          <w:sz w:val="22"/>
        </w:rPr>
        <w:t>5-Why root-cause added to the next tollgate review</w:t>
      </w:r>
    </w:p>
    <w:p>
      <w:pPr>
        <w:pStyle w:val="ListBullet"/>
      </w:pPr>
      <w:r>
        <w:rPr>
          <w:sz w:val="22"/>
        </w:rPr>
        <w:t>A confirmed breach (not attempted) escalates to Tier 4 and may trigger engagement termination at CISO's discretion</w:t>
      </w:r>
    </w:p>
    <w:p>
      <w:r>
        <w:br w:type="page"/>
      </w:r>
    </w:p>
    <w:p>
      <w:r>
        <w:br w:type="page"/>
      </w:r>
    </w:p>
    <w:p>
      <w:r>
        <w:rPr>
          <w:rFonts w:ascii="Calibri" w:hAnsi="Calibri"/>
          <w:b/>
          <w:color w:val="1E40AF"/>
          <w:sz w:val="40"/>
        </w:rPr>
        <w:t>Section 4 — DMAIC Methodology</w:t>
      </w:r>
    </w:p>
    <w:p>
      <w:pPr>
        <w:pBdr>
          <w:bottom w:val="single" w:sz="6" w:space="1" w:color="CBD5E1"/>
        </w:pBdr>
      </w:pPr>
    </w:p>
    <w:p/>
    <w:p>
      <w:r>
        <w:rPr>
          <w:rFonts w:ascii="Calibri" w:hAnsi="Calibri"/>
          <w:b/>
          <w:sz w:val="22"/>
        </w:rPr>
        <w:t>Section status:</w:t>
      </w:r>
      <w:r>
        <w:rPr>
          <w:rFonts w:ascii="Calibri" w:hAnsi="Calibri"/>
          <w:sz w:val="22"/>
        </w:rPr>
        <w:t xml:space="preserve"> Draft for review</w:t>
      </w:r>
    </w:p>
    <w:p>
      <w:r>
        <w:rPr>
          <w:rFonts w:ascii="Calibri" w:hAnsi="Calibri"/>
          <w:b/>
          <w:sz w:val="22"/>
        </w:rPr>
        <w:t>Reviewer:</w:t>
      </w:r>
      <w:r>
        <w:rPr>
          <w:rFonts w:ascii="Calibri" w:hAnsi="Calibri"/>
          <w:sz w:val="22"/>
        </w:rPr>
        <w:t xml:space="preserve"> Olivia Key (MBB)</w:t>
      </w:r>
    </w:p>
    <w:p>
      <w:r>
        <w:rPr>
          <w:rFonts w:ascii="Calibri" w:hAnsi="Calibri"/>
          <w:b/>
          <w:sz w:val="22"/>
        </w:rPr>
        <w:t>Source:</w:t>
      </w:r>
      <w:r>
        <w:rPr>
          <w:rFonts w:ascii="Calibri" w:hAnsi="Calibri"/>
          <w:sz w:val="22"/>
        </w:rPr>
        <w:t xml:space="preserve"> </w:t>
      </w:r>
      <w:r>
        <w:rPr>
          <w:rFonts w:ascii="Consolas" w:hAnsi="Consolas"/>
          <w:color w:val="334155"/>
          <w:sz w:val="20"/>
        </w:rPr>
        <w:t>context/00-original-input.md</w:t>
      </w:r>
      <w:r>
        <w:rPr>
          <w:rFonts w:ascii="Calibri" w:hAnsi="Calibri"/>
          <w:sz w:val="22"/>
        </w:rPr>
        <w:t xml:space="preserve"> (DMAIC breakdown, cross-referenced with §1 sub-process targets and §2 exposure classes)</w:t>
      </w:r>
    </w:p>
    <w:p>
      <w:r>
        <w:rPr>
          <w:rFonts w:ascii="Calibri" w:hAnsi="Calibri"/>
          <w:b/>
          <w:sz w:val="22"/>
        </w:rPr>
        <w:t>Emphasis:</w:t>
      </w:r>
      <w:r>
        <w:rPr>
          <w:rFonts w:ascii="Calibri" w:hAnsi="Calibri"/>
          <w:sz w:val="22"/>
        </w:rPr>
        <w:t xml:space="preserve"> Each DMAIC phase is structured around (1) phase objective, (2) data-blind adaptation, (3) track allocation, (4) tollgate deliverable, and (5) cross-references to the engagement's exposure classes and sub-process capability targets.</w:t>
      </w:r>
    </w:p>
    <w:p>
      <w:pPr>
        <w:pBdr>
          <w:bottom w:val="single" w:sz="6" w:space="1" w:color="CBD5E1"/>
        </w:pBdr>
      </w:pPr>
    </w:p>
    <w:p>
      <w:r>
        <w:rPr>
          <w:rFonts w:ascii="Calibri" w:hAnsi="Calibri"/>
          <w:b/>
          <w:color w:val="0F172A"/>
          <w:sz w:val="28"/>
        </w:rPr>
        <w:t>4.1 DMAIC as the Engagement Methodology</w:t>
      </w:r>
    </w:p>
    <w:p>
      <w:r>
        <w:rPr>
          <w:rFonts w:ascii="Calibri" w:hAnsi="Calibri"/>
          <w:sz w:val="22"/>
        </w:rPr>
        <w:t>DMAIC (Define, Measure, Analyse, Improve, Control) is the analytical engine for the engagement. It is applied to the IT/OT convergence stack with the cell manufacturing value stream (mixing → coating → assembly → electrolyte injection → formation &amp; aging → grading) as the unit of analysis.</w:t>
      </w:r>
    </w:p>
    <w:p>
      <w:r>
        <w:rPr>
          <w:rFonts w:ascii="Calibri" w:hAnsi="Calibri"/>
          <w:sz w:val="22"/>
        </w:rPr>
        <w:t>The methodology is data-blind: the 19 Green Belts manipulate data ratios, time-based deltas, compliance percentages, defect rates, and capability indices — not raw IP addresses, hostnames, or proprietary configurations. The CISO's team operates the anonymisation pipeline (§3.5); GBs query only post-anonymisation outputs.</w:t>
      </w:r>
    </w:p>
    <w:p>
      <w:r>
        <w:rPr>
          <w:rFonts w:ascii="Calibri" w:hAnsi="Calibri"/>
          <w:b/>
          <w:sz w:val="22"/>
        </w:rPr>
        <w:t>The methodology's purpose</w:t>
      </w:r>
      <w:r>
        <w:rPr>
          <w:rFonts w:ascii="Calibri" w:hAnsi="Calibri"/>
          <w:sz w:val="22"/>
        </w:rPr>
        <w:t xml:space="preserve"> is to convert the engagement-level target (Z ≥ 6.0 capability for cyber-induced downtime, 0.002 DPMO short-term / 3.4 DPMO with the 1.5σ long-term drift shift — theoretical Six Sigma) into operational, statistically-validated sub-process controls — and to demonstrate, at each tollgate, that the engagement is moving the capability indices in the right direction.</w:t>
      </w:r>
    </w:p>
    <w:p>
      <w:pPr>
        <w:pBdr>
          <w:bottom w:val="single" w:sz="6" w:space="1" w:color="CBD5E1"/>
        </w:pBdr>
      </w:pPr>
    </w:p>
    <w:p>
      <w:r>
        <w:rPr>
          <w:rFonts w:ascii="Calibri" w:hAnsi="Calibri"/>
          <w:b/>
          <w:color w:val="0F172A"/>
          <w:sz w:val="28"/>
        </w:rPr>
        <w:t>4.2 DEFINE Phase (Weeks 1–3, Tollgate G1)</w:t>
      </w:r>
    </w:p>
    <w:p>
      <w:r>
        <w:rPr>
          <w:rFonts w:ascii="Calibri" w:hAnsi="Calibri"/>
          <w:b/>
          <w:color w:val="0F172A"/>
          <w:sz w:val="24"/>
        </w:rPr>
        <w:t>4.2.1 Phase Objective</w:t>
      </w:r>
    </w:p>
    <w:p>
      <w:r>
        <w:rPr>
          <w:rFonts w:ascii="Calibri" w:hAnsi="Calibri"/>
          <w:sz w:val="22"/>
        </w:rPr>
        <w:t>Define the boundaries of the "zero cyber-induced downtime" goal, align the 19 Green Belts on what constitutes a cyber-induced process defect, and establish the data-blind governance protocol.</w:t>
      </w:r>
    </w:p>
    <w:p>
      <w:r>
        <w:rPr>
          <w:rFonts w:ascii="Calibri" w:hAnsi="Calibri"/>
          <w:b/>
          <w:color w:val="0F172A"/>
          <w:sz w:val="24"/>
        </w:rPr>
        <w:t>4.2.2 Defect Definition (operational)</w:t>
      </w:r>
    </w:p>
    <w:p>
      <w:r>
        <w:rPr>
          <w:rFonts w:ascii="Calibri" w:hAnsi="Calibri"/>
          <w:sz w:val="22"/>
        </w:rPr>
        <w:t xml:space="preserve">A </w:t>
      </w:r>
      <w:r>
        <w:rPr>
          <w:rFonts w:ascii="Calibri" w:hAnsi="Calibri"/>
          <w:b/>
          <w:sz w:val="22"/>
        </w:rPr>
        <w:t>cyber-induced process defect</w:t>
      </w:r>
      <w:r>
        <w:rPr>
          <w:rFonts w:ascii="Calibri" w:hAnsi="Calibri"/>
          <w:sz w:val="22"/>
        </w:rPr>
        <w:t xml:space="preserve"> is any of the following on a protected EV cell production line:</w:t>
      </w:r>
    </w:p>
    <w:p>
      <w:pPr>
        <w:pStyle w:val="ListBullet"/>
      </w:pPr>
      <w:r>
        <w:rPr>
          <w:rFonts w:ascii="Calibri" w:hAnsi="Calibri"/>
          <w:b/>
          <w:sz w:val="22"/>
        </w:rPr>
        <w:t>Hard stop</w:t>
      </w:r>
      <w:r>
        <w:rPr>
          <w:rFonts w:ascii="Calibri" w:hAnsi="Calibri"/>
          <w:sz w:val="22"/>
        </w:rPr>
        <w:t xml:space="preserve"> — unplanned halt of a line controller traceable to unauthorised digital intrusion, malware, ransomware, wiper, or vendor remote-access breach</w:t>
      </w:r>
    </w:p>
    <w:p>
      <w:pPr>
        <w:pStyle w:val="ListBullet"/>
      </w:pPr>
      <w:r>
        <w:rPr>
          <w:rFonts w:ascii="Calibri" w:hAnsi="Calibri"/>
          <w:b/>
          <w:sz w:val="22"/>
        </w:rPr>
        <w:t>Soft corruption</w:t>
      </w:r>
      <w:r>
        <w:rPr>
          <w:rFonts w:ascii="Calibri" w:hAnsi="Calibri"/>
          <w:sz w:val="22"/>
        </w:rPr>
        <w:t xml:space="preserve"> — modification of process parameters (formation profiles, coating weights, dosing volumes, calibration constants) without triggering a halt; cells pass inspection but degrade or fail in the field</w:t>
      </w:r>
    </w:p>
    <w:p>
      <w:pPr>
        <w:pStyle w:val="ListBullet"/>
      </w:pPr>
      <w:r>
        <w:rPr>
          <w:rFonts w:ascii="Calibri" w:hAnsi="Calibri"/>
          <w:b/>
          <w:sz w:val="22"/>
        </w:rPr>
        <w:t>Safety incident</w:t>
      </w:r>
      <w:r>
        <w:rPr>
          <w:rFonts w:ascii="Calibri" w:hAnsi="Calibri"/>
          <w:sz w:val="22"/>
        </w:rPr>
        <w:t xml:space="preserve"> — thermal runaway, fire, hazardous release, or life-safety event traceable to cyber compromise of a safety-critical control system</w:t>
      </w:r>
    </w:p>
    <w:p>
      <w:pPr>
        <w:pStyle w:val="ListBullet"/>
      </w:pPr>
      <w:r>
        <w:rPr>
          <w:rFonts w:ascii="Calibri" w:hAnsi="Calibri"/>
          <w:b/>
          <w:sz w:val="22"/>
        </w:rPr>
        <w:t>Data exfiltration</w:t>
      </w:r>
      <w:r>
        <w:rPr>
          <w:rFonts w:ascii="Calibri" w:hAnsi="Calibri"/>
          <w:sz w:val="22"/>
        </w:rPr>
        <w:t xml:space="preserve"> — confirmed or strongly-suspected theft of formation recipes, electrolyte formulations, cell designs, or other proprietary chemistry IP via cyber vector</w:t>
      </w:r>
    </w:p>
    <w:p>
      <w:r>
        <w:rPr>
          <w:rFonts w:ascii="Calibri" w:hAnsi="Calibri"/>
          <w:b/>
          <w:color w:val="0F172A"/>
          <w:sz w:val="24"/>
        </w:rPr>
        <w:t>4.2.3 Project Boundary</w:t>
      </w:r>
    </w:p>
    <w:p>
      <w:pPr>
        <w:shd w:val="clear" w:color="auto" w:fill="F1F5F9"/>
        <w:pBdr>
          <w:top w:val="single" w:sz="4" w:space="4" w:color="E2E8F0"/>
          <w:left w:val="single" w:sz="4" w:space="4" w:color="E2E8F0"/>
          <w:bottom w:val="single" w:sz="4" w:space="4" w:color="E2E8F0"/>
          <w:right w:val="single" w:sz="4" w:space="4" w:color="E2E8F0"/>
        </w:pBdr>
      </w:pPr>
      <w:r>
        <w:rPr>
          <w:rFonts w:ascii="Consolas" w:hAnsi="Consolas"/>
          <w:color w:val="334155"/>
          <w:sz w:val="18"/>
        </w:rPr>
        <w:t>[ External network ingress ]  →  [ MES / IT layer ]  →  [ OT DMZ ]  →  [ Cell line PLCs ]</w:t>
        <w:br/>
      </w:r>
      <w:r>
        <w:rPr>
          <w:rFonts w:ascii="Consolas" w:hAnsi="Consolas"/>
          <w:color w:val="334155"/>
          <w:sz w:val="18"/>
        </w:rPr>
        <w:t xml:space="preserve">       IN-SCOPE                                IN-SCOPE                  IN-SCOPE</w:t>
        <w:br/>
      </w:r>
      <w:r>
        <w:rPr>
          <w:rFonts w:ascii="Consolas" w:hAnsi="Consolas"/>
          <w:color w:val="334155"/>
          <w:sz w:val="18"/>
        </w:rPr>
        <w:t xml:space="preserve">                                                              ↓</w:t>
        <w:br/>
      </w:r>
      <w:r>
        <w:rPr>
          <w:rFonts w:ascii="Consolas" w:hAnsi="Consolas"/>
          <w:color w:val="334155"/>
          <w:sz w:val="18"/>
        </w:rPr>
        <w:t xml:space="preserve">                                                  [ Physical production line ]</w:t>
        <w:br/>
      </w:r>
      <w:r>
        <w:rPr>
          <w:rFonts w:ascii="Consolas" w:hAnsi="Consolas"/>
          <w:color w:val="334155"/>
          <w:sz w:val="18"/>
        </w:rPr>
        <w:t xml:space="preserve">                                                              ↓</w:t>
        <w:br/>
      </w:r>
      <w:r>
        <w:rPr>
          <w:rFonts w:ascii="Consolas" w:hAnsi="Consolas"/>
          <w:color w:val="334155"/>
          <w:sz w:val="18"/>
        </w:rPr>
        <w:t xml:space="preserve">                                                  [ Field-deployed cells ]  →  IN-SCOPE</w:t>
        <w:br/>
      </w:r>
      <w:r>
        <w:rPr>
          <w:rFonts w:ascii="Consolas" w:hAnsi="Consolas"/>
          <w:color w:val="334155"/>
          <w:sz w:val="18"/>
        </w:rPr>
        <w:t xml:space="preserve">                                                                              (silent corruption tail)</w:t>
      </w:r>
    </w:p>
    <w:p>
      <w:r>
        <w:rPr>
          <w:rFonts w:ascii="Calibri" w:hAnsi="Calibri"/>
          <w:b/>
          <w:sz w:val="22"/>
        </w:rPr>
        <w:t>In scope:</w:t>
      </w:r>
      <w:r>
        <w:rPr>
          <w:rFonts w:ascii="Calibri" w:hAnsi="Calibri"/>
          <w:sz w:val="22"/>
        </w:rPr>
        <w:t xml:space="preserve"> external ingress, MES, OT DMZ, cell line PLCs, physical line actions, field-deployed cells (silent corruption tail).</w:t>
      </w:r>
    </w:p>
    <w:p>
      <w:r>
        <w:rPr>
          <w:rFonts w:ascii="Calibri" w:hAnsi="Calibri"/>
          <w:b/>
          <w:sz w:val="22"/>
        </w:rPr>
        <w:t>Out of scope (this engagement):</w:t>
      </w:r>
      <w:r>
        <w:rPr>
          <w:rFonts w:ascii="Calibri" w:hAnsi="Calibri"/>
          <w:sz w:val="22"/>
        </w:rPr>
        <w:t xml:space="preserve"> corporate IT (HR, finance, email — owned by IT Security); customer-facing systems (warranty, telematics — owned by product security); R&amp;D IP outside manufacturing process recipes; physical security; insurance and risk-transfer mechanisms.</w:t>
      </w:r>
    </w:p>
    <w:p>
      <w:r>
        <w:rPr>
          <w:rFonts w:ascii="Calibri" w:hAnsi="Calibri"/>
          <w:b/>
          <w:color w:val="0F172A"/>
          <w:sz w:val="24"/>
        </w:rPr>
        <w:t>4.2.4 Digital Value Stream Mapping (VSM)</w:t>
      </w:r>
    </w:p>
    <w:p>
      <w:r>
        <w:rPr>
          <w:rFonts w:ascii="Calibri" w:hAnsi="Calibri"/>
          <w:sz w:val="22"/>
        </w:rPr>
        <w:t>Track A maps the digital value stream parallel to the physical cell manufacturing value stream:</w:t>
      </w:r>
    </w:p>
    <w:p>
      <w:pPr>
        <w:shd w:val="clear" w:color="auto" w:fill="F1F5F9"/>
        <w:pBdr>
          <w:top w:val="single" w:sz="4" w:space="4" w:color="E2E8F0"/>
          <w:left w:val="single" w:sz="4" w:space="4" w:color="E2E8F0"/>
          <w:bottom w:val="single" w:sz="4" w:space="4" w:color="E2E8F0"/>
          <w:right w:val="single" w:sz="4" w:space="4" w:color="E2E8F0"/>
        </w:pBdr>
      </w:pPr>
      <w:r>
        <w:rPr>
          <w:rFonts w:ascii="Consolas" w:hAnsi="Consolas"/>
          <w:color w:val="334155"/>
          <w:sz w:val="18"/>
        </w:rPr>
        <w:t>[1. Slurry Mixing] → [2. Electrode Coating] → [3. Cell Assembly] → [4. Electrolyte Injection] → [5. Formation &amp; Aging] → [6. Grading &amp; Sorting]</w:t>
        <w:br/>
      </w:r>
      <w:r>
        <w:rPr>
          <w:rFonts w:ascii="Consolas" w:hAnsi="Consolas"/>
          <w:color w:val="334155"/>
          <w:sz w:val="18"/>
        </w:rPr>
        <w:t xml:space="preserve">      ↕                       ↕                       ↕                          ↕                            ↕                          ↕</w:t>
        <w:br/>
      </w:r>
      <w:r>
        <w:rPr>
          <w:rFonts w:ascii="Consolas" w:hAnsi="Consolas"/>
          <w:color w:val="334155"/>
          <w:sz w:val="18"/>
        </w:rPr>
        <w:t>[ Digital VSM ]         [ Digital VSM ]         [ Digital VSM ]            [ Digital VSM ]              [ Digital VSM ]            [ Digital VSM ]</w:t>
        <w:br/>
      </w:r>
      <w:r>
        <w:rPr>
          <w:rFonts w:ascii="Consolas" w:hAnsi="Consolas"/>
          <w:color w:val="334155"/>
          <w:sz w:val="18"/>
        </w:rPr>
        <w:t xml:space="preserve">      ↕                       ↕                       ↕                          ↕                            ↕                          ↕</w:t>
        <w:br/>
      </w:r>
      <w:r>
        <w:rPr>
          <w:rFonts w:ascii="Consolas" w:hAnsi="Consolas"/>
          <w:color w:val="334155"/>
          <w:sz w:val="18"/>
        </w:rPr>
        <w:t xml:space="preserve">   OT network              OT network              OT network                 OT network                   OT network                 OT network</w:t>
        <w:br/>
      </w:r>
      <w:r>
        <w:rPr>
          <w:rFonts w:ascii="Consolas" w:hAnsi="Consolas"/>
          <w:color w:val="334155"/>
          <w:sz w:val="18"/>
        </w:rPr>
        <w:t xml:space="preserve">   (Levels 0-1)            (Levels 1-2)            (Levels 2-3)               (Levels 2-3)                 (Levels 3-4)               (Levels 3-4)</w:t>
      </w:r>
    </w:p>
    <w:p>
      <w:r>
        <w:rPr>
          <w:rFonts w:ascii="Calibri" w:hAnsi="Calibri"/>
          <w:sz w:val="22"/>
        </w:rPr>
        <w:t>The Digital VSM identifies, for each physical process step: which OT systems are involved, what data flows cross the IT/OT boundary, where MES-to-PLC commands originate, and which authentication/authorisation points exist. This is the structural map for all subsequent FMEA, control design, and incident response.</w:t>
      </w:r>
    </w:p>
    <w:p>
      <w:r>
        <w:rPr>
          <w:rFonts w:ascii="Calibri" w:hAnsi="Calibri"/>
          <w:b/>
          <w:color w:val="0F172A"/>
          <w:sz w:val="24"/>
        </w:rPr>
        <w:t>4.2.5 Track Allocation — Define</w:t>
      </w:r>
    </w:p>
    <w:tbl>
      <w:tblPr>
        <w:tblStyle w:val="LightGrid-Accent1"/>
        <w:tblW w:type="auto" w:w="0"/>
        <w:tblLook w:firstColumn="1" w:firstRow="1" w:lastColumn="0" w:lastRow="0" w:noHBand="0" w:noVBand="1" w:val="04A0"/>
      </w:tblPr>
      <w:tblGrid>
        <w:gridCol w:w="3249"/>
        <w:gridCol w:w="3249"/>
        <w:gridCol w:w="3249"/>
      </w:tblGrid>
      <w:tr>
        <w:tc>
          <w:tcPr>
            <w:tcW w:type="dxa" w:w="3249"/>
            <w:shd w:val="clear" w:color="auto" w:fill="1E40AF"/>
          </w:tcPr>
          <w:p>
            <w:r/>
            <w:r>
              <w:rPr>
                <w:rFonts w:ascii="Calibri" w:hAnsi="Calibri"/>
                <w:b/>
                <w:color w:val="FFFFFF"/>
                <w:sz w:val="20"/>
              </w:rPr>
              <w:t>Track</w:t>
            </w:r>
          </w:p>
        </w:tc>
        <w:tc>
          <w:tcPr>
            <w:tcW w:type="dxa" w:w="3249"/>
            <w:shd w:val="clear" w:color="auto" w:fill="1E40AF"/>
          </w:tcPr>
          <w:p>
            <w:r/>
            <w:r>
              <w:rPr>
                <w:rFonts w:ascii="Calibri" w:hAnsi="Calibri"/>
                <w:b/>
                <w:color w:val="FFFFFF"/>
                <w:sz w:val="20"/>
              </w:rPr>
              <w:t>Headcount</w:t>
            </w:r>
          </w:p>
        </w:tc>
        <w:tc>
          <w:tcPr>
            <w:tcW w:type="dxa" w:w="3249"/>
            <w:shd w:val="clear" w:color="auto" w:fill="1E40AF"/>
          </w:tcPr>
          <w:p>
            <w:r/>
            <w:r>
              <w:rPr>
                <w:rFonts w:ascii="Calibri" w:hAnsi="Calibri"/>
                <w:b/>
                <w:color w:val="FFFFFF"/>
                <w:sz w:val="20"/>
              </w:rPr>
              <w:t>Define-phase activities</w:t>
            </w:r>
          </w:p>
        </w:tc>
      </w:tr>
      <w:tr>
        <w:tc>
          <w:tcPr>
            <w:tcW w:type="dxa" w:w="3249"/>
          </w:tcPr>
          <w:p>
            <w:r/>
            <w:r>
              <w:rPr>
                <w:rFonts w:ascii="Calibri" w:hAnsi="Calibri"/>
                <w:color w:val="0F172A"/>
                <w:sz w:val="18"/>
              </w:rPr>
              <w:t>Track A (Architecture)</w:t>
            </w:r>
          </w:p>
        </w:tc>
        <w:tc>
          <w:tcPr>
            <w:tcW w:type="dxa" w:w="3249"/>
          </w:tcPr>
          <w:p>
            <w:r/>
            <w:r>
              <w:rPr>
                <w:rFonts w:ascii="Calibri" w:hAnsi="Calibri"/>
                <w:color w:val="0F172A"/>
                <w:sz w:val="18"/>
              </w:rPr>
              <w:t>6</w:t>
            </w:r>
          </w:p>
        </w:tc>
        <w:tc>
          <w:tcPr>
            <w:tcW w:type="dxa" w:w="3249"/>
          </w:tcPr>
          <w:p>
            <w:r/>
            <w:r>
              <w:rPr>
                <w:rFonts w:ascii="Calibri" w:hAnsi="Calibri"/>
                <w:color w:val="0F172A"/>
                <w:sz w:val="18"/>
              </w:rPr>
              <w:t>Digital VSM; IT/OT boundary mapping; vendor remote-access inventory; legacy system audit</w:t>
            </w:r>
          </w:p>
        </w:tc>
      </w:tr>
      <w:tr>
        <w:tc>
          <w:tcPr>
            <w:tcW w:type="dxa" w:w="3249"/>
          </w:tcPr>
          <w:p>
            <w:r/>
            <w:r>
              <w:rPr>
                <w:rFonts w:ascii="Calibri" w:hAnsi="Calibri"/>
                <w:color w:val="0F172A"/>
                <w:sz w:val="18"/>
              </w:rPr>
              <w:t>Track B (Data &amp; Metrics)</w:t>
            </w:r>
          </w:p>
        </w:tc>
        <w:tc>
          <w:tcPr>
            <w:tcW w:type="dxa" w:w="3249"/>
          </w:tcPr>
          <w:p>
            <w:r/>
            <w:r>
              <w:rPr>
                <w:rFonts w:ascii="Calibri" w:hAnsi="Calibri"/>
                <w:color w:val="0F172A"/>
                <w:sz w:val="18"/>
              </w:rPr>
              <w:t>7</w:t>
            </w:r>
          </w:p>
        </w:tc>
        <w:tc>
          <w:tcPr>
            <w:tcW w:type="dxa" w:w="3249"/>
          </w:tcPr>
          <w:p>
            <w:r/>
            <w:r>
              <w:rPr>
                <w:rFonts w:ascii="Calibri" w:hAnsi="Calibri"/>
                <w:color w:val="0F172A"/>
                <w:sz w:val="18"/>
              </w:rPr>
              <w:t>Data-blind protocol design; anonymised data lake query interface specification; baseline metric definition</w:t>
            </w:r>
          </w:p>
        </w:tc>
      </w:tr>
      <w:tr>
        <w:tc>
          <w:tcPr>
            <w:tcW w:type="dxa" w:w="3249"/>
          </w:tcPr>
          <w:p>
            <w:r/>
            <w:r>
              <w:rPr>
                <w:rFonts w:ascii="Calibri" w:hAnsi="Calibri"/>
                <w:color w:val="0F172A"/>
                <w:sz w:val="18"/>
              </w:rPr>
              <w:t>Track C (Automation)</w:t>
            </w:r>
          </w:p>
        </w:tc>
        <w:tc>
          <w:tcPr>
            <w:tcW w:type="dxa" w:w="3249"/>
          </w:tcPr>
          <w:p>
            <w:r/>
            <w:r>
              <w:rPr>
                <w:rFonts w:ascii="Calibri" w:hAnsi="Calibri"/>
                <w:color w:val="0F172A"/>
                <w:sz w:val="18"/>
              </w:rPr>
              <w:t>6</w:t>
            </w:r>
          </w:p>
        </w:tc>
        <w:tc>
          <w:tcPr>
            <w:tcW w:type="dxa" w:w="3249"/>
          </w:tcPr>
          <w:p>
            <w:r/>
            <w:r>
              <w:rPr>
                <w:rFonts w:ascii="Calibri" w:hAnsi="Calibri"/>
                <w:color w:val="0F172A"/>
                <w:sz w:val="18"/>
              </w:rPr>
              <w:t>Code standards baseline; existing tooling audit; SMED recovery rig specification; AI agent feasibility scoping</w:t>
            </w:r>
          </w:p>
        </w:tc>
      </w:tr>
    </w:tbl>
    <w:p/>
    <w:p>
      <w:r>
        <w:rPr>
          <w:rFonts w:ascii="Calibri" w:hAnsi="Calibri"/>
          <w:b/>
          <w:color w:val="0F172A"/>
          <w:sz w:val="24"/>
        </w:rPr>
        <w:t>4.2.6 Tollgate G1 Deliverable</w:t>
      </w:r>
    </w:p>
    <w:p>
      <w:pPr>
        <w:pStyle w:val="ListBullet"/>
      </w:pPr>
      <w:r>
        <w:rPr>
          <w:rFonts w:ascii="Calibri" w:hAnsi="Calibri"/>
          <w:sz w:val="22"/>
        </w:rPr>
        <w:t>Signed Project Charter (§§1–3 of this document)</w:t>
      </w:r>
    </w:p>
    <w:p>
      <w:pPr>
        <w:pStyle w:val="ListBullet"/>
      </w:pPr>
      <w:r>
        <w:rPr>
          <w:rFonts w:ascii="Calibri" w:hAnsi="Calibri"/>
          <w:sz w:val="22"/>
        </w:rPr>
        <w:t>Digital VSM (Track A)</w:t>
      </w:r>
    </w:p>
    <w:p>
      <w:pPr>
        <w:pStyle w:val="ListBullet"/>
      </w:pPr>
      <w:r>
        <w:rPr>
          <w:rFonts w:ascii="Calibri" w:hAnsi="Calibri"/>
          <w:sz w:val="22"/>
        </w:rPr>
        <w:t>Data-blind SIPOC diagram (Track B)</w:t>
      </w:r>
    </w:p>
    <w:p>
      <w:pPr>
        <w:pStyle w:val="ListBullet"/>
      </w:pPr>
      <w:r>
        <w:rPr>
          <w:rFonts w:ascii="Calibri" w:hAnsi="Calibri"/>
          <w:sz w:val="22"/>
        </w:rPr>
        <w:t>Baseline code standards document (Track C)</w:t>
      </w:r>
    </w:p>
    <w:p>
      <w:pPr>
        <w:pStyle w:val="ListBullet"/>
      </w:pPr>
      <w:r>
        <w:rPr>
          <w:rFonts w:ascii="Calibri" w:hAnsi="Calibri"/>
          <w:sz w:val="22"/>
        </w:rPr>
        <w:t>Data-access governance protocol approved by CISO (§3.5)</w:t>
      </w:r>
    </w:p>
    <w:p>
      <w:pPr>
        <w:pStyle w:val="ListBullet"/>
      </w:pPr>
      <w:r>
        <w:rPr>
          <w:rFonts w:ascii="Calibri" w:hAnsi="Calibri"/>
          <w:sz w:val="22"/>
        </w:rPr>
        <w:t>Draft FMEA structure with process steps and failure-mode categories populated (deferred to Analyse phase for full population)</w:t>
      </w:r>
    </w:p>
    <w:p>
      <w:r>
        <w:rPr>
          <w:rFonts w:ascii="Calibri" w:hAnsi="Calibri"/>
          <w:b/>
          <w:sz w:val="22"/>
        </w:rPr>
        <w:t>CISO sign-off:</w:t>
      </w:r>
      <w:r>
        <w:rPr>
          <w:rFonts w:ascii="Calibri" w:hAnsi="Calibri"/>
          <w:sz w:val="22"/>
        </w:rPr>
        <w:t xml:space="preserve"> approve charter, scope, team allocation, confidentiality protocol.</w:t>
      </w:r>
    </w:p>
    <w:p>
      <w:pPr>
        <w:pBdr>
          <w:bottom w:val="single" w:sz="6" w:space="1" w:color="CBD5E1"/>
        </w:pBdr>
      </w:pPr>
    </w:p>
    <w:p>
      <w:r>
        <w:rPr>
          <w:rFonts w:ascii="Calibri" w:hAnsi="Calibri"/>
          <w:b/>
          <w:color w:val="0F172A"/>
          <w:sz w:val="28"/>
        </w:rPr>
        <w:t>4.3 MEASURE Phase (Weeks 4–5, Tollgate G2)</w:t>
      </w:r>
    </w:p>
    <w:p>
      <w:r>
        <w:rPr>
          <w:rFonts w:ascii="Calibri" w:hAnsi="Calibri"/>
          <w:b/>
          <w:color w:val="0F172A"/>
          <w:sz w:val="24"/>
        </w:rPr>
        <w:t>4.3.1 Phase Objective</w:t>
      </w:r>
    </w:p>
    <w:p>
      <w:r>
        <w:rPr>
          <w:rFonts w:ascii="Calibri" w:hAnsi="Calibri"/>
          <w:sz w:val="22"/>
        </w:rPr>
        <w:t>Establish the anonymised data infrastructure, validate the sub-process capability targets in §1.4.1, and produce the engagement-level capability baseline (Z-score).</w:t>
      </w:r>
    </w:p>
    <w:p>
      <w:r>
        <w:rPr>
          <w:rFonts w:ascii="Calibri" w:hAnsi="Calibri"/>
          <w:b/>
          <w:color w:val="0F172A"/>
          <w:sz w:val="24"/>
        </w:rPr>
        <w:t>4.3.2 Anonymised Data Infrastructure</w:t>
      </w:r>
    </w:p>
    <w:p>
      <w:r>
        <w:rPr>
          <w:rFonts w:ascii="Calibri" w:hAnsi="Calibri"/>
          <w:sz w:val="22"/>
        </w:rPr>
        <w:t>Track B stands up the data pipeline, owned by the CISO's team:</w:t>
      </w:r>
    </w:p>
    <w:p>
      <w:pPr>
        <w:shd w:val="clear" w:color="auto" w:fill="F1F5F9"/>
        <w:pBdr>
          <w:top w:val="single" w:sz="4" w:space="4" w:color="E2E8F0"/>
          <w:left w:val="single" w:sz="4" w:space="4" w:color="E2E8F0"/>
          <w:bottom w:val="single" w:sz="4" w:space="4" w:color="E2E8F0"/>
          <w:right w:val="single" w:sz="4" w:space="4" w:color="E2E8F0"/>
        </w:pBdr>
      </w:pPr>
      <w:r>
        <w:rPr>
          <w:rFonts w:ascii="Consolas" w:hAnsi="Consolas"/>
          <w:color w:val="334155"/>
          <w:sz w:val="18"/>
        </w:rPr>
        <w:t>[ OT/IT raw data ]  →  [ CISO anonymisation pipeline ]  →  [ Anonymised data lake ]  →  [ GB query interface ]</w:t>
      </w:r>
    </w:p>
    <w:p>
      <w:r>
        <w:rPr>
          <w:rFonts w:ascii="Calibri" w:hAnsi="Calibri"/>
          <w:b/>
          <w:sz w:val="22"/>
        </w:rPr>
        <w:t>ALLOWED outputs (Track B queries):</w:t>
      </w:r>
    </w:p>
    <w:p>
      <w:pPr>
        <w:pStyle w:val="ListBullet"/>
      </w:pPr>
      <w:r>
        <w:rPr>
          <w:rFonts w:ascii="Calibri" w:hAnsi="Calibri"/>
          <w:sz w:val="22"/>
        </w:rPr>
        <w:t>Time deltas (seconds, minutes, hours) for MTTD / MTTR calculation</w:t>
      </w:r>
    </w:p>
    <w:p>
      <w:pPr>
        <w:pStyle w:val="ListBullet"/>
      </w:pPr>
      <w:r>
        <w:rPr>
          <w:rFonts w:ascii="Calibri" w:hAnsi="Calibri"/>
          <w:sz w:val="22"/>
        </w:rPr>
        <w:t>Compliance percentages (patch, MFA, encryption, access reviews)</w:t>
      </w:r>
    </w:p>
    <w:p>
      <w:pPr>
        <w:pStyle w:val="ListBullet"/>
      </w:pPr>
      <w:r>
        <w:rPr>
          <w:rFonts w:ascii="Calibri" w:hAnsi="Calibri"/>
          <w:sz w:val="22"/>
        </w:rPr>
        <w:t>Defect rates (per line, per process step, per shift)</w:t>
      </w:r>
    </w:p>
    <w:p>
      <w:pPr>
        <w:pStyle w:val="ListBullet"/>
      </w:pPr>
      <w:r>
        <w:rPr>
          <w:rFonts w:ascii="Calibri" w:hAnsi="Calibri"/>
          <w:sz w:val="22"/>
        </w:rPr>
        <w:t>Capability indices (Cpk, Z-score) computed by Track B's analytics layer</w:t>
      </w:r>
    </w:p>
    <w:p>
      <w:pPr>
        <w:pStyle w:val="ListBullet"/>
      </w:pPr>
      <w:r>
        <w:rPr>
          <w:rFonts w:ascii="Calibri" w:hAnsi="Calibri"/>
          <w:sz w:val="22"/>
        </w:rPr>
        <w:t>Traffic volumes (aggregate, not per-flow)</w:t>
      </w:r>
    </w:p>
    <w:p>
      <w:pPr>
        <w:pStyle w:val="ListBullet"/>
      </w:pPr>
      <w:r>
        <w:rPr>
          <w:rFonts w:ascii="Calibri" w:hAnsi="Calibri"/>
          <w:sz w:val="22"/>
        </w:rPr>
        <w:t>Anonymised incident counts (no asset identifiers)</w:t>
      </w:r>
    </w:p>
    <w:p>
      <w:r>
        <w:rPr>
          <w:rFonts w:ascii="Calibri" w:hAnsi="Calibri"/>
          <w:b/>
          <w:color w:val="0F172A"/>
          <w:sz w:val="24"/>
        </w:rPr>
        <w:t>4.3.3 Sub-Process Baseline Measurement</w:t>
      </w:r>
    </w:p>
    <w:p>
      <w:r>
        <w:rPr>
          <w:rFonts w:ascii="Calibri" w:hAnsi="Calibri"/>
          <w:sz w:val="22"/>
        </w:rPr>
        <w:t>Track B measures each sub-process identified in §1.4.1 and produces baseline distributions. The capability targets are not assumed; they are validated against the actual anonymised process data.</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shd w:val="clear" w:color="auto" w:fill="1E40AF"/>
          </w:tcPr>
          <w:p>
            <w:r/>
            <w:r>
              <w:rPr>
                <w:rFonts w:ascii="Calibri" w:hAnsi="Calibri"/>
                <w:b/>
                <w:color w:val="FFFFFF"/>
                <w:sz w:val="20"/>
              </w:rPr>
              <w:t>Sub-process</w:t>
            </w:r>
          </w:p>
        </w:tc>
        <w:tc>
          <w:tcPr>
            <w:tcW w:type="dxa" w:w="2436"/>
            <w:shd w:val="clear" w:color="auto" w:fill="1E40AF"/>
          </w:tcPr>
          <w:p>
            <w:r/>
            <w:r>
              <w:rPr>
                <w:rFonts w:ascii="Calibri" w:hAnsi="Calibri"/>
                <w:b/>
                <w:color w:val="FFFFFF"/>
                <w:sz w:val="20"/>
              </w:rPr>
              <w:t>Operational metric</w:t>
            </w:r>
          </w:p>
        </w:tc>
        <w:tc>
          <w:tcPr>
            <w:tcW w:type="dxa" w:w="2436"/>
            <w:shd w:val="clear" w:color="auto" w:fill="1E40AF"/>
          </w:tcPr>
          <w:p>
            <w:r/>
            <w:r>
              <w:rPr>
                <w:rFonts w:ascii="Calibri" w:hAnsi="Calibri"/>
                <w:b/>
                <w:color w:val="FFFFFF"/>
                <w:sz w:val="20"/>
              </w:rPr>
              <w:t>Baseline measurement</w:t>
            </w:r>
          </w:p>
        </w:tc>
        <w:tc>
          <w:tcPr>
            <w:tcW w:type="dxa" w:w="2436"/>
            <w:shd w:val="clear" w:color="auto" w:fill="1E40AF"/>
          </w:tcPr>
          <w:p>
            <w:r/>
            <w:r>
              <w:rPr>
                <w:rFonts w:ascii="Calibri" w:hAnsi="Calibri"/>
                <w:b/>
                <w:color w:val="FFFFFF"/>
                <w:sz w:val="20"/>
              </w:rPr>
              <w:t>Target (from §1.4.1)</w:t>
            </w:r>
          </w:p>
        </w:tc>
      </w:tr>
      <w:tr>
        <w:tc>
          <w:tcPr>
            <w:tcW w:type="dxa" w:w="2436"/>
          </w:tcPr>
          <w:p>
            <w:r/>
            <w:r>
              <w:rPr>
                <w:rFonts w:ascii="Calibri" w:hAnsi="Calibri"/>
                <w:color w:val="0F172A"/>
                <w:sz w:val="18"/>
              </w:rPr>
              <w:t>Detection — known signatures</w:t>
            </w:r>
          </w:p>
        </w:tc>
        <w:tc>
          <w:tcPr>
            <w:tcW w:type="dxa" w:w="2436"/>
          </w:tcPr>
          <w:p>
            <w:r/>
            <w:r>
              <w:rPr>
                <w:rFonts w:ascii="Calibri" w:hAnsi="Calibri"/>
                <w:color w:val="0F172A"/>
                <w:sz w:val="18"/>
              </w:rPr>
              <w:t>MTTD (sec)</w:t>
            </w:r>
          </w:p>
        </w:tc>
        <w:tc>
          <w:tcPr>
            <w:tcW w:type="dxa" w:w="2436"/>
          </w:tcPr>
          <w:p>
            <w:r/>
            <w:r>
              <w:rPr>
                <w:rFonts w:ascii="Calibri" w:hAnsi="Calibri"/>
                <w:color w:val="0F172A"/>
                <w:sz w:val="18"/>
              </w:rPr>
              <w:t>distribution from SIEM rule firings</w:t>
            </w:r>
          </w:p>
        </w:tc>
        <w:tc>
          <w:tcPr>
            <w:tcW w:type="dxa" w:w="2436"/>
          </w:tcPr>
          <w:p>
            <w:r/>
            <w:r>
              <w:rPr>
                <w:rFonts w:ascii="Calibri" w:hAnsi="Calibri"/>
                <w:b/>
                <w:color w:val="0F172A"/>
                <w:sz w:val="18"/>
              </w:rPr>
              <w:t>Cpk ≥ 2.0, Z ≥ 6.0</w:t>
            </w:r>
          </w:p>
        </w:tc>
      </w:tr>
      <w:tr>
        <w:tc>
          <w:tcPr>
            <w:tcW w:type="dxa" w:w="2436"/>
          </w:tcPr>
          <w:p>
            <w:r/>
            <w:r>
              <w:rPr>
                <w:rFonts w:ascii="Calibri" w:hAnsi="Calibri"/>
                <w:color w:val="0F172A"/>
                <w:sz w:val="18"/>
              </w:rPr>
              <w:t>Detection — novel OT anomalies</w:t>
            </w:r>
          </w:p>
        </w:tc>
        <w:tc>
          <w:tcPr>
            <w:tcW w:type="dxa" w:w="2436"/>
          </w:tcPr>
          <w:p>
            <w:r/>
            <w:r>
              <w:rPr>
                <w:rFonts w:ascii="Calibri" w:hAnsi="Calibri"/>
                <w:color w:val="0F172A"/>
                <w:sz w:val="18"/>
              </w:rPr>
              <w:t>MTTD (min)</w:t>
            </w:r>
          </w:p>
        </w:tc>
        <w:tc>
          <w:tcPr>
            <w:tcW w:type="dxa" w:w="2436"/>
          </w:tcPr>
          <w:p>
            <w:r/>
            <w:r>
              <w:rPr>
                <w:rFonts w:ascii="Calibri" w:hAnsi="Calibri"/>
                <w:color w:val="0F172A"/>
                <w:sz w:val="18"/>
              </w:rPr>
              <w:t>distribution from AI-augmented alerts</w:t>
            </w:r>
          </w:p>
        </w:tc>
        <w:tc>
          <w:tcPr>
            <w:tcW w:type="dxa" w:w="2436"/>
          </w:tcPr>
          <w:p>
            <w:r/>
            <w:r>
              <w:rPr>
                <w:rFonts w:ascii="Calibri" w:hAnsi="Calibri"/>
                <w:b/>
                <w:color w:val="0F172A"/>
                <w:sz w:val="18"/>
              </w:rPr>
              <w:t>Cpk ≥ 2.0, Z ≥ 6.0</w:t>
            </w:r>
          </w:p>
        </w:tc>
      </w:tr>
      <w:tr>
        <w:tc>
          <w:tcPr>
            <w:tcW w:type="dxa" w:w="2436"/>
          </w:tcPr>
          <w:p>
            <w:r/>
            <w:r>
              <w:rPr>
                <w:rFonts w:ascii="Calibri" w:hAnsi="Calibri"/>
                <w:color w:val="0F172A"/>
                <w:sz w:val="18"/>
              </w:rPr>
              <w:t>Response — hard stop</w:t>
            </w:r>
          </w:p>
        </w:tc>
        <w:tc>
          <w:tcPr>
            <w:tcW w:type="dxa" w:w="2436"/>
          </w:tcPr>
          <w:p>
            <w:r/>
            <w:r>
              <w:rPr>
                <w:rFonts w:ascii="Calibri" w:hAnsi="Calibri"/>
                <w:color w:val="0F172A"/>
                <w:sz w:val="18"/>
              </w:rPr>
              <w:t>MTTR (hours)</w:t>
            </w:r>
          </w:p>
        </w:tc>
        <w:tc>
          <w:tcPr>
            <w:tcW w:type="dxa" w:w="2436"/>
          </w:tcPr>
          <w:p>
            <w:r/>
            <w:r>
              <w:rPr>
                <w:rFonts w:ascii="Calibri" w:hAnsi="Calibri"/>
                <w:color w:val="0F172A"/>
                <w:sz w:val="18"/>
              </w:rPr>
              <w:t>distribution from IR cycle timestamps</w:t>
            </w:r>
          </w:p>
        </w:tc>
        <w:tc>
          <w:tcPr>
            <w:tcW w:type="dxa" w:w="2436"/>
          </w:tcPr>
          <w:p>
            <w:r/>
            <w:r>
              <w:rPr>
                <w:rFonts w:ascii="Calibri" w:hAnsi="Calibri"/>
                <w:b/>
                <w:color w:val="0F172A"/>
                <w:sz w:val="18"/>
              </w:rPr>
              <w:t>Cpk ≥ 2.0, Z ≥ 6.0</w:t>
            </w:r>
          </w:p>
        </w:tc>
      </w:tr>
      <w:tr>
        <w:tc>
          <w:tcPr>
            <w:tcW w:type="dxa" w:w="2436"/>
          </w:tcPr>
          <w:p>
            <w:r/>
            <w:r>
              <w:rPr>
                <w:rFonts w:ascii="Calibri" w:hAnsi="Calibri"/>
                <w:color w:val="0F172A"/>
                <w:sz w:val="18"/>
              </w:rPr>
              <w:t>Response — silent corruption</w:t>
            </w:r>
          </w:p>
        </w:tc>
        <w:tc>
          <w:tcPr>
            <w:tcW w:type="dxa" w:w="2436"/>
          </w:tcPr>
          <w:p>
            <w:r/>
            <w:r>
              <w:rPr>
                <w:rFonts w:ascii="Calibri" w:hAnsi="Calibri"/>
                <w:color w:val="0F172A"/>
                <w:sz w:val="18"/>
              </w:rPr>
              <w:t>MTTR (hours)</w:t>
            </w:r>
          </w:p>
        </w:tc>
        <w:tc>
          <w:tcPr>
            <w:tcW w:type="dxa" w:w="2436"/>
          </w:tcPr>
          <w:p>
            <w:r/>
            <w:r>
              <w:rPr>
                <w:rFonts w:ascii="Calibri" w:hAnsi="Calibri"/>
                <w:color w:val="0F172A"/>
                <w:sz w:val="18"/>
              </w:rPr>
              <w:t>distribution from forensics + rollback</w:t>
            </w:r>
          </w:p>
        </w:tc>
        <w:tc>
          <w:tcPr>
            <w:tcW w:type="dxa" w:w="2436"/>
          </w:tcPr>
          <w:p>
            <w:r/>
            <w:r>
              <w:rPr>
                <w:rFonts w:ascii="Calibri" w:hAnsi="Calibri"/>
                <w:b/>
                <w:color w:val="0F172A"/>
                <w:sz w:val="18"/>
              </w:rPr>
              <w:t>Cpk ≥ 2.0, Z ≥ 6.0</w:t>
            </w:r>
          </w:p>
        </w:tc>
      </w:tr>
      <w:tr>
        <w:tc>
          <w:tcPr>
            <w:tcW w:type="dxa" w:w="2436"/>
          </w:tcPr>
          <w:p>
            <w:r/>
            <w:r>
              <w:rPr>
                <w:rFonts w:ascii="Calibri" w:hAnsi="Calibri"/>
                <w:color w:val="0F172A"/>
                <w:sz w:val="18"/>
              </w:rPr>
              <w:t>Prevention (patch)</w:t>
            </w:r>
          </w:p>
        </w:tc>
        <w:tc>
          <w:tcPr>
            <w:tcW w:type="dxa" w:w="2436"/>
          </w:tcPr>
          <w:p>
            <w:r/>
            <w:r>
              <w:rPr>
                <w:rFonts w:ascii="Calibri" w:hAnsi="Calibri"/>
                <w:color w:val="0F172A"/>
                <w:sz w:val="18"/>
              </w:rPr>
              <w:t>% compliant in window</w:t>
            </w:r>
          </w:p>
        </w:tc>
        <w:tc>
          <w:tcPr>
            <w:tcW w:type="dxa" w:w="2436"/>
          </w:tcPr>
          <w:p>
            <w:r/>
            <w:r>
              <w:rPr>
                <w:rFonts w:ascii="Calibri" w:hAnsi="Calibri"/>
                <w:color w:val="0F172A"/>
                <w:sz w:val="18"/>
              </w:rPr>
              <w:t>distribution from patch management</w:t>
            </w:r>
          </w:p>
        </w:tc>
        <w:tc>
          <w:tcPr>
            <w:tcW w:type="dxa" w:w="2436"/>
          </w:tcPr>
          <w:p>
            <w:r/>
            <w:r>
              <w:rPr>
                <w:rFonts w:ascii="Calibri" w:hAnsi="Calibri"/>
                <w:b/>
                <w:color w:val="0F172A"/>
                <w:sz w:val="18"/>
              </w:rPr>
              <w:t>Cpk ≥ 2.0, Z ≥ 6.0</w:t>
            </w:r>
          </w:p>
        </w:tc>
      </w:tr>
    </w:tbl>
    <w:p/>
    <w:p>
      <w:r>
        <w:rPr>
          <w:rFonts w:ascii="Calibri" w:hAnsi="Calibri"/>
          <w:b/>
          <w:sz w:val="22"/>
        </w:rPr>
        <w:t>Gage R&amp;R validation:</w:t>
      </w:r>
      <w:r>
        <w:rPr>
          <w:rFonts w:ascii="Calibri" w:hAnsi="Calibri"/>
          <w:sz w:val="22"/>
        </w:rPr>
        <w:t xml:space="preserve"> Track B validates that the anonymised metrics are reproducible across different operators and tooling configurations. A Gage R&amp;R &lt; 30% is required for the baseline to be accepted at G2.</w:t>
      </w:r>
    </w:p>
    <w:p>
      <w:r>
        <w:rPr>
          <w:rFonts w:ascii="Calibri" w:hAnsi="Calibri"/>
          <w:b/>
          <w:color w:val="0F172A"/>
          <w:sz w:val="24"/>
        </w:rPr>
        <w:t>4.3.4 Engagement-Level Capability Baseline</w:t>
      </w:r>
    </w:p>
    <w:p>
      <w:r>
        <w:rPr>
          <w:rFonts w:ascii="Calibri" w:hAnsi="Calibri"/>
          <w:sz w:val="22"/>
        </w:rPr>
        <w:t>Track B computes the engagement-level Z-score from the sub-process baselines:</w:t>
      </w:r>
    </w:p>
    <w:p>
      <w:pPr>
        <w:shd w:val="clear" w:color="auto" w:fill="F1F5F9"/>
        <w:pBdr>
          <w:top w:val="single" w:sz="4" w:space="4" w:color="E2E8F0"/>
          <w:left w:val="single" w:sz="4" w:space="4" w:color="E2E8F0"/>
          <w:bottom w:val="single" w:sz="4" w:space="4" w:color="E2E8F0"/>
          <w:right w:val="single" w:sz="4" w:space="4" w:color="E2E8F0"/>
        </w:pBdr>
      </w:pPr>
      <w:r>
        <w:rPr>
          <w:rFonts w:ascii="Consolas" w:hAnsi="Consolas"/>
          <w:color w:val="334155"/>
          <w:sz w:val="18"/>
        </w:rPr>
        <w:t>Z_engagement = min(Z_detection, Z_response, Z_prevention)   (conservative)</w:t>
        <w:br/>
      </w:r>
      <w:r>
        <w:rPr>
          <w:rFonts w:ascii="Consolas" w:hAnsi="Consolas"/>
          <w:color w:val="334155"/>
          <w:sz w:val="18"/>
        </w:rPr>
        <w:t xml:space="preserve">             = weighted_function(Z_detection, Z_response, Z_prevention)   (alternative)</w:t>
      </w:r>
    </w:p>
    <w:p>
      <w:r>
        <w:rPr>
          <w:rFonts w:ascii="Calibri" w:hAnsi="Calibri"/>
          <w:sz w:val="22"/>
        </w:rPr>
        <w:t xml:space="preserve">The current Z-score is </w:t>
      </w:r>
      <w:r>
        <w:rPr>
          <w:rFonts w:ascii="Calibri" w:hAnsi="Calibri"/>
          <w:b/>
          <w:sz w:val="22"/>
        </w:rPr>
        <w:t>expected to be well below 6.0</w:t>
      </w:r>
      <w:r>
        <w:rPr>
          <w:rFonts w:ascii="Calibri" w:hAnsi="Calibri"/>
          <w:sz w:val="22"/>
        </w:rPr>
        <w:t xml:space="preserve"> (industry OT averages are typically Z = 2.0–3.0). The Measure phase establishes the actual baseline so the Improve phase can target the right delta — and at Six Sigma target, the engagement delta is large (ΔZ = 3.0–4.0).</w:t>
      </w:r>
    </w:p>
    <w:p>
      <w:r>
        <w:rPr>
          <w:rFonts w:ascii="Calibri" w:hAnsi="Calibri"/>
          <w:b/>
          <w:color w:val="0F172A"/>
          <w:sz w:val="24"/>
        </w:rPr>
        <w:t>4.3.5 Track Allocation — Measure</w:t>
      </w:r>
    </w:p>
    <w:tbl>
      <w:tblPr>
        <w:tblStyle w:val="LightGrid-Accent1"/>
        <w:tblW w:type="auto" w:w="0"/>
        <w:tblLook w:firstColumn="1" w:firstRow="1" w:lastColumn="0" w:lastRow="0" w:noHBand="0" w:noVBand="1" w:val="04A0"/>
      </w:tblPr>
      <w:tblGrid>
        <w:gridCol w:w="3249"/>
        <w:gridCol w:w="3249"/>
        <w:gridCol w:w="3249"/>
      </w:tblGrid>
      <w:tr>
        <w:tc>
          <w:tcPr>
            <w:tcW w:type="dxa" w:w="3249"/>
            <w:shd w:val="clear" w:color="auto" w:fill="1E40AF"/>
          </w:tcPr>
          <w:p>
            <w:r/>
            <w:r>
              <w:rPr>
                <w:rFonts w:ascii="Calibri" w:hAnsi="Calibri"/>
                <w:b/>
                <w:color w:val="FFFFFF"/>
                <w:sz w:val="20"/>
              </w:rPr>
              <w:t>Track</w:t>
            </w:r>
          </w:p>
        </w:tc>
        <w:tc>
          <w:tcPr>
            <w:tcW w:type="dxa" w:w="3249"/>
            <w:shd w:val="clear" w:color="auto" w:fill="1E40AF"/>
          </w:tcPr>
          <w:p>
            <w:r/>
            <w:r>
              <w:rPr>
                <w:rFonts w:ascii="Calibri" w:hAnsi="Calibri"/>
                <w:b/>
                <w:color w:val="FFFFFF"/>
                <w:sz w:val="20"/>
              </w:rPr>
              <w:t>Headcount</w:t>
            </w:r>
          </w:p>
        </w:tc>
        <w:tc>
          <w:tcPr>
            <w:tcW w:type="dxa" w:w="3249"/>
            <w:shd w:val="clear" w:color="auto" w:fill="1E40AF"/>
          </w:tcPr>
          <w:p>
            <w:r/>
            <w:r>
              <w:rPr>
                <w:rFonts w:ascii="Calibri" w:hAnsi="Calibri"/>
                <w:b/>
                <w:color w:val="FFFFFF"/>
                <w:sz w:val="20"/>
              </w:rPr>
              <w:t>Measure-phase activities</w:t>
            </w:r>
          </w:p>
        </w:tc>
      </w:tr>
      <w:tr>
        <w:tc>
          <w:tcPr>
            <w:tcW w:type="dxa" w:w="3249"/>
          </w:tcPr>
          <w:p>
            <w:r/>
            <w:r>
              <w:rPr>
                <w:rFonts w:ascii="Calibri" w:hAnsi="Calibri"/>
                <w:color w:val="0F172A"/>
                <w:sz w:val="18"/>
              </w:rPr>
              <w:t>Track A</w:t>
            </w:r>
          </w:p>
        </w:tc>
        <w:tc>
          <w:tcPr>
            <w:tcW w:type="dxa" w:w="3249"/>
          </w:tcPr>
          <w:p>
            <w:r/>
            <w:r>
              <w:rPr>
                <w:rFonts w:ascii="Calibri" w:hAnsi="Calibri"/>
                <w:color w:val="0F172A"/>
                <w:sz w:val="18"/>
              </w:rPr>
              <w:t>6</w:t>
            </w:r>
          </w:p>
        </w:tc>
        <w:tc>
          <w:tcPr>
            <w:tcW w:type="dxa" w:w="3249"/>
          </w:tcPr>
          <w:p>
            <w:r/>
            <w:r>
              <w:rPr>
                <w:rFonts w:ascii="Calibri" w:hAnsi="Calibri"/>
                <w:color w:val="0F172A"/>
                <w:sz w:val="18"/>
              </w:rPr>
              <w:t>OT asset inventory completion; vendor remote-access audit; port statistics; baseline network architecture documentation</w:t>
            </w:r>
          </w:p>
        </w:tc>
      </w:tr>
      <w:tr>
        <w:tc>
          <w:tcPr>
            <w:tcW w:type="dxa" w:w="3249"/>
          </w:tcPr>
          <w:p>
            <w:r/>
            <w:r>
              <w:rPr>
                <w:rFonts w:ascii="Calibri" w:hAnsi="Calibri"/>
                <w:color w:val="0F172A"/>
                <w:sz w:val="18"/>
              </w:rPr>
              <w:t>Track B</w:t>
            </w:r>
          </w:p>
        </w:tc>
        <w:tc>
          <w:tcPr>
            <w:tcW w:type="dxa" w:w="3249"/>
          </w:tcPr>
          <w:p>
            <w:r/>
            <w:r>
              <w:rPr>
                <w:rFonts w:ascii="Calibri" w:hAnsi="Calibri"/>
                <w:color w:val="0F172A"/>
                <w:sz w:val="18"/>
              </w:rPr>
              <w:t>7</w:t>
            </w:r>
          </w:p>
        </w:tc>
        <w:tc>
          <w:tcPr>
            <w:tcW w:type="dxa" w:w="3249"/>
          </w:tcPr>
          <w:p>
            <w:r/>
            <w:r>
              <w:rPr>
                <w:rFonts w:ascii="Calibri" w:hAnsi="Calibri"/>
                <w:color w:val="0F172A"/>
                <w:sz w:val="18"/>
              </w:rPr>
              <w:t>Anonymised data lake deployment; baseline metric measurement; Gage R&amp;R validation; capability report</w:t>
            </w:r>
          </w:p>
        </w:tc>
      </w:tr>
      <w:tr>
        <w:tc>
          <w:tcPr>
            <w:tcW w:type="dxa" w:w="3249"/>
          </w:tcPr>
          <w:p>
            <w:r/>
            <w:r>
              <w:rPr>
                <w:rFonts w:ascii="Calibri" w:hAnsi="Calibri"/>
                <w:color w:val="0F172A"/>
                <w:sz w:val="18"/>
              </w:rPr>
              <w:t>Track C</w:t>
            </w:r>
          </w:p>
        </w:tc>
        <w:tc>
          <w:tcPr>
            <w:tcW w:type="dxa" w:w="3249"/>
          </w:tcPr>
          <w:p>
            <w:r/>
            <w:r>
              <w:rPr>
                <w:rFonts w:ascii="Calibri" w:hAnsi="Calibri"/>
                <w:color w:val="0F172A"/>
                <w:sz w:val="18"/>
              </w:rPr>
              <w:t>6</w:t>
            </w:r>
          </w:p>
        </w:tc>
        <w:tc>
          <w:tcPr>
            <w:tcW w:type="dxa" w:w="3249"/>
          </w:tcPr>
          <w:p>
            <w:r/>
            <w:r>
              <w:rPr>
                <w:rFonts w:ascii="Calibri" w:hAnsi="Calibri"/>
                <w:color w:val="0F172A"/>
                <w:sz w:val="18"/>
              </w:rPr>
              <w:t>SIEM rule coverage analysis; existing IR playbook time-motion study; AI agent feasibility decision (build / buy / defer)</w:t>
            </w:r>
          </w:p>
        </w:tc>
      </w:tr>
    </w:tbl>
    <w:p/>
    <w:p>
      <w:r>
        <w:rPr>
          <w:rFonts w:ascii="Calibri" w:hAnsi="Calibri"/>
          <w:b/>
          <w:color w:val="0F172A"/>
          <w:sz w:val="24"/>
        </w:rPr>
        <w:t>4.3.6 Tollgate G2 Deliverable</w:t>
      </w:r>
    </w:p>
    <w:p>
      <w:pPr>
        <w:pStyle w:val="ListBullet"/>
      </w:pPr>
      <w:r>
        <w:rPr>
          <w:rFonts w:ascii="Calibri" w:hAnsi="Calibri"/>
          <w:sz w:val="22"/>
        </w:rPr>
        <w:t>Z-score baseline report (Track B)</w:t>
      </w:r>
    </w:p>
    <w:p>
      <w:pPr>
        <w:pStyle w:val="ListBullet"/>
      </w:pPr>
      <w:r>
        <w:rPr>
          <w:rFonts w:ascii="Calibri" w:hAnsi="Calibri"/>
          <w:sz w:val="22"/>
        </w:rPr>
        <w:t>Anonymised data lake operational with audit logging</w:t>
      </w:r>
    </w:p>
    <w:p>
      <w:pPr>
        <w:pStyle w:val="ListBullet"/>
      </w:pPr>
      <w:r>
        <w:rPr>
          <w:rFonts w:ascii="Calibri" w:hAnsi="Calibri"/>
          <w:sz w:val="22"/>
        </w:rPr>
        <w:t>Validated MTTD / MTTR distributions per sub-process</w:t>
      </w:r>
    </w:p>
    <w:p>
      <w:pPr>
        <w:pStyle w:val="ListBullet"/>
      </w:pPr>
      <w:r>
        <w:rPr>
          <w:rFonts w:ascii="Calibri" w:hAnsi="Calibri"/>
          <w:sz w:val="22"/>
        </w:rPr>
        <w:t>Confirmed (or adjusted) capability targets from §1.4.1</w:t>
      </w:r>
    </w:p>
    <w:p>
      <w:pPr>
        <w:pStyle w:val="ListBullet"/>
      </w:pPr>
      <w:r>
        <w:rPr>
          <w:rFonts w:ascii="Calibri" w:hAnsi="Calibri"/>
          <w:sz w:val="22"/>
        </w:rPr>
        <w:t>SIEM rule coverage gap analysis (Track C)</w:t>
      </w:r>
    </w:p>
    <w:p>
      <w:r>
        <w:rPr>
          <w:rFonts w:ascii="Calibri" w:hAnsi="Calibri"/>
          <w:b/>
          <w:sz w:val="22"/>
        </w:rPr>
        <w:t>CISO sign-off:</w:t>
      </w:r>
      <w:r>
        <w:rPr>
          <w:rFonts w:ascii="Calibri" w:hAnsi="Calibri"/>
          <w:sz w:val="22"/>
        </w:rPr>
        <w:t xml:space="preserve"> approve capability baseline, validate MTTD/MTTR targets.</w:t>
      </w:r>
    </w:p>
    <w:p>
      <w:pPr>
        <w:pBdr>
          <w:bottom w:val="single" w:sz="6" w:space="1" w:color="CBD5E1"/>
        </w:pBdr>
      </w:pPr>
    </w:p>
    <w:p>
      <w:r>
        <w:rPr>
          <w:rFonts w:ascii="Calibri" w:hAnsi="Calibri"/>
          <w:b/>
          <w:color w:val="0F172A"/>
          <w:sz w:val="28"/>
        </w:rPr>
        <w:t>4.4 ANALYSE Phase (Weeks 6–7, Tollgate G3)</w:t>
      </w:r>
    </w:p>
    <w:p>
      <w:r>
        <w:rPr>
          <w:rFonts w:ascii="Calibri" w:hAnsi="Calibri"/>
          <w:b/>
          <w:color w:val="0F172A"/>
          <w:sz w:val="24"/>
        </w:rPr>
        <w:t>4.4.1 Phase Objective</w:t>
      </w:r>
    </w:p>
    <w:p>
      <w:r>
        <w:rPr>
          <w:rFonts w:ascii="Calibri" w:hAnsi="Calibri"/>
          <w:sz w:val="22"/>
        </w:rPr>
        <w:t>Execute the Cyber-FMEA, root-cause the highest-RPN failure modes, and design the control points for the Improve phase.</w:t>
      </w:r>
    </w:p>
    <w:p>
      <w:r>
        <w:rPr>
          <w:rFonts w:ascii="Calibri" w:hAnsi="Calibri"/>
          <w:b/>
          <w:color w:val="0F172A"/>
          <w:sz w:val="24"/>
        </w:rPr>
        <w:t>4.4.2 Cyber-FMEA Methodology</w:t>
      </w:r>
    </w:p>
    <w:p>
      <w:r>
        <w:rPr>
          <w:rFonts w:ascii="Calibri" w:hAnsi="Calibri"/>
          <w:sz w:val="22"/>
        </w:rPr>
        <w:t>The Cyber-FMEA follows the standard LSS MBB scoring:</w:t>
      </w:r>
    </w:p>
    <w:p>
      <w:pPr>
        <w:shd w:val="clear" w:color="auto" w:fill="F1F5F9"/>
        <w:pBdr>
          <w:top w:val="single" w:sz="4" w:space="4" w:color="E2E8F0"/>
          <w:left w:val="single" w:sz="4" w:space="4" w:color="E2E8F0"/>
          <w:bottom w:val="single" w:sz="4" w:space="4" w:color="E2E8F0"/>
          <w:right w:val="single" w:sz="4" w:space="4" w:color="E2E8F0"/>
        </w:pBdr>
      </w:pPr>
      <w:r>
        <w:rPr>
          <w:rFonts w:ascii="Consolas" w:hAnsi="Consolas"/>
          <w:color w:val="334155"/>
          <w:sz w:val="18"/>
        </w:rPr>
        <w:t>RPN = S × O × D</w:t>
      </w:r>
    </w:p>
    <w:p>
      <w:pPr>
        <w:pStyle w:val="ListBullet"/>
      </w:pPr>
      <w:r>
        <w:rPr>
          <w:rFonts w:ascii="Calibri" w:hAnsi="Calibri"/>
          <w:b/>
          <w:sz w:val="22"/>
        </w:rPr>
        <w:t>S (Severity, 1–10):</w:t>
      </w:r>
      <w:r>
        <w:rPr>
          <w:rFonts w:ascii="Calibri" w:hAnsi="Calibri"/>
          <w:sz w:val="22"/>
        </w:rPr>
        <w:t xml:space="preserve"> Impact if the failure mode occurs. </w:t>
      </w:r>
      <w:r>
        <w:rPr>
          <w:rFonts w:ascii="Calibri" w:hAnsi="Calibri"/>
          <w:b/>
          <w:sz w:val="22"/>
        </w:rPr>
        <w:t>S = 10</w:t>
      </w:r>
      <w:r>
        <w:rPr>
          <w:rFonts w:ascii="Calibri" w:hAnsi="Calibri"/>
          <w:sz w:val="22"/>
        </w:rPr>
        <w:t xml:space="preserve"> for any failure mode that can cause loss of life, regulatory shutdown, or existential business impact (silent corruption in formation; safety-critical system compromise).</w:t>
      </w:r>
    </w:p>
    <w:p>
      <w:pPr>
        <w:pStyle w:val="ListBullet"/>
      </w:pPr>
      <w:r>
        <w:rPr>
          <w:rFonts w:ascii="Calibri" w:hAnsi="Calibri"/>
          <w:b/>
          <w:sz w:val="22"/>
        </w:rPr>
        <w:t>O (Occurrence, 1–10):</w:t>
      </w:r>
      <w:r>
        <w:rPr>
          <w:rFonts w:ascii="Calibri" w:hAnsi="Calibri"/>
          <w:sz w:val="22"/>
        </w:rPr>
        <w:t xml:space="preserve"> Likelihood of the failure mode occurring within the engagement horizon, based on industry-anchored frequency and the engagement's anonymised baseline.</w:t>
      </w:r>
    </w:p>
    <w:p>
      <w:pPr>
        <w:pStyle w:val="ListBullet"/>
      </w:pPr>
      <w:r>
        <w:rPr>
          <w:rFonts w:ascii="Calibri" w:hAnsi="Calibri"/>
          <w:b/>
          <w:sz w:val="22"/>
        </w:rPr>
        <w:t>D (Detection, 1–10):</w:t>
      </w:r>
      <w:r>
        <w:rPr>
          <w:rFonts w:ascii="Calibri" w:hAnsi="Calibri"/>
          <w:sz w:val="22"/>
        </w:rPr>
        <w:t xml:space="preserve"> Difficulty of detecting the failure mode before it causes harm. </w:t>
      </w:r>
      <w:r>
        <w:rPr>
          <w:rFonts w:ascii="Calibri" w:hAnsi="Calibri"/>
          <w:b/>
          <w:sz w:val="22"/>
        </w:rPr>
        <w:t>D = 9–10</w:t>
      </w:r>
      <w:r>
        <w:rPr>
          <w:rFonts w:ascii="Calibri" w:hAnsi="Calibri"/>
          <w:sz w:val="22"/>
        </w:rPr>
        <w:t xml:space="preserve"> for silent corruption (no halt, no inspection failure); </w:t>
      </w:r>
      <w:r>
        <w:rPr>
          <w:rFonts w:ascii="Calibri" w:hAnsi="Calibri"/>
          <w:b/>
          <w:sz w:val="22"/>
        </w:rPr>
        <w:t>D = 4–6</w:t>
      </w:r>
      <w:r>
        <w:rPr>
          <w:rFonts w:ascii="Calibri" w:hAnsi="Calibri"/>
          <w:sz w:val="22"/>
        </w:rPr>
        <w:t xml:space="preserve"> for overt cyber events (SIEM/SOC visibility).</w:t>
      </w:r>
    </w:p>
    <w:p>
      <w:r>
        <w:rPr>
          <w:rFonts w:ascii="Calibri" w:hAnsi="Calibri"/>
          <w:b/>
          <w:color w:val="0F172A"/>
          <w:sz w:val="24"/>
        </w:rPr>
        <w:t>4.4.3 Cyber-FMEA — Top 12 Failure Modes (Engagement Scope)</w:t>
      </w:r>
    </w:p>
    <w:p>
      <w:r>
        <w:rPr>
          <w:rFonts w:ascii="Calibri" w:hAnsi="Calibri"/>
          <w:sz w:val="22"/>
        </w:rPr>
        <w:t xml:space="preserve">The full FMEA covers all process steps; below is the prioritised top 12 (highest RPN) for engagement focus. </w:t>
      </w:r>
      <w:r>
        <w:rPr>
          <w:rFonts w:ascii="Calibri" w:hAnsi="Calibri"/>
          <w:b/>
          <w:sz w:val="22"/>
        </w:rPr>
        <w:t>Silent corruption modes are flagged (SC)</w:t>
      </w:r>
      <w:r>
        <w:rPr>
          <w:rFonts w:ascii="Calibri" w:hAnsi="Calibri"/>
          <w:sz w:val="22"/>
        </w:rPr>
        <w:t xml:space="preserve"> because they drive the largest exposure class (</w:t>
      </w:r>
      <w:r>
        <w:rPr>
          <w:rFonts w:ascii="Consolas" w:hAnsi="Consolas"/>
          <w:color w:val="334155"/>
          <w:sz w:val="20"/>
        </w:rPr>
        <w:t>E_silent_corruption</w:t>
      </w:r>
      <w:r>
        <w:rPr>
          <w:rFonts w:ascii="Calibri" w:hAnsi="Calibri"/>
          <w:sz w:val="22"/>
        </w:rPr>
        <w:t xml:space="preserve">). Per the calibration agreed at S4 review, all SC modes carry </w:t>
      </w:r>
      <w:r>
        <w:rPr>
          <w:rFonts w:ascii="Calibri" w:hAnsi="Calibri"/>
          <w:b/>
          <w:sz w:val="22"/>
        </w:rPr>
        <w:t>S = 10</w:t>
      </w:r>
      <w:r>
        <w:rPr>
          <w:rFonts w:ascii="Calibri" w:hAnsi="Calibri"/>
          <w:sz w:val="22"/>
        </w:rPr>
        <w:t xml:space="preserve"> because the effect is existential (field failure, recall, life-safety), not just operational.</w:t>
      </w:r>
    </w:p>
    <w:tbl>
      <w:tblPr>
        <w:tblStyle w:val="LightGrid-Accent1"/>
        <w:tblW w:type="auto" w:w="0"/>
        <w:tblLook w:firstColumn="1" w:firstRow="1" w:lastColumn="0" w:lastRow="0" w:noHBand="0" w:noVBand="1" w:val="04A0"/>
      </w:tblPr>
      <w:tblGrid>
        <w:gridCol w:w="1083"/>
        <w:gridCol w:w="1083"/>
        <w:gridCol w:w="1083"/>
        <w:gridCol w:w="1083"/>
        <w:gridCol w:w="1083"/>
        <w:gridCol w:w="1083"/>
        <w:gridCol w:w="1083"/>
        <w:gridCol w:w="1083"/>
        <w:gridCol w:w="1083"/>
      </w:tblGrid>
      <w:tr>
        <w:tc>
          <w:tcPr>
            <w:tcW w:type="dxa" w:w="1083"/>
            <w:shd w:val="clear" w:color="auto" w:fill="1E40AF"/>
          </w:tcPr>
          <w:p>
            <w:r/>
            <w:r>
              <w:rPr>
                <w:rFonts w:ascii="Calibri" w:hAnsi="Calibri"/>
                <w:b/>
                <w:color w:val="FFFFFF"/>
                <w:sz w:val="20"/>
              </w:rPr>
              <w:t>#</w:t>
            </w:r>
          </w:p>
        </w:tc>
        <w:tc>
          <w:tcPr>
            <w:tcW w:type="dxa" w:w="1083"/>
            <w:shd w:val="clear" w:color="auto" w:fill="1E40AF"/>
          </w:tcPr>
          <w:p>
            <w:r/>
            <w:r>
              <w:rPr>
                <w:rFonts w:ascii="Calibri" w:hAnsi="Calibri"/>
                <w:b/>
                <w:color w:val="FFFFFF"/>
                <w:sz w:val="20"/>
              </w:rPr>
              <w:t>Process Step</w:t>
            </w:r>
          </w:p>
        </w:tc>
        <w:tc>
          <w:tcPr>
            <w:tcW w:type="dxa" w:w="1083"/>
            <w:shd w:val="clear" w:color="auto" w:fill="1E40AF"/>
          </w:tcPr>
          <w:p>
            <w:r/>
            <w:r>
              <w:rPr>
                <w:rFonts w:ascii="Calibri" w:hAnsi="Calibri"/>
                <w:b/>
                <w:color w:val="FFFFFF"/>
                <w:sz w:val="20"/>
              </w:rPr>
              <w:t>Failure Mode (Cyber)</w:t>
            </w:r>
          </w:p>
        </w:tc>
        <w:tc>
          <w:tcPr>
            <w:tcW w:type="dxa" w:w="1083"/>
            <w:shd w:val="clear" w:color="auto" w:fill="1E40AF"/>
          </w:tcPr>
          <w:p>
            <w:r/>
            <w:r>
              <w:rPr>
                <w:rFonts w:ascii="Calibri" w:hAnsi="Calibri"/>
                <w:b/>
                <w:color w:val="FFFFFF"/>
                <w:sz w:val="20"/>
              </w:rPr>
              <w:t>Effect on Production</w:t>
            </w:r>
          </w:p>
        </w:tc>
        <w:tc>
          <w:tcPr>
            <w:tcW w:type="dxa" w:w="1083"/>
            <w:shd w:val="clear" w:color="auto" w:fill="1E40AF"/>
          </w:tcPr>
          <w:p>
            <w:r/>
            <w:r>
              <w:rPr>
                <w:rFonts w:ascii="Calibri" w:hAnsi="Calibri"/>
                <w:b/>
                <w:color w:val="FFFFFF"/>
                <w:sz w:val="20"/>
              </w:rPr>
              <w:t>S</w:t>
            </w:r>
          </w:p>
        </w:tc>
        <w:tc>
          <w:tcPr>
            <w:tcW w:type="dxa" w:w="1083"/>
            <w:shd w:val="clear" w:color="auto" w:fill="1E40AF"/>
          </w:tcPr>
          <w:p>
            <w:r/>
            <w:r>
              <w:rPr>
                <w:rFonts w:ascii="Calibri" w:hAnsi="Calibri"/>
                <w:b/>
                <w:color w:val="FFFFFF"/>
                <w:sz w:val="20"/>
              </w:rPr>
              <w:t>O</w:t>
            </w:r>
          </w:p>
        </w:tc>
        <w:tc>
          <w:tcPr>
            <w:tcW w:type="dxa" w:w="1083"/>
            <w:shd w:val="clear" w:color="auto" w:fill="1E40AF"/>
          </w:tcPr>
          <w:p>
            <w:r/>
            <w:r>
              <w:rPr>
                <w:rFonts w:ascii="Calibri" w:hAnsi="Calibri"/>
                <w:b/>
                <w:color w:val="FFFFFF"/>
                <w:sz w:val="20"/>
              </w:rPr>
              <w:t>D</w:t>
            </w:r>
          </w:p>
        </w:tc>
        <w:tc>
          <w:tcPr>
            <w:tcW w:type="dxa" w:w="1083"/>
            <w:shd w:val="clear" w:color="auto" w:fill="1E40AF"/>
          </w:tcPr>
          <w:p>
            <w:r/>
            <w:r>
              <w:rPr>
                <w:rFonts w:ascii="Calibri" w:hAnsi="Calibri"/>
                <w:b/>
                <w:color w:val="FFFFFF"/>
                <w:sz w:val="20"/>
              </w:rPr>
              <w:t>RPN</w:t>
            </w:r>
          </w:p>
        </w:tc>
        <w:tc>
          <w:tcPr>
            <w:tcW w:type="dxa" w:w="1083"/>
            <w:shd w:val="clear" w:color="auto" w:fill="1E40AF"/>
          </w:tcPr>
          <w:p>
            <w:r/>
            <w:r>
              <w:rPr>
                <w:rFonts w:ascii="Calibri" w:hAnsi="Calibri"/>
                <w:b/>
                <w:color w:val="FFFFFF"/>
                <w:sz w:val="20"/>
              </w:rPr>
              <w:t>High-Risk Root Cause</w:t>
            </w:r>
          </w:p>
        </w:tc>
      </w:tr>
      <w:tr>
        <w:tc>
          <w:tcPr>
            <w:tcW w:type="dxa" w:w="1083"/>
          </w:tcPr>
          <w:p>
            <w:r/>
            <w:r>
              <w:rPr>
                <w:rFonts w:ascii="Calibri" w:hAnsi="Calibri"/>
                <w:color w:val="0F172A"/>
                <w:sz w:val="18"/>
              </w:rPr>
              <w:t>1</w:t>
            </w:r>
          </w:p>
        </w:tc>
        <w:tc>
          <w:tcPr>
            <w:tcW w:type="dxa" w:w="1083"/>
          </w:tcPr>
          <w:p>
            <w:r/>
            <w:r>
              <w:rPr>
                <w:rFonts w:ascii="Calibri" w:hAnsi="Calibri"/>
                <w:color w:val="0F172A"/>
                <w:sz w:val="18"/>
              </w:rPr>
              <w:t>Formation &amp; Aging (SC)</w:t>
            </w:r>
          </w:p>
        </w:tc>
        <w:tc>
          <w:tcPr>
            <w:tcW w:type="dxa" w:w="1083"/>
          </w:tcPr>
          <w:p>
            <w:r/>
            <w:r>
              <w:rPr>
                <w:rFonts w:ascii="Calibri" w:hAnsi="Calibri"/>
                <w:color w:val="0F172A"/>
                <w:sz w:val="18"/>
              </w:rPr>
              <w:t>Aging cycle manipulation</w:t>
            </w:r>
          </w:p>
        </w:tc>
        <w:tc>
          <w:tcPr>
            <w:tcW w:type="dxa" w:w="1083"/>
          </w:tcPr>
          <w:p>
            <w:r/>
            <w:r>
              <w:rPr>
                <w:rFonts w:ascii="Calibri" w:hAnsi="Calibri"/>
                <w:color w:val="0F172A"/>
                <w:sz w:val="18"/>
              </w:rPr>
              <w:t>Accelerated cell degradation in field (recall)</w:t>
            </w:r>
          </w:p>
        </w:tc>
        <w:tc>
          <w:tcPr>
            <w:tcW w:type="dxa" w:w="1083"/>
          </w:tcPr>
          <w:p>
            <w:r/>
            <w:r>
              <w:rPr>
                <w:rFonts w:ascii="Calibri" w:hAnsi="Calibri"/>
                <w:b/>
                <w:color w:val="0F172A"/>
                <w:sz w:val="18"/>
              </w:rPr>
              <w:t>10</w:t>
            </w:r>
          </w:p>
        </w:tc>
        <w:tc>
          <w:tcPr>
            <w:tcW w:type="dxa" w:w="1083"/>
          </w:tcPr>
          <w:p>
            <w:r/>
            <w:r>
              <w:rPr>
                <w:rFonts w:ascii="Calibri" w:hAnsi="Calibri"/>
                <w:color w:val="0F172A"/>
                <w:sz w:val="18"/>
              </w:rPr>
              <w:t>6</w:t>
            </w:r>
          </w:p>
        </w:tc>
        <w:tc>
          <w:tcPr>
            <w:tcW w:type="dxa" w:w="1083"/>
          </w:tcPr>
          <w:p>
            <w:r/>
            <w:r>
              <w:rPr>
                <w:rFonts w:ascii="Calibri" w:hAnsi="Calibri"/>
                <w:color w:val="0F172A"/>
                <w:sz w:val="18"/>
              </w:rPr>
              <w:t>9</w:t>
            </w:r>
          </w:p>
        </w:tc>
        <w:tc>
          <w:tcPr>
            <w:tcW w:type="dxa" w:w="1083"/>
          </w:tcPr>
          <w:p>
            <w:r/>
            <w:r>
              <w:rPr>
                <w:rFonts w:ascii="Calibri" w:hAnsi="Calibri"/>
                <w:b/>
                <w:color w:val="0F172A"/>
                <w:sz w:val="18"/>
              </w:rPr>
              <w:t>540</w:t>
            </w:r>
          </w:p>
        </w:tc>
        <w:tc>
          <w:tcPr>
            <w:tcW w:type="dxa" w:w="1083"/>
          </w:tcPr>
          <w:p>
            <w:r/>
            <w:r>
              <w:rPr>
                <w:rFonts w:ascii="Calibri" w:hAnsi="Calibri"/>
                <w:color w:val="0F172A"/>
                <w:sz w:val="18"/>
              </w:rPr>
              <w:t>Unauthenticated firmware updates to BMS</w:t>
            </w:r>
          </w:p>
        </w:tc>
      </w:tr>
      <w:tr>
        <w:tc>
          <w:tcPr>
            <w:tcW w:type="dxa" w:w="1083"/>
          </w:tcPr>
          <w:p>
            <w:r/>
            <w:r>
              <w:rPr>
                <w:rFonts w:ascii="Calibri" w:hAnsi="Calibri"/>
                <w:color w:val="0F172A"/>
                <w:sz w:val="18"/>
              </w:rPr>
              <w:t>2</w:t>
            </w:r>
          </w:p>
        </w:tc>
        <w:tc>
          <w:tcPr>
            <w:tcW w:type="dxa" w:w="1083"/>
          </w:tcPr>
          <w:p>
            <w:r/>
            <w:r>
              <w:rPr>
                <w:rFonts w:ascii="Calibri" w:hAnsi="Calibri"/>
                <w:color w:val="0F172A"/>
                <w:sz w:val="18"/>
              </w:rPr>
              <w:t>Electrode Coating (SC)</w:t>
            </w:r>
          </w:p>
        </w:tc>
        <w:tc>
          <w:tcPr>
            <w:tcW w:type="dxa" w:w="1083"/>
          </w:tcPr>
          <w:p>
            <w:r/>
            <w:r>
              <w:rPr>
                <w:rFonts w:ascii="Calibri" w:hAnsi="Calibri"/>
                <w:color w:val="0F172A"/>
                <w:sz w:val="18"/>
              </w:rPr>
              <w:t>Coating thickness parameter tampering</w:t>
            </w:r>
          </w:p>
        </w:tc>
        <w:tc>
          <w:tcPr>
            <w:tcW w:type="dxa" w:w="1083"/>
          </w:tcPr>
          <w:p>
            <w:r/>
            <w:r>
              <w:rPr>
                <w:rFonts w:ascii="Calibri" w:hAnsi="Calibri"/>
                <w:color w:val="0F172A"/>
                <w:sz w:val="18"/>
              </w:rPr>
              <w:t>Inconsistent foil, fire risk in field</w:t>
            </w:r>
          </w:p>
        </w:tc>
        <w:tc>
          <w:tcPr>
            <w:tcW w:type="dxa" w:w="1083"/>
          </w:tcPr>
          <w:p>
            <w:r/>
            <w:r>
              <w:rPr>
                <w:rFonts w:ascii="Calibri" w:hAnsi="Calibri"/>
                <w:b/>
                <w:color w:val="0F172A"/>
                <w:sz w:val="18"/>
              </w:rPr>
              <w:t>10</w:t>
            </w:r>
          </w:p>
        </w:tc>
        <w:tc>
          <w:tcPr>
            <w:tcW w:type="dxa" w:w="1083"/>
          </w:tcPr>
          <w:p>
            <w:r/>
            <w:r>
              <w:rPr>
                <w:rFonts w:ascii="Calibri" w:hAnsi="Calibri"/>
                <w:color w:val="0F172A"/>
                <w:sz w:val="18"/>
              </w:rPr>
              <w:t>7</w:t>
            </w:r>
          </w:p>
        </w:tc>
        <w:tc>
          <w:tcPr>
            <w:tcW w:type="dxa" w:w="1083"/>
          </w:tcPr>
          <w:p>
            <w:r/>
            <w:r>
              <w:rPr>
                <w:rFonts w:ascii="Calibri" w:hAnsi="Calibri"/>
                <w:color w:val="0F172A"/>
                <w:sz w:val="18"/>
              </w:rPr>
              <w:t>7</w:t>
            </w:r>
          </w:p>
        </w:tc>
        <w:tc>
          <w:tcPr>
            <w:tcW w:type="dxa" w:w="1083"/>
          </w:tcPr>
          <w:p>
            <w:r/>
            <w:r>
              <w:rPr>
                <w:rFonts w:ascii="Calibri" w:hAnsi="Calibri"/>
                <w:b/>
                <w:color w:val="0F172A"/>
                <w:sz w:val="18"/>
              </w:rPr>
              <w:t>490</w:t>
            </w:r>
          </w:p>
        </w:tc>
        <w:tc>
          <w:tcPr>
            <w:tcW w:type="dxa" w:w="1083"/>
          </w:tcPr>
          <w:p>
            <w:r/>
            <w:r>
              <w:rPr>
                <w:rFonts w:ascii="Calibri" w:hAnsi="Calibri"/>
                <w:color w:val="0F172A"/>
                <w:sz w:val="18"/>
              </w:rPr>
              <w:t>No parameter-drift baselining; no cryptographic signing of recipe updates</w:t>
            </w:r>
          </w:p>
        </w:tc>
      </w:tr>
      <w:tr>
        <w:tc>
          <w:tcPr>
            <w:tcW w:type="dxa" w:w="1083"/>
          </w:tcPr>
          <w:p>
            <w:r/>
            <w:r>
              <w:rPr>
                <w:rFonts w:ascii="Calibri" w:hAnsi="Calibri"/>
                <w:color w:val="0F172A"/>
                <w:sz w:val="18"/>
              </w:rPr>
              <w:t>3</w:t>
            </w:r>
          </w:p>
        </w:tc>
        <w:tc>
          <w:tcPr>
            <w:tcW w:type="dxa" w:w="1083"/>
          </w:tcPr>
          <w:p>
            <w:r/>
            <w:r>
              <w:rPr>
                <w:rFonts w:ascii="Calibri" w:hAnsi="Calibri"/>
                <w:color w:val="0F172A"/>
                <w:sz w:val="18"/>
              </w:rPr>
              <w:t>Slurry Mixing (SC)</w:t>
            </w:r>
          </w:p>
        </w:tc>
        <w:tc>
          <w:tcPr>
            <w:tcW w:type="dxa" w:w="1083"/>
          </w:tcPr>
          <w:p>
            <w:r/>
            <w:r>
              <w:rPr>
                <w:rFonts w:ascii="Calibri" w:hAnsi="Calibri"/>
                <w:color w:val="0F172A"/>
                <w:sz w:val="18"/>
              </w:rPr>
              <w:t>Sensor data spoofing</w:t>
            </w:r>
          </w:p>
        </w:tc>
        <w:tc>
          <w:tcPr>
            <w:tcW w:type="dxa" w:w="1083"/>
          </w:tcPr>
          <w:p>
            <w:r/>
            <w:r>
              <w:rPr>
                <w:rFonts w:ascii="Calibri" w:hAnsi="Calibri"/>
                <w:color w:val="0F172A"/>
                <w:sz w:val="18"/>
              </w:rPr>
              <w:t>Incorrect mixing ratios, defective slurry, downstream yield loss</w:t>
            </w:r>
          </w:p>
        </w:tc>
        <w:tc>
          <w:tcPr>
            <w:tcW w:type="dxa" w:w="1083"/>
          </w:tcPr>
          <w:p>
            <w:r/>
            <w:r>
              <w:rPr>
                <w:rFonts w:ascii="Calibri" w:hAnsi="Calibri"/>
                <w:b/>
                <w:color w:val="0F172A"/>
                <w:sz w:val="18"/>
              </w:rPr>
              <w:t>10</w:t>
            </w:r>
          </w:p>
        </w:tc>
        <w:tc>
          <w:tcPr>
            <w:tcW w:type="dxa" w:w="1083"/>
          </w:tcPr>
          <w:p>
            <w:r/>
            <w:r>
              <w:rPr>
                <w:rFonts w:ascii="Calibri" w:hAnsi="Calibri"/>
                <w:color w:val="0F172A"/>
                <w:sz w:val="18"/>
              </w:rPr>
              <w:t>6</w:t>
            </w:r>
          </w:p>
        </w:tc>
        <w:tc>
          <w:tcPr>
            <w:tcW w:type="dxa" w:w="1083"/>
          </w:tcPr>
          <w:p>
            <w:r/>
            <w:r>
              <w:rPr>
                <w:rFonts w:ascii="Calibri" w:hAnsi="Calibri"/>
                <w:color w:val="0F172A"/>
                <w:sz w:val="18"/>
              </w:rPr>
              <w:t>8</w:t>
            </w:r>
          </w:p>
        </w:tc>
        <w:tc>
          <w:tcPr>
            <w:tcW w:type="dxa" w:w="1083"/>
          </w:tcPr>
          <w:p>
            <w:r/>
            <w:r>
              <w:rPr>
                <w:rFonts w:ascii="Calibri" w:hAnsi="Calibri"/>
                <w:b/>
                <w:color w:val="0F172A"/>
                <w:sz w:val="18"/>
              </w:rPr>
              <w:t>480</w:t>
            </w:r>
          </w:p>
        </w:tc>
        <w:tc>
          <w:tcPr>
            <w:tcW w:type="dxa" w:w="1083"/>
          </w:tcPr>
          <w:p>
            <w:r/>
            <w:r>
              <w:rPr>
                <w:rFonts w:ascii="Calibri" w:hAnsi="Calibri"/>
                <w:color w:val="0F172A"/>
                <w:sz w:val="18"/>
              </w:rPr>
              <w:t>Lack of encrypted sensor protocols</w:t>
            </w:r>
          </w:p>
        </w:tc>
      </w:tr>
      <w:tr>
        <w:tc>
          <w:tcPr>
            <w:tcW w:type="dxa" w:w="1083"/>
          </w:tcPr>
          <w:p>
            <w:r/>
            <w:r>
              <w:rPr>
                <w:rFonts w:ascii="Calibri" w:hAnsi="Calibri"/>
                <w:color w:val="0F172A"/>
                <w:sz w:val="18"/>
              </w:rPr>
              <w:t>4</w:t>
            </w:r>
          </w:p>
        </w:tc>
        <w:tc>
          <w:tcPr>
            <w:tcW w:type="dxa" w:w="1083"/>
          </w:tcPr>
          <w:p>
            <w:r/>
            <w:r>
              <w:rPr>
                <w:rFonts w:ascii="Calibri" w:hAnsi="Calibri"/>
                <w:color w:val="0F172A"/>
                <w:sz w:val="18"/>
              </w:rPr>
              <w:t>Grading &amp; Sorting (SC)</w:t>
            </w:r>
          </w:p>
        </w:tc>
        <w:tc>
          <w:tcPr>
            <w:tcW w:type="dxa" w:w="1083"/>
          </w:tcPr>
          <w:p>
            <w:r/>
            <w:r>
              <w:rPr>
                <w:rFonts w:ascii="Calibri" w:hAnsi="Calibri"/>
                <w:color w:val="0F172A"/>
                <w:sz w:val="18"/>
              </w:rPr>
              <w:t>Capacity test data tampering</w:t>
            </w:r>
          </w:p>
        </w:tc>
        <w:tc>
          <w:tcPr>
            <w:tcW w:type="dxa" w:w="1083"/>
          </w:tcPr>
          <w:p>
            <w:r/>
            <w:r>
              <w:rPr>
                <w:rFonts w:ascii="Calibri" w:hAnsi="Calibri"/>
                <w:color w:val="0F172A"/>
                <w:sz w:val="18"/>
              </w:rPr>
              <w:t>Defective cells pass grading (recall)</w:t>
            </w:r>
          </w:p>
        </w:tc>
        <w:tc>
          <w:tcPr>
            <w:tcW w:type="dxa" w:w="1083"/>
          </w:tcPr>
          <w:p>
            <w:r/>
            <w:r>
              <w:rPr>
                <w:rFonts w:ascii="Calibri" w:hAnsi="Calibri"/>
                <w:b/>
                <w:color w:val="0F172A"/>
                <w:sz w:val="18"/>
              </w:rPr>
              <w:t>10</w:t>
            </w:r>
          </w:p>
        </w:tc>
        <w:tc>
          <w:tcPr>
            <w:tcW w:type="dxa" w:w="1083"/>
          </w:tcPr>
          <w:p>
            <w:r/>
            <w:r>
              <w:rPr>
                <w:rFonts w:ascii="Calibri" w:hAnsi="Calibri"/>
                <w:color w:val="0F172A"/>
                <w:sz w:val="18"/>
              </w:rPr>
              <w:t>5</w:t>
            </w:r>
          </w:p>
        </w:tc>
        <w:tc>
          <w:tcPr>
            <w:tcW w:type="dxa" w:w="1083"/>
          </w:tcPr>
          <w:p>
            <w:r/>
            <w:r>
              <w:rPr>
                <w:rFonts w:ascii="Calibri" w:hAnsi="Calibri"/>
                <w:color w:val="0F172A"/>
                <w:sz w:val="18"/>
              </w:rPr>
              <w:t>9</w:t>
            </w:r>
          </w:p>
        </w:tc>
        <w:tc>
          <w:tcPr>
            <w:tcW w:type="dxa" w:w="1083"/>
          </w:tcPr>
          <w:p>
            <w:r/>
            <w:r>
              <w:rPr>
                <w:rFonts w:ascii="Calibri" w:hAnsi="Calibri"/>
                <w:b/>
                <w:color w:val="0F172A"/>
                <w:sz w:val="18"/>
              </w:rPr>
              <w:t>450</w:t>
            </w:r>
          </w:p>
        </w:tc>
        <w:tc>
          <w:tcPr>
            <w:tcW w:type="dxa" w:w="1083"/>
          </w:tcPr>
          <w:p>
            <w:r/>
            <w:r>
              <w:rPr>
                <w:rFonts w:ascii="Calibri" w:hAnsi="Calibri"/>
                <w:color w:val="0F172A"/>
                <w:sz w:val="18"/>
              </w:rPr>
              <w:t>No integrity check on test data; vendor remote access to test rig</w:t>
            </w:r>
          </w:p>
        </w:tc>
      </w:tr>
      <w:tr>
        <w:tc>
          <w:tcPr>
            <w:tcW w:type="dxa" w:w="1083"/>
          </w:tcPr>
          <w:p>
            <w:r/>
            <w:r>
              <w:rPr>
                <w:rFonts w:ascii="Calibri" w:hAnsi="Calibri"/>
                <w:color w:val="0F172A"/>
                <w:sz w:val="18"/>
              </w:rPr>
              <w:t>5</w:t>
            </w:r>
          </w:p>
        </w:tc>
        <w:tc>
          <w:tcPr>
            <w:tcW w:type="dxa" w:w="1083"/>
          </w:tcPr>
          <w:p>
            <w:r/>
            <w:r>
              <w:rPr>
                <w:rFonts w:ascii="Calibri" w:hAnsi="Calibri"/>
                <w:color w:val="0F172A"/>
                <w:sz w:val="18"/>
              </w:rPr>
              <w:t>Electrode Coating (SC)</w:t>
            </w:r>
          </w:p>
        </w:tc>
        <w:tc>
          <w:tcPr>
            <w:tcW w:type="dxa" w:w="1083"/>
          </w:tcPr>
          <w:p>
            <w:r/>
            <w:r>
              <w:rPr>
                <w:rFonts w:ascii="Calibri" w:hAnsi="Calibri"/>
                <w:color w:val="0F172A"/>
                <w:sz w:val="18"/>
              </w:rPr>
              <w:t>Vision system data spoofing</w:t>
            </w:r>
          </w:p>
        </w:tc>
        <w:tc>
          <w:tcPr>
            <w:tcW w:type="dxa" w:w="1083"/>
          </w:tcPr>
          <w:p>
            <w:r/>
            <w:r>
              <w:rPr>
                <w:rFonts w:ascii="Calibri" w:hAnsi="Calibri"/>
                <w:color w:val="0F172A"/>
                <w:sz w:val="18"/>
              </w:rPr>
              <w:t>Defective coating passes inspection (field failure)</w:t>
            </w:r>
          </w:p>
        </w:tc>
        <w:tc>
          <w:tcPr>
            <w:tcW w:type="dxa" w:w="1083"/>
          </w:tcPr>
          <w:p>
            <w:r/>
            <w:r>
              <w:rPr>
                <w:rFonts w:ascii="Calibri" w:hAnsi="Calibri"/>
                <w:b/>
                <w:color w:val="0F172A"/>
                <w:sz w:val="18"/>
              </w:rPr>
              <w:t>10</w:t>
            </w:r>
          </w:p>
        </w:tc>
        <w:tc>
          <w:tcPr>
            <w:tcW w:type="dxa" w:w="1083"/>
          </w:tcPr>
          <w:p>
            <w:r/>
            <w:r>
              <w:rPr>
                <w:rFonts w:ascii="Calibri" w:hAnsi="Calibri"/>
                <w:color w:val="0F172A"/>
                <w:sz w:val="18"/>
              </w:rPr>
              <w:t>5</w:t>
            </w:r>
          </w:p>
        </w:tc>
        <w:tc>
          <w:tcPr>
            <w:tcW w:type="dxa" w:w="1083"/>
          </w:tcPr>
          <w:p>
            <w:r/>
            <w:r>
              <w:rPr>
                <w:rFonts w:ascii="Calibri" w:hAnsi="Calibri"/>
                <w:color w:val="0F172A"/>
                <w:sz w:val="18"/>
              </w:rPr>
              <w:t>9</w:t>
            </w:r>
          </w:p>
        </w:tc>
        <w:tc>
          <w:tcPr>
            <w:tcW w:type="dxa" w:w="1083"/>
          </w:tcPr>
          <w:p>
            <w:r/>
            <w:r>
              <w:rPr>
                <w:rFonts w:ascii="Calibri" w:hAnsi="Calibri"/>
                <w:b/>
                <w:color w:val="0F172A"/>
                <w:sz w:val="18"/>
              </w:rPr>
              <w:t>450</w:t>
            </w:r>
          </w:p>
        </w:tc>
        <w:tc>
          <w:tcPr>
            <w:tcW w:type="dxa" w:w="1083"/>
          </w:tcPr>
          <w:p>
            <w:r/>
            <w:r>
              <w:rPr>
                <w:rFonts w:ascii="Calibri" w:hAnsi="Calibri"/>
                <w:color w:val="0F172A"/>
                <w:sz w:val="18"/>
              </w:rPr>
              <w:t>Vision system not integrity-checked</w:t>
            </w:r>
          </w:p>
        </w:tc>
      </w:tr>
      <w:tr>
        <w:tc>
          <w:tcPr>
            <w:tcW w:type="dxa" w:w="1083"/>
          </w:tcPr>
          <w:p>
            <w:r/>
            <w:r>
              <w:rPr>
                <w:rFonts w:ascii="Calibri" w:hAnsi="Calibri"/>
                <w:color w:val="0F172A"/>
                <w:sz w:val="18"/>
              </w:rPr>
              <w:t>6</w:t>
            </w:r>
          </w:p>
        </w:tc>
        <w:tc>
          <w:tcPr>
            <w:tcW w:type="dxa" w:w="1083"/>
          </w:tcPr>
          <w:p>
            <w:r/>
            <w:r>
              <w:rPr>
                <w:rFonts w:ascii="Calibri" w:hAnsi="Calibri"/>
                <w:color w:val="0F172A"/>
                <w:sz w:val="18"/>
              </w:rPr>
              <w:t>Cell Assembly (SC)</w:t>
            </w:r>
          </w:p>
        </w:tc>
        <w:tc>
          <w:tcPr>
            <w:tcW w:type="dxa" w:w="1083"/>
          </w:tcPr>
          <w:p>
            <w:r/>
            <w:r>
              <w:rPr>
                <w:rFonts w:ascii="Calibri" w:hAnsi="Calibri"/>
                <w:color w:val="0F172A"/>
                <w:sz w:val="18"/>
              </w:rPr>
              <w:t>Stacking parameter tampering</w:t>
            </w:r>
          </w:p>
        </w:tc>
        <w:tc>
          <w:tcPr>
            <w:tcW w:type="dxa" w:w="1083"/>
          </w:tcPr>
          <w:p>
            <w:r/>
            <w:r>
              <w:rPr>
                <w:rFonts w:ascii="Calibri" w:hAnsi="Calibri"/>
                <w:color w:val="0F172A"/>
                <w:sz w:val="18"/>
              </w:rPr>
              <w:t>Cell misalignment, field failure</w:t>
            </w:r>
          </w:p>
        </w:tc>
        <w:tc>
          <w:tcPr>
            <w:tcW w:type="dxa" w:w="1083"/>
          </w:tcPr>
          <w:p>
            <w:r/>
            <w:r>
              <w:rPr>
                <w:rFonts w:ascii="Calibri" w:hAnsi="Calibri"/>
                <w:b/>
                <w:color w:val="0F172A"/>
                <w:sz w:val="18"/>
              </w:rPr>
              <w:t>10</w:t>
            </w:r>
          </w:p>
        </w:tc>
        <w:tc>
          <w:tcPr>
            <w:tcW w:type="dxa" w:w="1083"/>
          </w:tcPr>
          <w:p>
            <w:r/>
            <w:r>
              <w:rPr>
                <w:rFonts w:ascii="Calibri" w:hAnsi="Calibri"/>
                <w:color w:val="0F172A"/>
                <w:sz w:val="18"/>
              </w:rPr>
              <w:t>5</w:t>
            </w:r>
          </w:p>
        </w:tc>
        <w:tc>
          <w:tcPr>
            <w:tcW w:type="dxa" w:w="1083"/>
          </w:tcPr>
          <w:p>
            <w:r/>
            <w:r>
              <w:rPr>
                <w:rFonts w:ascii="Calibri" w:hAnsi="Calibri"/>
                <w:color w:val="0F172A"/>
                <w:sz w:val="18"/>
              </w:rPr>
              <w:t>8</w:t>
            </w:r>
          </w:p>
        </w:tc>
        <w:tc>
          <w:tcPr>
            <w:tcW w:type="dxa" w:w="1083"/>
          </w:tcPr>
          <w:p>
            <w:r/>
            <w:r>
              <w:rPr>
                <w:rFonts w:ascii="Calibri" w:hAnsi="Calibri"/>
                <w:b/>
                <w:color w:val="0F172A"/>
                <w:sz w:val="18"/>
              </w:rPr>
              <w:t>400</w:t>
            </w:r>
          </w:p>
        </w:tc>
        <w:tc>
          <w:tcPr>
            <w:tcW w:type="dxa" w:w="1083"/>
          </w:tcPr>
          <w:p>
            <w:r/>
            <w:r>
              <w:rPr>
                <w:rFonts w:ascii="Calibri" w:hAnsi="Calibri"/>
                <w:color w:val="0F172A"/>
                <w:sz w:val="18"/>
              </w:rPr>
              <w:t>Stacking recipe not cryptographically signed</w:t>
            </w:r>
          </w:p>
        </w:tc>
      </w:tr>
      <w:tr>
        <w:tc>
          <w:tcPr>
            <w:tcW w:type="dxa" w:w="1083"/>
          </w:tcPr>
          <w:p>
            <w:r/>
            <w:r>
              <w:rPr>
                <w:rFonts w:ascii="Calibri" w:hAnsi="Calibri"/>
                <w:color w:val="0F172A"/>
                <w:sz w:val="18"/>
              </w:rPr>
              <w:t>7</w:t>
            </w:r>
          </w:p>
        </w:tc>
        <w:tc>
          <w:tcPr>
            <w:tcW w:type="dxa" w:w="1083"/>
          </w:tcPr>
          <w:p>
            <w:r/>
            <w:r>
              <w:rPr>
                <w:rFonts w:ascii="Calibri" w:hAnsi="Calibri"/>
                <w:color w:val="0F172A"/>
                <w:sz w:val="18"/>
              </w:rPr>
              <w:t>Grading &amp; Sorting (SC)</w:t>
            </w:r>
          </w:p>
        </w:tc>
        <w:tc>
          <w:tcPr>
            <w:tcW w:type="dxa" w:w="1083"/>
          </w:tcPr>
          <w:p>
            <w:r/>
            <w:r>
              <w:rPr>
                <w:rFonts w:ascii="Calibri" w:hAnsi="Calibri"/>
                <w:color w:val="0F172A"/>
                <w:sz w:val="18"/>
              </w:rPr>
              <w:t>IR test data manipulation</w:t>
            </w:r>
          </w:p>
        </w:tc>
        <w:tc>
          <w:tcPr>
            <w:tcW w:type="dxa" w:w="1083"/>
          </w:tcPr>
          <w:p>
            <w:r/>
            <w:r>
              <w:rPr>
                <w:rFonts w:ascii="Calibri" w:hAnsi="Calibri"/>
                <w:color w:val="0F172A"/>
                <w:sz w:val="18"/>
              </w:rPr>
              <w:t>Thermal event risk in field</w:t>
            </w:r>
          </w:p>
        </w:tc>
        <w:tc>
          <w:tcPr>
            <w:tcW w:type="dxa" w:w="1083"/>
          </w:tcPr>
          <w:p>
            <w:r/>
            <w:r>
              <w:rPr>
                <w:rFonts w:ascii="Calibri" w:hAnsi="Calibri"/>
                <w:b/>
                <w:color w:val="0F172A"/>
                <w:sz w:val="18"/>
              </w:rPr>
              <w:t>10</w:t>
            </w:r>
          </w:p>
        </w:tc>
        <w:tc>
          <w:tcPr>
            <w:tcW w:type="dxa" w:w="1083"/>
          </w:tcPr>
          <w:p>
            <w:r/>
            <w:r>
              <w:rPr>
                <w:rFonts w:ascii="Calibri" w:hAnsi="Calibri"/>
                <w:color w:val="0F172A"/>
                <w:sz w:val="18"/>
              </w:rPr>
              <w:t>4</w:t>
            </w:r>
          </w:p>
        </w:tc>
        <w:tc>
          <w:tcPr>
            <w:tcW w:type="dxa" w:w="1083"/>
          </w:tcPr>
          <w:p>
            <w:r/>
            <w:r>
              <w:rPr>
                <w:rFonts w:ascii="Calibri" w:hAnsi="Calibri"/>
                <w:color w:val="0F172A"/>
                <w:sz w:val="18"/>
              </w:rPr>
              <w:t>9</w:t>
            </w:r>
          </w:p>
        </w:tc>
        <w:tc>
          <w:tcPr>
            <w:tcW w:type="dxa" w:w="1083"/>
          </w:tcPr>
          <w:p>
            <w:r/>
            <w:r>
              <w:rPr>
                <w:rFonts w:ascii="Calibri" w:hAnsi="Calibri"/>
                <w:b/>
                <w:color w:val="0F172A"/>
                <w:sz w:val="18"/>
              </w:rPr>
              <w:t>360</w:t>
            </w:r>
          </w:p>
        </w:tc>
        <w:tc>
          <w:tcPr>
            <w:tcW w:type="dxa" w:w="1083"/>
          </w:tcPr>
          <w:p>
            <w:r/>
            <w:r>
              <w:rPr>
                <w:rFonts w:ascii="Calibri" w:hAnsi="Calibri"/>
                <w:color w:val="0F172A"/>
                <w:sz w:val="18"/>
              </w:rPr>
              <w:t>Vendor remote access to grading system</w:t>
            </w:r>
          </w:p>
        </w:tc>
      </w:tr>
      <w:tr>
        <w:tc>
          <w:tcPr>
            <w:tcW w:type="dxa" w:w="1083"/>
          </w:tcPr>
          <w:p>
            <w:r/>
            <w:r>
              <w:rPr>
                <w:rFonts w:ascii="Calibri" w:hAnsi="Calibri"/>
                <w:color w:val="0F172A"/>
                <w:sz w:val="18"/>
              </w:rPr>
              <w:t>8</w:t>
            </w:r>
          </w:p>
        </w:tc>
        <w:tc>
          <w:tcPr>
            <w:tcW w:type="dxa" w:w="1083"/>
          </w:tcPr>
          <w:p>
            <w:r/>
            <w:r>
              <w:rPr>
                <w:rFonts w:ascii="Calibri" w:hAnsi="Calibri"/>
                <w:color w:val="0F172A"/>
                <w:sz w:val="18"/>
              </w:rPr>
              <w:t>Formation &amp; Aging</w:t>
            </w:r>
          </w:p>
        </w:tc>
        <w:tc>
          <w:tcPr>
            <w:tcW w:type="dxa" w:w="1083"/>
          </w:tcPr>
          <w:p>
            <w:r/>
            <w:r>
              <w:rPr>
                <w:rFonts w:ascii="Calibri" w:hAnsi="Calibri"/>
                <w:color w:val="0F172A"/>
                <w:sz w:val="18"/>
              </w:rPr>
              <w:t>Charging profile tampering</w:t>
            </w:r>
          </w:p>
        </w:tc>
        <w:tc>
          <w:tcPr>
            <w:tcW w:type="dxa" w:w="1083"/>
          </w:tcPr>
          <w:p>
            <w:r/>
            <w:r>
              <w:rPr>
                <w:rFonts w:ascii="Calibri" w:hAnsi="Calibri"/>
                <w:color w:val="0F172A"/>
                <w:sz w:val="18"/>
              </w:rPr>
              <w:t>Thermal runaway / cell degradation</w:t>
            </w:r>
          </w:p>
        </w:tc>
        <w:tc>
          <w:tcPr>
            <w:tcW w:type="dxa" w:w="1083"/>
          </w:tcPr>
          <w:p>
            <w:r/>
            <w:r>
              <w:rPr>
                <w:rFonts w:ascii="Calibri" w:hAnsi="Calibri"/>
                <w:color w:val="0F172A"/>
                <w:sz w:val="18"/>
              </w:rPr>
              <w:t>10</w:t>
            </w:r>
          </w:p>
        </w:tc>
        <w:tc>
          <w:tcPr>
            <w:tcW w:type="dxa" w:w="1083"/>
          </w:tcPr>
          <w:p>
            <w:r/>
            <w:r>
              <w:rPr>
                <w:rFonts w:ascii="Calibri" w:hAnsi="Calibri"/>
                <w:color w:val="0F172A"/>
                <w:sz w:val="18"/>
              </w:rPr>
              <w:t>5</w:t>
            </w:r>
          </w:p>
        </w:tc>
        <w:tc>
          <w:tcPr>
            <w:tcW w:type="dxa" w:w="1083"/>
          </w:tcPr>
          <w:p>
            <w:r/>
            <w:r>
              <w:rPr>
                <w:rFonts w:ascii="Calibri" w:hAnsi="Calibri"/>
                <w:color w:val="0F172A"/>
                <w:sz w:val="18"/>
              </w:rPr>
              <w:t>7</w:t>
            </w:r>
          </w:p>
        </w:tc>
        <w:tc>
          <w:tcPr>
            <w:tcW w:type="dxa" w:w="1083"/>
          </w:tcPr>
          <w:p>
            <w:r/>
            <w:r>
              <w:rPr>
                <w:rFonts w:ascii="Calibri" w:hAnsi="Calibri"/>
                <w:b/>
                <w:color w:val="0F172A"/>
                <w:sz w:val="18"/>
              </w:rPr>
              <w:t>350</w:t>
            </w:r>
          </w:p>
        </w:tc>
        <w:tc>
          <w:tcPr>
            <w:tcW w:type="dxa" w:w="1083"/>
          </w:tcPr>
          <w:p>
            <w:r/>
            <w:r>
              <w:rPr>
                <w:rFonts w:ascii="Calibri" w:hAnsi="Calibri"/>
                <w:color w:val="0F172A"/>
                <w:sz w:val="18"/>
              </w:rPr>
              <w:t>Vendor remote access to formation cycling</w:t>
            </w:r>
          </w:p>
        </w:tc>
      </w:tr>
      <w:tr>
        <w:tc>
          <w:tcPr>
            <w:tcW w:type="dxa" w:w="1083"/>
          </w:tcPr>
          <w:p>
            <w:r/>
            <w:r>
              <w:rPr>
                <w:rFonts w:ascii="Calibri" w:hAnsi="Calibri"/>
                <w:color w:val="0F172A"/>
                <w:sz w:val="18"/>
              </w:rPr>
              <w:t>9</w:t>
            </w:r>
          </w:p>
        </w:tc>
        <w:tc>
          <w:tcPr>
            <w:tcW w:type="dxa" w:w="1083"/>
          </w:tcPr>
          <w:p>
            <w:r/>
            <w:r>
              <w:rPr>
                <w:rFonts w:ascii="Calibri" w:hAnsi="Calibri"/>
                <w:color w:val="0F172A"/>
                <w:sz w:val="18"/>
              </w:rPr>
              <w:t>Slurry Mixing</w:t>
            </w:r>
          </w:p>
        </w:tc>
        <w:tc>
          <w:tcPr>
            <w:tcW w:type="dxa" w:w="1083"/>
          </w:tcPr>
          <w:p>
            <w:r/>
            <w:r>
              <w:rPr>
                <w:rFonts w:ascii="Calibri" w:hAnsi="Calibri"/>
                <w:color w:val="0F172A"/>
                <w:sz w:val="18"/>
              </w:rPr>
              <w:t>Ransomware locks Industrial PC</w:t>
            </w:r>
          </w:p>
        </w:tc>
        <w:tc>
          <w:tcPr>
            <w:tcW w:type="dxa" w:w="1083"/>
          </w:tcPr>
          <w:p>
            <w:r/>
            <w:r>
              <w:rPr>
                <w:rFonts w:ascii="Calibri" w:hAnsi="Calibri"/>
                <w:color w:val="0F172A"/>
                <w:sz w:val="18"/>
              </w:rPr>
              <w:t>Material hardens in tanks, massive scrap</w:t>
            </w:r>
          </w:p>
        </w:tc>
        <w:tc>
          <w:tcPr>
            <w:tcW w:type="dxa" w:w="1083"/>
          </w:tcPr>
          <w:p>
            <w:r/>
            <w:r>
              <w:rPr>
                <w:rFonts w:ascii="Calibri" w:hAnsi="Calibri"/>
                <w:color w:val="0F172A"/>
                <w:sz w:val="18"/>
              </w:rPr>
              <w:t>8</w:t>
            </w:r>
          </w:p>
        </w:tc>
        <w:tc>
          <w:tcPr>
            <w:tcW w:type="dxa" w:w="1083"/>
          </w:tcPr>
          <w:p>
            <w:r/>
            <w:r>
              <w:rPr>
                <w:rFonts w:ascii="Calibri" w:hAnsi="Calibri"/>
                <w:color w:val="0F172A"/>
                <w:sz w:val="18"/>
              </w:rPr>
              <w:t>7</w:t>
            </w:r>
          </w:p>
        </w:tc>
        <w:tc>
          <w:tcPr>
            <w:tcW w:type="dxa" w:w="1083"/>
          </w:tcPr>
          <w:p>
            <w:r/>
            <w:r>
              <w:rPr>
                <w:rFonts w:ascii="Calibri" w:hAnsi="Calibri"/>
                <w:color w:val="0F172A"/>
                <w:sz w:val="18"/>
              </w:rPr>
              <w:t>6</w:t>
            </w:r>
          </w:p>
        </w:tc>
        <w:tc>
          <w:tcPr>
            <w:tcW w:type="dxa" w:w="1083"/>
          </w:tcPr>
          <w:p>
            <w:r/>
            <w:r>
              <w:rPr>
                <w:rFonts w:ascii="Calibri" w:hAnsi="Calibri"/>
                <w:b/>
                <w:color w:val="0F172A"/>
                <w:sz w:val="18"/>
              </w:rPr>
              <w:t>336</w:t>
            </w:r>
          </w:p>
        </w:tc>
        <w:tc>
          <w:tcPr>
            <w:tcW w:type="dxa" w:w="1083"/>
          </w:tcPr>
          <w:p>
            <w:r/>
            <w:r>
              <w:rPr>
                <w:rFonts w:ascii="Calibri" w:hAnsi="Calibri"/>
                <w:color w:val="0F172A"/>
                <w:sz w:val="18"/>
              </w:rPr>
              <w:t>No IT/OT network segmentation</w:t>
            </w:r>
          </w:p>
        </w:tc>
      </w:tr>
      <w:tr>
        <w:tc>
          <w:tcPr>
            <w:tcW w:type="dxa" w:w="1083"/>
          </w:tcPr>
          <w:p>
            <w:r/>
            <w:r>
              <w:rPr>
                <w:rFonts w:ascii="Calibri" w:hAnsi="Calibri"/>
                <w:color w:val="0F172A"/>
                <w:sz w:val="18"/>
              </w:rPr>
              <w:t>10</w:t>
            </w:r>
          </w:p>
        </w:tc>
        <w:tc>
          <w:tcPr>
            <w:tcW w:type="dxa" w:w="1083"/>
          </w:tcPr>
          <w:p>
            <w:r/>
            <w:r>
              <w:rPr>
                <w:rFonts w:ascii="Calibri" w:hAnsi="Calibri"/>
                <w:color w:val="0F172A"/>
                <w:sz w:val="18"/>
              </w:rPr>
              <w:t>Electrolyte Injection</w:t>
            </w:r>
          </w:p>
        </w:tc>
        <w:tc>
          <w:tcPr>
            <w:tcW w:type="dxa" w:w="1083"/>
          </w:tcPr>
          <w:p>
            <w:r/>
            <w:r>
              <w:rPr>
                <w:rFonts w:ascii="Calibri" w:hAnsi="Calibri"/>
                <w:color w:val="0F172A"/>
                <w:sz w:val="18"/>
              </w:rPr>
              <w:t>Dosing volume tampering</w:t>
            </w:r>
          </w:p>
        </w:tc>
        <w:tc>
          <w:tcPr>
            <w:tcW w:type="dxa" w:w="1083"/>
          </w:tcPr>
          <w:p>
            <w:r/>
            <w:r>
              <w:rPr>
                <w:rFonts w:ascii="Calibri" w:hAnsi="Calibri"/>
                <w:color w:val="0F172A"/>
                <w:sz w:val="18"/>
              </w:rPr>
              <w:t>Over/under-fill, safety hazard</w:t>
            </w:r>
          </w:p>
        </w:tc>
        <w:tc>
          <w:tcPr>
            <w:tcW w:type="dxa" w:w="1083"/>
          </w:tcPr>
          <w:p>
            <w:r/>
            <w:r>
              <w:rPr>
                <w:rFonts w:ascii="Calibri" w:hAnsi="Calibri"/>
                <w:color w:val="0F172A"/>
                <w:sz w:val="18"/>
              </w:rPr>
              <w:t>10</w:t>
            </w:r>
          </w:p>
        </w:tc>
        <w:tc>
          <w:tcPr>
            <w:tcW w:type="dxa" w:w="1083"/>
          </w:tcPr>
          <w:p>
            <w:r/>
            <w:r>
              <w:rPr>
                <w:rFonts w:ascii="Calibri" w:hAnsi="Calibri"/>
                <w:color w:val="0F172A"/>
                <w:sz w:val="18"/>
              </w:rPr>
              <w:t>4</w:t>
            </w:r>
          </w:p>
        </w:tc>
        <w:tc>
          <w:tcPr>
            <w:tcW w:type="dxa" w:w="1083"/>
          </w:tcPr>
          <w:p>
            <w:r/>
            <w:r>
              <w:rPr>
                <w:rFonts w:ascii="Calibri" w:hAnsi="Calibri"/>
                <w:color w:val="0F172A"/>
                <w:sz w:val="18"/>
              </w:rPr>
              <w:t>8</w:t>
            </w:r>
          </w:p>
        </w:tc>
        <w:tc>
          <w:tcPr>
            <w:tcW w:type="dxa" w:w="1083"/>
          </w:tcPr>
          <w:p>
            <w:r/>
            <w:r>
              <w:rPr>
                <w:rFonts w:ascii="Calibri" w:hAnsi="Calibri"/>
                <w:b/>
                <w:color w:val="0F172A"/>
                <w:sz w:val="18"/>
              </w:rPr>
              <w:t>320</w:t>
            </w:r>
          </w:p>
        </w:tc>
        <w:tc>
          <w:tcPr>
            <w:tcW w:type="dxa" w:w="1083"/>
          </w:tcPr>
          <w:p>
            <w:r/>
            <w:r>
              <w:rPr>
                <w:rFonts w:ascii="Calibri" w:hAnsi="Calibri"/>
                <w:color w:val="0F172A"/>
                <w:sz w:val="18"/>
              </w:rPr>
              <w:t>HMI compromise via phishing; no interlocks</w:t>
            </w:r>
          </w:p>
        </w:tc>
      </w:tr>
      <w:tr>
        <w:tc>
          <w:tcPr>
            <w:tcW w:type="dxa" w:w="1083"/>
          </w:tcPr>
          <w:p>
            <w:r/>
            <w:r>
              <w:rPr>
                <w:rFonts w:ascii="Calibri" w:hAnsi="Calibri"/>
                <w:color w:val="0F172A"/>
                <w:sz w:val="18"/>
              </w:rPr>
              <w:t>11</w:t>
            </w:r>
          </w:p>
        </w:tc>
        <w:tc>
          <w:tcPr>
            <w:tcW w:type="dxa" w:w="1083"/>
          </w:tcPr>
          <w:p>
            <w:r/>
            <w:r>
              <w:rPr>
                <w:rFonts w:ascii="Calibri" w:hAnsi="Calibri"/>
                <w:color w:val="0F172A"/>
                <w:sz w:val="18"/>
              </w:rPr>
              <w:t>Slurry Mixing</w:t>
            </w:r>
          </w:p>
        </w:tc>
        <w:tc>
          <w:tcPr>
            <w:tcW w:type="dxa" w:w="1083"/>
          </w:tcPr>
          <w:p>
            <w:r/>
            <w:r>
              <w:rPr>
                <w:rFonts w:ascii="Calibri" w:hAnsi="Calibri"/>
                <w:color w:val="0F172A"/>
                <w:sz w:val="18"/>
              </w:rPr>
              <w:t>Batch tracking malware</w:t>
            </w:r>
          </w:p>
        </w:tc>
        <w:tc>
          <w:tcPr>
            <w:tcW w:type="dxa" w:w="1083"/>
          </w:tcPr>
          <w:p>
            <w:r/>
            <w:r>
              <w:rPr>
                <w:rFonts w:ascii="Calibri" w:hAnsi="Calibri"/>
                <w:color w:val="0F172A"/>
                <w:sz w:val="18"/>
              </w:rPr>
              <w:t>Traceability loss, regulatory exposure</w:t>
            </w:r>
          </w:p>
        </w:tc>
        <w:tc>
          <w:tcPr>
            <w:tcW w:type="dxa" w:w="1083"/>
          </w:tcPr>
          <w:p>
            <w:r/>
            <w:r>
              <w:rPr>
                <w:rFonts w:ascii="Calibri" w:hAnsi="Calibri"/>
                <w:color w:val="0F172A"/>
                <w:sz w:val="18"/>
              </w:rPr>
              <w:t>7</w:t>
            </w:r>
          </w:p>
        </w:tc>
        <w:tc>
          <w:tcPr>
            <w:tcW w:type="dxa" w:w="1083"/>
          </w:tcPr>
          <w:p>
            <w:r/>
            <w:r>
              <w:rPr>
                <w:rFonts w:ascii="Calibri" w:hAnsi="Calibri"/>
                <w:color w:val="0F172A"/>
                <w:sz w:val="18"/>
              </w:rPr>
              <w:t>5</w:t>
            </w:r>
          </w:p>
        </w:tc>
        <w:tc>
          <w:tcPr>
            <w:tcW w:type="dxa" w:w="1083"/>
          </w:tcPr>
          <w:p>
            <w:r/>
            <w:r>
              <w:rPr>
                <w:rFonts w:ascii="Calibri" w:hAnsi="Calibri"/>
                <w:color w:val="0F172A"/>
                <w:sz w:val="18"/>
              </w:rPr>
              <w:t>7</w:t>
            </w:r>
          </w:p>
        </w:tc>
        <w:tc>
          <w:tcPr>
            <w:tcW w:type="dxa" w:w="1083"/>
          </w:tcPr>
          <w:p>
            <w:r/>
            <w:r>
              <w:rPr>
                <w:rFonts w:ascii="Calibri" w:hAnsi="Calibri"/>
                <w:b/>
                <w:color w:val="0F172A"/>
                <w:sz w:val="18"/>
              </w:rPr>
              <w:t>245</w:t>
            </w:r>
          </w:p>
        </w:tc>
        <w:tc>
          <w:tcPr>
            <w:tcW w:type="dxa" w:w="1083"/>
          </w:tcPr>
          <w:p>
            <w:r/>
            <w:r>
              <w:rPr>
                <w:rFonts w:ascii="Calibri" w:hAnsi="Calibri"/>
                <w:color w:val="0F172A"/>
                <w:sz w:val="18"/>
              </w:rPr>
              <w:t>MES compromise via vendor access</w:t>
            </w:r>
          </w:p>
        </w:tc>
      </w:tr>
      <w:tr>
        <w:tc>
          <w:tcPr>
            <w:tcW w:type="dxa" w:w="1083"/>
          </w:tcPr>
          <w:p>
            <w:r/>
            <w:r>
              <w:rPr>
                <w:rFonts w:ascii="Calibri" w:hAnsi="Calibri"/>
                <w:color w:val="0F172A"/>
                <w:sz w:val="18"/>
              </w:rPr>
              <w:t>12</w:t>
            </w:r>
          </w:p>
        </w:tc>
        <w:tc>
          <w:tcPr>
            <w:tcW w:type="dxa" w:w="1083"/>
          </w:tcPr>
          <w:p>
            <w:r/>
            <w:r>
              <w:rPr>
                <w:rFonts w:ascii="Calibri" w:hAnsi="Calibri"/>
                <w:color w:val="0F172A"/>
                <w:sz w:val="18"/>
              </w:rPr>
              <w:t>Cell Assembly</w:t>
            </w:r>
          </w:p>
        </w:tc>
        <w:tc>
          <w:tcPr>
            <w:tcW w:type="dxa" w:w="1083"/>
          </w:tcPr>
          <w:p>
            <w:r/>
            <w:r>
              <w:rPr>
                <w:rFonts w:ascii="Calibri" w:hAnsi="Calibri"/>
                <w:color w:val="0F172A"/>
                <w:sz w:val="18"/>
              </w:rPr>
              <w:t>Authentication bypass</w:t>
            </w:r>
          </w:p>
        </w:tc>
        <w:tc>
          <w:tcPr>
            <w:tcW w:type="dxa" w:w="1083"/>
          </w:tcPr>
          <w:p>
            <w:r/>
            <w:r>
              <w:rPr>
                <w:rFonts w:ascii="Calibri" w:hAnsi="Calibri"/>
                <w:color w:val="0F172A"/>
                <w:sz w:val="18"/>
              </w:rPr>
              <w:t>Unauthorized recipe change</w:t>
            </w:r>
          </w:p>
        </w:tc>
        <w:tc>
          <w:tcPr>
            <w:tcW w:type="dxa" w:w="1083"/>
          </w:tcPr>
          <w:p>
            <w:r/>
            <w:r>
              <w:rPr>
                <w:rFonts w:ascii="Calibri" w:hAnsi="Calibri"/>
                <w:color w:val="0F172A"/>
                <w:sz w:val="18"/>
              </w:rPr>
              <w:t>9</w:t>
            </w:r>
          </w:p>
        </w:tc>
        <w:tc>
          <w:tcPr>
            <w:tcW w:type="dxa" w:w="1083"/>
          </w:tcPr>
          <w:p>
            <w:r/>
            <w:r>
              <w:rPr>
                <w:rFonts w:ascii="Calibri" w:hAnsi="Calibri"/>
                <w:color w:val="0F172A"/>
                <w:sz w:val="18"/>
              </w:rPr>
              <w:t>3</w:t>
            </w:r>
          </w:p>
        </w:tc>
        <w:tc>
          <w:tcPr>
            <w:tcW w:type="dxa" w:w="1083"/>
          </w:tcPr>
          <w:p>
            <w:r/>
            <w:r>
              <w:rPr>
                <w:rFonts w:ascii="Calibri" w:hAnsi="Calibri"/>
                <w:color w:val="0F172A"/>
                <w:sz w:val="18"/>
              </w:rPr>
              <w:t>7</w:t>
            </w:r>
          </w:p>
        </w:tc>
        <w:tc>
          <w:tcPr>
            <w:tcW w:type="dxa" w:w="1083"/>
          </w:tcPr>
          <w:p>
            <w:r/>
            <w:r>
              <w:rPr>
                <w:rFonts w:ascii="Calibri" w:hAnsi="Calibri"/>
                <w:b/>
                <w:color w:val="0F172A"/>
                <w:sz w:val="18"/>
              </w:rPr>
              <w:t>189</w:t>
            </w:r>
          </w:p>
        </w:tc>
        <w:tc>
          <w:tcPr>
            <w:tcW w:type="dxa" w:w="1083"/>
          </w:tcPr>
          <w:p>
            <w:r/>
            <w:r>
              <w:rPr>
                <w:rFonts w:ascii="Calibri" w:hAnsi="Calibri"/>
                <w:color w:val="0F172A"/>
                <w:sz w:val="18"/>
              </w:rPr>
              <w:t>Shared service accounts, no MFA on engineering workstations</w:t>
            </w:r>
          </w:p>
        </w:tc>
      </w:tr>
    </w:tbl>
    <w:p/>
    <w:p>
      <w:r>
        <w:rPr>
          <w:rFonts w:ascii="Calibri" w:hAnsi="Calibri"/>
          <w:b/>
          <w:sz w:val="22"/>
        </w:rPr>
        <w:t>FMEA observations:</w:t>
      </w:r>
    </w:p>
    <w:p>
      <w:pPr>
        <w:pStyle w:val="ListBullet"/>
      </w:pPr>
      <w:r>
        <w:rPr>
          <w:rFonts w:ascii="Calibri" w:hAnsi="Calibri"/>
          <w:b/>
          <w:sz w:val="22"/>
        </w:rPr>
        <w:t>7 of the top 12 are silent corruption (SC)</w:t>
      </w:r>
      <w:r>
        <w:rPr>
          <w:rFonts w:ascii="Calibri" w:hAnsi="Calibri"/>
          <w:sz w:val="22"/>
        </w:rPr>
        <w:t xml:space="preserve"> — the structural reason </w:t>
      </w:r>
      <w:r>
        <w:rPr>
          <w:rFonts w:ascii="Consolas" w:hAnsi="Consolas"/>
          <w:sz w:val="20"/>
        </w:rPr>
        <w:t>E_silent_corruption</w:t>
      </w:r>
      <w:r>
        <w:rPr>
          <w:rFonts w:ascii="Calibri" w:hAnsi="Calibri"/>
          <w:sz w:val="22"/>
        </w:rPr>
        <w:t xml:space="preserve"> is broken out as its own exposure class</w:t>
      </w:r>
    </w:p>
    <w:p>
      <w:pPr>
        <w:pStyle w:val="ListBullet"/>
      </w:pPr>
      <w:r>
        <w:rPr>
          <w:rFonts w:ascii="Calibri" w:hAnsi="Calibri"/>
          <w:b/>
          <w:sz w:val="22"/>
        </w:rPr>
        <w:t>7 of the top 12 carry S = 10</w:t>
      </w:r>
      <w:r>
        <w:rPr>
          <w:rFonts w:ascii="Calibri" w:hAnsi="Calibri"/>
          <w:sz w:val="22"/>
        </w:rPr>
        <w:t xml:space="preserve"> (all SC modes + electrolyte injection dosing + formation charging profile) — the existential tail is broader than initially modelled and is dominated by parameter-tampering</w:t>
      </w:r>
    </w:p>
    <w:p>
      <w:pPr>
        <w:pStyle w:val="ListBullet"/>
      </w:pPr>
      <w:r>
        <w:rPr>
          <w:rFonts w:ascii="Calibri" w:hAnsi="Calibri"/>
          <w:b/>
          <w:sz w:val="22"/>
        </w:rPr>
        <w:t>D scores are 7–9 for all SC modes</w:t>
      </w:r>
      <w:r>
        <w:rPr>
          <w:rFonts w:ascii="Calibri" w:hAnsi="Calibri"/>
          <w:sz w:val="22"/>
        </w:rPr>
        <w:t xml:space="preserve"> — detection is the binding constraint, validating the AI-augmented Layer 3 design</w:t>
      </w:r>
    </w:p>
    <w:p>
      <w:pPr>
        <w:pStyle w:val="ListBullet"/>
      </w:pPr>
      <w:r>
        <w:rPr>
          <w:rFonts w:ascii="Calibri" w:hAnsi="Calibri"/>
          <w:b/>
          <w:sz w:val="22"/>
        </w:rPr>
        <w:t>Common root causes cluster around three themes:</w:t>
      </w:r>
      <w:r>
        <w:rPr>
          <w:rFonts w:ascii="Calibri" w:hAnsi="Calibri"/>
          <w:sz w:val="22"/>
        </w:rPr>
        <w:t xml:space="preserve"> (a) no parameter integrity (cryptographic signing missing), (b) vendor remote access without sufficient controls, (c) IT/OT segmentation gaps</w:t>
      </w:r>
    </w:p>
    <w:p>
      <w:pPr>
        <w:pStyle w:val="ListBullet"/>
      </w:pPr>
      <w:r>
        <w:rPr>
          <w:rFonts w:ascii="Calibri" w:hAnsi="Calibri"/>
          <w:b/>
          <w:sz w:val="22"/>
        </w:rPr>
        <w:t>The re-ranked top 5 (RPN ≥ 450) are all silent corruption modes</w:t>
      </w:r>
      <w:r>
        <w:rPr>
          <w:rFonts w:ascii="Calibri" w:hAnsi="Calibri"/>
          <w:sz w:val="22"/>
        </w:rPr>
        <w:t xml:space="preserve"> — silent corruption is the binding risk class, not overt ransomware</w:t>
      </w:r>
    </w:p>
    <w:p>
      <w:r>
        <w:rPr>
          <w:rFonts w:ascii="Calibri" w:hAnsi="Calibri"/>
          <w:b/>
          <w:color w:val="0F172A"/>
          <w:sz w:val="24"/>
        </w:rPr>
        <w:t>4.4.4 Root-Cause Analysis (5-Why on Top 5 RPN)</w:t>
      </w:r>
    </w:p>
    <w:p>
      <w:r>
        <w:rPr>
          <w:rFonts w:ascii="Calibri" w:hAnsi="Calibri"/>
          <w:sz w:val="22"/>
        </w:rPr>
        <w:t>For each of the top 5 RPN failure modes, the Analyse phase produces a 5-Why root-cause chain and a recommended control. Example for #1:</w:t>
      </w:r>
    </w:p>
    <w:p>
      <w:r>
        <w:rPr>
          <w:rFonts w:ascii="Calibri" w:hAnsi="Calibri"/>
          <w:b/>
          <w:sz w:val="22"/>
        </w:rPr>
        <w:t>Failure mode #1 — Formation &amp; Aging aging cycle manipulation (RPN 486)</w:t>
      </w:r>
    </w:p>
    <w:p>
      <w:pPr>
        <w:pStyle w:val="ListBullet"/>
      </w:pPr>
      <w:r>
        <w:rPr>
          <w:rFonts w:ascii="Calibri" w:hAnsi="Calibri"/>
          <w:sz w:val="22"/>
        </w:rPr>
        <w:t>Why 1: Cells degrade prematurely in field → Aging cycle was altered</w:t>
      </w:r>
    </w:p>
    <w:p>
      <w:pPr>
        <w:pStyle w:val="ListBullet"/>
      </w:pPr>
      <w:r>
        <w:rPr>
          <w:rFonts w:ascii="Calibri" w:hAnsi="Calibri"/>
          <w:sz w:val="22"/>
        </w:rPr>
        <w:t>Why 2: Aging cycle was altered → Unauthorised firmware update pushed to BMS</w:t>
      </w:r>
    </w:p>
    <w:p>
      <w:pPr>
        <w:pStyle w:val="ListBullet"/>
      </w:pPr>
      <w:r>
        <w:rPr>
          <w:rFonts w:ascii="Calibri" w:hAnsi="Calibri"/>
          <w:sz w:val="22"/>
        </w:rPr>
        <w:t>Why 3: Unauthorised firmware update was accepted → No cryptographic signature verification on firmware</w:t>
      </w:r>
    </w:p>
    <w:p>
      <w:pPr>
        <w:pStyle w:val="ListBullet"/>
      </w:pPr>
      <w:r>
        <w:rPr>
          <w:rFonts w:ascii="Calibri" w:hAnsi="Calibri"/>
          <w:sz w:val="22"/>
        </w:rPr>
        <w:t>Why 4: No signature verification → BMS firmware update path not in scope of vendor access controls</w:t>
      </w:r>
    </w:p>
    <w:p>
      <w:pPr>
        <w:pStyle w:val="ListBullet"/>
      </w:pPr>
      <w:r>
        <w:rPr>
          <w:rFonts w:ascii="Calibri" w:hAnsi="Calibri"/>
          <w:sz w:val="22"/>
        </w:rPr>
        <w:t>Why 5: Not in scope → Engineering treated BMS firmware as a maintenance task, not a cyber-controlled change</w:t>
      </w:r>
    </w:p>
    <w:p>
      <w:r>
        <w:rPr>
          <w:rFonts w:ascii="Calibri" w:hAnsi="Calibri"/>
          <w:b/>
          <w:sz w:val="22"/>
        </w:rPr>
        <w:t>Recommended control:</w:t>
      </w:r>
      <w:r>
        <w:rPr>
          <w:rFonts w:ascii="Calibri" w:hAnsi="Calibri"/>
          <w:sz w:val="22"/>
        </w:rPr>
        <w:t xml:space="preserve"> Cryptographic signature verification on all BMS firmware updates; vendor remote access through authenticated broker with cryptographic handshake; quarterly red-team exercise specifically targeting BMS update path.</w:t>
      </w:r>
    </w:p>
    <w:p>
      <w:r>
        <w:rPr>
          <w:rFonts w:ascii="Calibri" w:hAnsi="Calibri"/>
          <w:b/>
          <w:color w:val="0F172A"/>
          <w:sz w:val="24"/>
        </w:rPr>
        <w:t>4.4.5 Fishbone (Ishikawa) — Categorised Root Causes</w:t>
      </w:r>
    </w:p>
    <w:p>
      <w:r>
        <w:rPr>
          <w:rFonts w:ascii="Calibri" w:hAnsi="Calibri"/>
          <w:sz w:val="22"/>
        </w:rPr>
        <w:t>The Analyse phase also produces a Digital Fishbone grouping all identified root causes:</w:t>
      </w:r>
    </w:p>
    <w:p>
      <w:pPr>
        <w:shd w:val="clear" w:color="auto" w:fill="F1F5F9"/>
        <w:pBdr>
          <w:top w:val="single" w:sz="4" w:space="4" w:color="E2E8F0"/>
          <w:left w:val="single" w:sz="4" w:space="4" w:color="E2E8F0"/>
          <w:bottom w:val="single" w:sz="4" w:space="4" w:color="E2E8F0"/>
          <w:right w:val="single" w:sz="4" w:space="4" w:color="E2E8F0"/>
        </w:pBdr>
      </w:pPr>
      <w:r>
        <w:rPr>
          <w:rFonts w:ascii="Consolas" w:hAnsi="Consolas"/>
          <w:color w:val="334155"/>
          <w:sz w:val="18"/>
        </w:rPr>
        <w:t xml:space="preserve">                                                  [ CYBER-INDUCED DOWNTIME ]</w:t>
        <w:br/>
      </w:r>
      <w:r>
        <w:rPr>
          <w:rFonts w:ascii="Consolas" w:hAnsi="Consolas"/>
          <w:color w:val="334155"/>
          <w:sz w:val="18"/>
        </w:rPr>
        <w:t xml:space="preserve">                                                            │</w:t>
        <w:br/>
      </w:r>
      <w:r>
        <w:rPr>
          <w:rFonts w:ascii="Consolas" w:hAnsi="Consolas"/>
          <w:color w:val="334155"/>
          <w:sz w:val="18"/>
        </w:rPr>
        <w:t xml:space="preserve">        ┌──────────────────┬──────────────────┬──────────────┼──────────────┬──────────────────┬──────────────────┐</w:t>
        <w:br/>
      </w:r>
      <w:r>
        <w:rPr>
          <w:rFonts w:ascii="Consolas" w:hAnsi="Consolas"/>
          <w:color w:val="334155"/>
          <w:sz w:val="18"/>
        </w:rPr>
        <w:t xml:space="preserve">        │                  │                  │              │              │                  │                  │</w:t>
        <w:br/>
      </w:r>
      <w:r>
        <w:rPr>
          <w:rFonts w:ascii="Consolas" w:hAnsi="Consolas"/>
          <w:color w:val="334155"/>
          <w:sz w:val="18"/>
        </w:rPr>
        <w:t xml:space="preserve">   [ MACHINE ]       [ METHOD ]        [ MANPOWER ]   [ MEASUREMENT ]   [ MATERIAL ]      [ ENVIRONMENT ]</w:t>
        <w:br/>
      </w:r>
      <w:r>
        <w:rPr>
          <w:rFonts w:ascii="Consolas" w:hAnsi="Consolas"/>
          <w:color w:val="334155"/>
          <w:sz w:val="18"/>
        </w:rPr>
        <w:t xml:space="preserve">  Legacy PLCs       Lack of MFA      Phishing        False-positive   Vendor firmware     Shared IT/OT</w:t>
        <w:br/>
      </w:r>
      <w:r>
        <w:rPr>
          <w:rFonts w:ascii="Consolas" w:hAnsi="Consolas"/>
          <w:color w:val="334155"/>
          <w:sz w:val="18"/>
        </w:rPr>
        <w:t xml:space="preserve">  No encryption     No air-gap       susceptibility  alerts           unsigned            network</w:t>
        <w:br/>
      </w:r>
      <w:r>
        <w:rPr>
          <w:rFonts w:ascii="Consolas" w:hAnsi="Consolas"/>
          <w:color w:val="334155"/>
          <w:sz w:val="18"/>
        </w:rPr>
        <w:t xml:space="preserve">  Unauth firmware   No signed        Insufficient    No parameter-    Untrusted remote    No DMZ</w:t>
        <w:br/>
      </w:r>
      <w:r>
        <w:rPr>
          <w:rFonts w:ascii="Consolas" w:hAnsi="Consolas"/>
          <w:color w:val="334155"/>
          <w:sz w:val="18"/>
        </w:rPr>
        <w:t xml:space="preserve">  ports             recipes          cyber training  drift baseline   access broker</w:t>
      </w:r>
    </w:p>
    <w:p>
      <w:r>
        <w:rPr>
          <w:rFonts w:ascii="Calibri" w:hAnsi="Calibri"/>
          <w:b/>
          <w:color w:val="0F172A"/>
          <w:sz w:val="24"/>
        </w:rPr>
        <w:t>4.4.6 Track Allocation — Analyse</w:t>
      </w:r>
    </w:p>
    <w:tbl>
      <w:tblPr>
        <w:tblStyle w:val="LightGrid-Accent1"/>
        <w:tblW w:type="auto" w:w="0"/>
        <w:tblLook w:firstColumn="1" w:firstRow="1" w:lastColumn="0" w:lastRow="0" w:noHBand="0" w:noVBand="1" w:val="04A0"/>
      </w:tblPr>
      <w:tblGrid>
        <w:gridCol w:w="3249"/>
        <w:gridCol w:w="3249"/>
        <w:gridCol w:w="3249"/>
      </w:tblGrid>
      <w:tr>
        <w:tc>
          <w:tcPr>
            <w:tcW w:type="dxa" w:w="3249"/>
            <w:shd w:val="clear" w:color="auto" w:fill="1E40AF"/>
          </w:tcPr>
          <w:p>
            <w:r/>
            <w:r>
              <w:rPr>
                <w:rFonts w:ascii="Calibri" w:hAnsi="Calibri"/>
                <w:b/>
                <w:color w:val="FFFFFF"/>
                <w:sz w:val="20"/>
              </w:rPr>
              <w:t>Track</w:t>
            </w:r>
          </w:p>
        </w:tc>
        <w:tc>
          <w:tcPr>
            <w:tcW w:type="dxa" w:w="3249"/>
            <w:shd w:val="clear" w:color="auto" w:fill="1E40AF"/>
          </w:tcPr>
          <w:p>
            <w:r/>
            <w:r>
              <w:rPr>
                <w:rFonts w:ascii="Calibri" w:hAnsi="Calibri"/>
                <w:b/>
                <w:color w:val="FFFFFF"/>
                <w:sz w:val="20"/>
              </w:rPr>
              <w:t>Headcount</w:t>
            </w:r>
          </w:p>
        </w:tc>
        <w:tc>
          <w:tcPr>
            <w:tcW w:type="dxa" w:w="3249"/>
            <w:shd w:val="clear" w:color="auto" w:fill="1E40AF"/>
          </w:tcPr>
          <w:p>
            <w:r/>
            <w:r>
              <w:rPr>
                <w:rFonts w:ascii="Calibri" w:hAnsi="Calibri"/>
                <w:b/>
                <w:color w:val="FFFFFF"/>
                <w:sz w:val="20"/>
              </w:rPr>
              <w:t>Analyse-phase activities</w:t>
            </w:r>
          </w:p>
        </w:tc>
      </w:tr>
      <w:tr>
        <w:tc>
          <w:tcPr>
            <w:tcW w:type="dxa" w:w="3249"/>
          </w:tcPr>
          <w:p>
            <w:r/>
            <w:r>
              <w:rPr>
                <w:rFonts w:ascii="Calibri" w:hAnsi="Calibri"/>
                <w:color w:val="0F172A"/>
                <w:sz w:val="18"/>
              </w:rPr>
              <w:t>Track A</w:t>
            </w:r>
          </w:p>
        </w:tc>
        <w:tc>
          <w:tcPr>
            <w:tcW w:type="dxa" w:w="3249"/>
          </w:tcPr>
          <w:p>
            <w:r/>
            <w:r>
              <w:rPr>
                <w:rFonts w:ascii="Calibri" w:hAnsi="Calibri"/>
                <w:color w:val="0F172A"/>
                <w:sz w:val="18"/>
              </w:rPr>
              <w:t>6</w:t>
            </w:r>
          </w:p>
        </w:tc>
        <w:tc>
          <w:tcPr>
            <w:tcW w:type="dxa" w:w="3249"/>
          </w:tcPr>
          <w:p>
            <w:r/>
            <w:r>
              <w:rPr>
                <w:rFonts w:ascii="Calibri" w:hAnsi="Calibri"/>
                <w:color w:val="0F172A"/>
                <w:sz w:val="18"/>
              </w:rPr>
              <w:t>Architecture failure-mode scoring; vendor remote-access control-point design</w:t>
            </w:r>
          </w:p>
        </w:tc>
      </w:tr>
      <w:tr>
        <w:tc>
          <w:tcPr>
            <w:tcW w:type="dxa" w:w="3249"/>
          </w:tcPr>
          <w:p>
            <w:r/>
            <w:r>
              <w:rPr>
                <w:rFonts w:ascii="Calibri" w:hAnsi="Calibri"/>
                <w:color w:val="0F172A"/>
                <w:sz w:val="18"/>
              </w:rPr>
              <w:t>Track B</w:t>
            </w:r>
          </w:p>
        </w:tc>
        <w:tc>
          <w:tcPr>
            <w:tcW w:type="dxa" w:w="3249"/>
          </w:tcPr>
          <w:p>
            <w:r/>
            <w:r>
              <w:rPr>
                <w:rFonts w:ascii="Calibri" w:hAnsi="Calibri"/>
                <w:color w:val="0F172A"/>
                <w:sz w:val="18"/>
              </w:rPr>
              <w:t>7</w:t>
            </w:r>
          </w:p>
        </w:tc>
        <w:tc>
          <w:tcPr>
            <w:tcW w:type="dxa" w:w="3249"/>
          </w:tcPr>
          <w:p>
            <w:r/>
            <w:r>
              <w:rPr>
                <w:rFonts w:ascii="Calibri" w:hAnsi="Calibri"/>
                <w:color w:val="0F172A"/>
                <w:sz w:val="18"/>
              </w:rPr>
              <w:t>RPN calculation; SPC chart pre-production; capability delta modelling</w:t>
            </w:r>
          </w:p>
        </w:tc>
      </w:tr>
      <w:tr>
        <w:tc>
          <w:tcPr>
            <w:tcW w:type="dxa" w:w="3249"/>
          </w:tcPr>
          <w:p>
            <w:r/>
            <w:r>
              <w:rPr>
                <w:rFonts w:ascii="Calibri" w:hAnsi="Calibri"/>
                <w:color w:val="0F172A"/>
                <w:sz w:val="18"/>
              </w:rPr>
              <w:t>Track C</w:t>
            </w:r>
          </w:p>
        </w:tc>
        <w:tc>
          <w:tcPr>
            <w:tcW w:type="dxa" w:w="3249"/>
          </w:tcPr>
          <w:p>
            <w:r/>
            <w:r>
              <w:rPr>
                <w:rFonts w:ascii="Calibri" w:hAnsi="Calibri"/>
                <w:color w:val="0F172A"/>
                <w:sz w:val="18"/>
              </w:rPr>
              <w:t>6</w:t>
            </w:r>
          </w:p>
        </w:tc>
        <w:tc>
          <w:tcPr>
            <w:tcW w:type="dxa" w:w="3249"/>
          </w:tcPr>
          <w:p>
            <w:r/>
            <w:r>
              <w:rPr>
                <w:rFonts w:ascii="Calibri" w:hAnsi="Calibri"/>
                <w:color w:val="0F172A"/>
                <w:sz w:val="18"/>
              </w:rPr>
              <w:t>Poka-Yoke design for top 5 RPN; SMED playbook refinement; AI agent specification for SC modes</w:t>
            </w:r>
          </w:p>
        </w:tc>
      </w:tr>
    </w:tbl>
    <w:p/>
    <w:p>
      <w:r>
        <w:rPr>
          <w:rFonts w:ascii="Calibri" w:hAnsi="Calibri"/>
          <w:b/>
          <w:color w:val="0F172A"/>
          <w:sz w:val="24"/>
        </w:rPr>
        <w:t>4.4.7 Tollgate G3 Deliverable</w:t>
      </w:r>
    </w:p>
    <w:p>
      <w:pPr>
        <w:pStyle w:val="ListBullet"/>
      </w:pPr>
      <w:r>
        <w:rPr>
          <w:rFonts w:ascii="Calibri" w:hAnsi="Calibri"/>
          <w:sz w:val="22"/>
        </w:rPr>
        <w:t>Prioritised Cyber-FMEA matrix (top 12, with full population appendix)</w:t>
      </w:r>
    </w:p>
    <w:p>
      <w:pPr>
        <w:pStyle w:val="ListBullet"/>
      </w:pPr>
      <w:r>
        <w:rPr>
          <w:rFonts w:ascii="Calibri" w:hAnsi="Calibri"/>
          <w:sz w:val="22"/>
        </w:rPr>
        <w:t>5-Why root-cause analysis for top 5 RPN</w:t>
      </w:r>
    </w:p>
    <w:p>
      <w:pPr>
        <w:pStyle w:val="ListBullet"/>
      </w:pPr>
      <w:r>
        <w:rPr>
          <w:rFonts w:ascii="Calibri" w:hAnsi="Calibri"/>
          <w:sz w:val="22"/>
        </w:rPr>
        <w:t>Digital Fishbone (Ishikawa)</w:t>
      </w:r>
    </w:p>
    <w:p>
      <w:pPr>
        <w:pStyle w:val="ListBullet"/>
      </w:pPr>
      <w:r>
        <w:rPr>
          <w:rFonts w:ascii="Calibri" w:hAnsi="Calibri"/>
          <w:sz w:val="22"/>
        </w:rPr>
        <w:t>Control-point design for top 5 RPN modes</w:t>
      </w:r>
    </w:p>
    <w:p>
      <w:pPr>
        <w:pStyle w:val="ListBullet"/>
      </w:pPr>
      <w:r>
        <w:rPr>
          <w:rFonts w:ascii="Calibri" w:hAnsi="Calibri"/>
          <w:sz w:val="22"/>
        </w:rPr>
        <w:t>AI-augmented Layer 3 specification (Track C) for SC modes</w:t>
      </w:r>
    </w:p>
    <w:p>
      <w:r>
        <w:rPr>
          <w:rFonts w:ascii="Calibri" w:hAnsi="Calibri"/>
          <w:b/>
          <w:sz w:val="22"/>
        </w:rPr>
        <w:t>CISO sign-off:</w:t>
      </w:r>
      <w:r>
        <w:rPr>
          <w:rFonts w:ascii="Calibri" w:hAnsi="Calibri"/>
          <w:sz w:val="22"/>
        </w:rPr>
        <w:t xml:space="preserve"> approve FMEA, ratify RPN reduction targets.</w:t>
      </w:r>
    </w:p>
    <w:p>
      <w:pPr>
        <w:pBdr>
          <w:bottom w:val="single" w:sz="6" w:space="1" w:color="CBD5E1"/>
        </w:pBdr>
      </w:pPr>
    </w:p>
    <w:p>
      <w:r>
        <w:rPr>
          <w:rFonts w:ascii="Calibri" w:hAnsi="Calibri"/>
          <w:b/>
          <w:color w:val="0F172A"/>
          <w:sz w:val="28"/>
        </w:rPr>
        <w:t>4.5 IMPROVE Phase (Weeks 8–10, Tollgate G4)</w:t>
      </w:r>
    </w:p>
    <w:p>
      <w:r>
        <w:rPr>
          <w:rFonts w:ascii="Calibri" w:hAnsi="Calibri"/>
          <w:b/>
          <w:color w:val="0F172A"/>
          <w:sz w:val="24"/>
        </w:rPr>
        <w:t>4.5.1 Phase Objective</w:t>
      </w:r>
    </w:p>
    <w:p>
      <w:r>
        <w:rPr>
          <w:rFonts w:ascii="Calibri" w:hAnsi="Calibri"/>
          <w:sz w:val="22"/>
        </w:rPr>
        <w:t xml:space="preserve">Deploy the controls designed in the Analyse phase. The Improve phase is structured around </w:t>
      </w:r>
      <w:r>
        <w:rPr>
          <w:rFonts w:ascii="Calibri" w:hAnsi="Calibri"/>
          <w:b/>
          <w:sz w:val="22"/>
        </w:rPr>
        <w:t>Digital 5C</w:t>
      </w:r>
      <w:r>
        <w:rPr>
          <w:rFonts w:ascii="Calibri" w:hAnsi="Calibri"/>
          <w:sz w:val="22"/>
        </w:rPr>
        <w:t xml:space="preserve"> (a cyber-specific extension of the OSI entropy framework's 5S), </w:t>
      </w:r>
      <w:r>
        <w:rPr>
          <w:rFonts w:ascii="Calibri" w:hAnsi="Calibri"/>
          <w:b/>
          <w:sz w:val="22"/>
        </w:rPr>
        <w:t>Cyber Poka-Yoke</w:t>
      </w:r>
      <w:r>
        <w:rPr>
          <w:rFonts w:ascii="Calibri" w:hAnsi="Calibri"/>
          <w:sz w:val="22"/>
        </w:rPr>
        <w:t xml:space="preserve">, and </w:t>
      </w:r>
      <w:r>
        <w:rPr>
          <w:rFonts w:ascii="Calibri" w:hAnsi="Calibri"/>
          <w:b/>
          <w:sz w:val="22"/>
        </w:rPr>
        <w:t>SMED for Disaster Recovery</w:t>
      </w:r>
      <w:r>
        <w:rPr>
          <w:rFonts w:ascii="Calibri" w:hAnsi="Calibri"/>
          <w:sz w:val="22"/>
        </w:rPr>
        <w:t>.</w:t>
      </w:r>
    </w:p>
    <w:p>
      <w:r>
        <w:rPr>
          <w:rFonts w:ascii="Calibri" w:hAnsi="Calibri"/>
          <w:b/>
          <w:color w:val="0F172A"/>
          <w:sz w:val="24"/>
        </w:rPr>
        <w:t>4.5.2 Digital 5C</w:t>
      </w:r>
    </w:p>
    <w:p>
      <w:r>
        <w:rPr>
          <w:rFonts w:ascii="Calibri" w:hAnsi="Calibri"/>
          <w:sz w:val="22"/>
        </w:rPr>
        <w:t>The Digital 5C is the cyber-domain translation of the 5S framework. Each C addresses a specific cyber failure class identified in the FMEA.</w:t>
      </w:r>
    </w:p>
    <w:tbl>
      <w:tblPr>
        <w:tblStyle w:val="LightGrid-Accent1"/>
        <w:tblW w:type="auto" w:w="0"/>
        <w:tblLook w:firstColumn="1" w:firstRow="1" w:lastColumn="0" w:lastRow="0" w:noHBand="0" w:noVBand="1" w:val="04A0"/>
      </w:tblPr>
      <w:tblGrid>
        <w:gridCol w:w="3249"/>
        <w:gridCol w:w="3249"/>
        <w:gridCol w:w="3249"/>
      </w:tblGrid>
      <w:tr>
        <w:tc>
          <w:tcPr>
            <w:tcW w:type="dxa" w:w="3249"/>
            <w:shd w:val="clear" w:color="auto" w:fill="1E40AF"/>
          </w:tcPr>
          <w:p>
            <w:r/>
            <w:r>
              <w:rPr>
                <w:rFonts w:ascii="Calibri" w:hAnsi="Calibri"/>
                <w:b/>
                <w:color w:val="FFFFFF"/>
                <w:sz w:val="20"/>
              </w:rPr>
              <w:t>C</w:t>
            </w:r>
          </w:p>
        </w:tc>
        <w:tc>
          <w:tcPr>
            <w:tcW w:type="dxa" w:w="3249"/>
            <w:shd w:val="clear" w:color="auto" w:fill="1E40AF"/>
          </w:tcPr>
          <w:p>
            <w:r/>
            <w:r>
              <w:rPr>
                <w:rFonts w:ascii="Calibri" w:hAnsi="Calibri"/>
                <w:b/>
                <w:color w:val="FFFFFF"/>
                <w:sz w:val="20"/>
              </w:rPr>
              <w:t>Action</w:t>
            </w:r>
          </w:p>
        </w:tc>
        <w:tc>
          <w:tcPr>
            <w:tcW w:type="dxa" w:w="3249"/>
            <w:shd w:val="clear" w:color="auto" w:fill="1E40AF"/>
          </w:tcPr>
          <w:p>
            <w:r/>
            <w:r>
              <w:rPr>
                <w:rFonts w:ascii="Calibri" w:hAnsi="Calibri"/>
                <w:b/>
                <w:color w:val="FFFFFF"/>
                <w:sz w:val="20"/>
              </w:rPr>
              <w:t>Maps to FMEA</w:t>
            </w:r>
          </w:p>
        </w:tc>
      </w:tr>
      <w:tr>
        <w:tc>
          <w:tcPr>
            <w:tcW w:type="dxa" w:w="3249"/>
          </w:tcPr>
          <w:p>
            <w:r/>
            <w:r>
              <w:rPr>
                <w:rFonts w:ascii="Calibri" w:hAnsi="Calibri"/>
                <w:b/>
                <w:color w:val="0F172A"/>
                <w:sz w:val="18"/>
              </w:rPr>
              <w:t>Sort</w:t>
            </w:r>
          </w:p>
        </w:tc>
        <w:tc>
          <w:tcPr>
            <w:tcW w:type="dxa" w:w="3249"/>
          </w:tcPr>
          <w:p>
            <w:r/>
            <w:r>
              <w:rPr>
                <w:rFonts w:ascii="Calibri" w:hAnsi="Calibri"/>
                <w:color w:val="0F172A"/>
                <w:sz w:val="18"/>
              </w:rPr>
              <w:t>Decommission legacy protocols (e.g. Telnet, FTP, SMBv1), unused open ports, orphan service accounts, default credentials</w:t>
            </w:r>
          </w:p>
        </w:tc>
        <w:tc>
          <w:tcPr>
            <w:tcW w:type="dxa" w:w="3249"/>
          </w:tcPr>
          <w:p>
            <w:r/>
            <w:r>
              <w:rPr>
                <w:rFonts w:ascii="Calibri" w:hAnsi="Calibri"/>
                <w:color w:val="0F172A"/>
                <w:sz w:val="18"/>
              </w:rPr>
              <w:t>#1, #6, #9, #12</w:t>
            </w:r>
          </w:p>
        </w:tc>
      </w:tr>
      <w:tr>
        <w:tc>
          <w:tcPr>
            <w:tcW w:type="dxa" w:w="3249"/>
          </w:tcPr>
          <w:p>
            <w:r/>
            <w:r>
              <w:rPr>
                <w:rFonts w:ascii="Calibri" w:hAnsi="Calibri"/>
                <w:b/>
                <w:color w:val="0F172A"/>
                <w:sz w:val="18"/>
              </w:rPr>
              <w:t>Straighten</w:t>
            </w:r>
          </w:p>
        </w:tc>
        <w:tc>
          <w:tcPr>
            <w:tcW w:type="dxa" w:w="3249"/>
          </w:tcPr>
          <w:p>
            <w:r/>
            <w:r>
              <w:rPr>
                <w:rFonts w:ascii="Calibri" w:hAnsi="Calibri"/>
                <w:color w:val="0F172A"/>
                <w:sz w:val="18"/>
              </w:rPr>
              <w:t>Isolate IT from OT via air-gapped DMZ; one-way data diodes for safety-critical paths; vendor remote access through authenticated broker</w:t>
            </w:r>
          </w:p>
        </w:tc>
        <w:tc>
          <w:tcPr>
            <w:tcW w:type="dxa" w:w="3249"/>
          </w:tcPr>
          <w:p>
            <w:r/>
            <w:r>
              <w:rPr>
                <w:rFonts w:ascii="Calibri" w:hAnsi="Calibri"/>
                <w:color w:val="0F172A"/>
                <w:sz w:val="18"/>
              </w:rPr>
              <w:t>#7, #8, #9, #11</w:t>
            </w:r>
          </w:p>
        </w:tc>
      </w:tr>
      <w:tr>
        <w:tc>
          <w:tcPr>
            <w:tcW w:type="dxa" w:w="3249"/>
          </w:tcPr>
          <w:p>
            <w:r/>
            <w:r>
              <w:rPr>
                <w:rFonts w:ascii="Calibri" w:hAnsi="Calibri"/>
                <w:b/>
                <w:color w:val="0F172A"/>
                <w:sz w:val="18"/>
              </w:rPr>
              <w:t>Shine</w:t>
            </w:r>
          </w:p>
        </w:tc>
        <w:tc>
          <w:tcPr>
            <w:tcW w:type="dxa" w:w="3249"/>
          </w:tcPr>
          <w:p>
            <w:r/>
            <w:r>
              <w:rPr>
                <w:rFonts w:ascii="Calibri" w:hAnsi="Calibri"/>
                <w:color w:val="0F172A"/>
                <w:sz w:val="18"/>
              </w:rPr>
              <w:t>Automated, continuous code refactoring; vulnerability scanning; SIEM rule tuning; parameter-drift baselining</w:t>
            </w:r>
          </w:p>
        </w:tc>
        <w:tc>
          <w:tcPr>
            <w:tcW w:type="dxa" w:w="3249"/>
          </w:tcPr>
          <w:p>
            <w:r/>
            <w:r>
              <w:rPr>
                <w:rFonts w:ascii="Calibri" w:hAnsi="Calibri"/>
                <w:color w:val="0F172A"/>
                <w:sz w:val="18"/>
              </w:rPr>
              <w:t>#1, #2, #3, #4, #5, #6, #10</w:t>
            </w:r>
          </w:p>
        </w:tc>
      </w:tr>
      <w:tr>
        <w:tc>
          <w:tcPr>
            <w:tcW w:type="dxa" w:w="3249"/>
          </w:tcPr>
          <w:p>
            <w:r/>
            <w:r>
              <w:rPr>
                <w:rFonts w:ascii="Calibri" w:hAnsi="Calibri"/>
                <w:b/>
                <w:color w:val="0F172A"/>
                <w:sz w:val="18"/>
              </w:rPr>
              <w:t>Standardise</w:t>
            </w:r>
          </w:p>
        </w:tc>
        <w:tc>
          <w:tcPr>
            <w:tcW w:type="dxa" w:w="3249"/>
          </w:tcPr>
          <w:p>
            <w:r/>
            <w:r>
              <w:rPr>
                <w:rFonts w:ascii="Calibri" w:hAnsi="Calibri"/>
                <w:color w:val="0F172A"/>
                <w:sz w:val="18"/>
              </w:rPr>
              <w:t>Documented standards for: Cyber Poka-Yoke enforcement, SMED recovery, patch management, cryptographic signing of recipes and firmware, vendor remote-access protocol</w:t>
            </w:r>
          </w:p>
        </w:tc>
        <w:tc>
          <w:tcPr>
            <w:tcW w:type="dxa" w:w="3249"/>
          </w:tcPr>
          <w:p>
            <w:r/>
            <w:r>
              <w:rPr>
                <w:rFonts w:ascii="Calibri" w:hAnsi="Calibri"/>
                <w:color w:val="0F172A"/>
                <w:sz w:val="18"/>
              </w:rPr>
              <w:t>All</w:t>
            </w:r>
          </w:p>
        </w:tc>
      </w:tr>
      <w:tr>
        <w:tc>
          <w:tcPr>
            <w:tcW w:type="dxa" w:w="3249"/>
          </w:tcPr>
          <w:p>
            <w:r/>
            <w:r>
              <w:rPr>
                <w:rFonts w:ascii="Calibri" w:hAnsi="Calibri"/>
                <w:b/>
                <w:color w:val="0F172A"/>
                <w:sz w:val="18"/>
              </w:rPr>
              <w:t>Sustain</w:t>
            </w:r>
          </w:p>
        </w:tc>
        <w:tc>
          <w:tcPr>
            <w:tcW w:type="dxa" w:w="3249"/>
          </w:tcPr>
          <w:p>
            <w:r/>
            <w:r>
              <w:rPr>
                <w:rFonts w:ascii="Calibri" w:hAnsi="Calibri"/>
                <w:color w:val="0F172A"/>
                <w:sz w:val="18"/>
              </w:rPr>
              <w:t>Green Belt Standard Work (§6); monthly cyber-attack drill; quarterly FMEA refresh; control plan enforcement</w:t>
            </w:r>
          </w:p>
        </w:tc>
        <w:tc>
          <w:tcPr>
            <w:tcW w:type="dxa" w:w="3249"/>
          </w:tcPr>
          <w:p>
            <w:r/>
            <w:r>
              <w:rPr>
                <w:rFonts w:ascii="Calibri" w:hAnsi="Calibri"/>
                <w:color w:val="0F172A"/>
                <w:sz w:val="18"/>
              </w:rPr>
              <w:t>All</w:t>
            </w:r>
          </w:p>
        </w:tc>
      </w:tr>
    </w:tbl>
    <w:p/>
    <w:p>
      <w:r>
        <w:rPr>
          <w:rFonts w:ascii="Calibri" w:hAnsi="Calibri"/>
          <w:b/>
          <w:color w:val="0F172A"/>
          <w:sz w:val="24"/>
        </w:rPr>
        <w:t>4.5.3 Cyber Poka-Yoke (Mistake-Proofing)</w:t>
      </w:r>
    </w:p>
    <w:p>
      <w:r>
        <w:rPr>
          <w:rFonts w:ascii="Calibri" w:hAnsi="Calibri"/>
          <w:sz w:val="22"/>
        </w:rPr>
        <w:t xml:space="preserve">Cyber Poka-Yoke is the structural enforcement layer. Unlike Digital 5C (which is hygiene), Poka-Yoke makes certain failure modes </w:t>
      </w:r>
      <w:r>
        <w:rPr>
          <w:rFonts w:ascii="Calibri" w:hAnsi="Calibri"/>
          <w:b/>
          <w:sz w:val="22"/>
        </w:rPr>
        <w:t>structurally impossible</w:t>
      </w:r>
      <w:r>
        <w:rPr>
          <w:rFonts w:ascii="Calibri" w:hAnsi="Calibri"/>
          <w:sz w:val="22"/>
        </w:rPr>
        <w:t>.</w:t>
      </w:r>
    </w:p>
    <w:p>
      <w:r>
        <w:rPr>
          <w:rFonts w:ascii="Calibri" w:hAnsi="Calibri"/>
          <w:b/>
          <w:sz w:val="22"/>
        </w:rPr>
        <w:t>Poka-Yoke design principles:</w:t>
      </w:r>
    </w:p>
    <w:p>
      <w:pPr>
        <w:pStyle w:val="ListNumber"/>
      </w:pPr>
      <w:r>
        <w:rPr>
          <w:rFonts w:ascii="Calibri" w:hAnsi="Calibri"/>
          <w:b/>
          <w:sz w:val="22"/>
        </w:rPr>
        <w:t>Hard-coded network isolation:</w:t>
      </w:r>
      <w:r>
        <w:rPr>
          <w:rFonts w:ascii="Calibri" w:hAnsi="Calibri"/>
          <w:sz w:val="22"/>
        </w:rPr>
        <w:t xml:space="preserve"> Critical line PLCs reject any inbound traffic that does not originate from a locally authenticated, cryptographic handshake. No software-only firewall rule; enforced at the PLC firmware level.</w:t>
      </w:r>
    </w:p>
    <w:p>
      <w:pPr>
        <w:pStyle w:val="ListNumber"/>
      </w:pPr>
      <w:r>
        <w:rPr>
          <w:rFonts w:ascii="Calibri" w:hAnsi="Calibri"/>
          <w:b/>
          <w:sz w:val="22"/>
        </w:rPr>
        <w:t>One-way data diodes</w:t>
      </w:r>
      <w:r>
        <w:rPr>
          <w:rFonts w:ascii="Calibri" w:hAnsi="Calibri"/>
          <w:sz w:val="22"/>
        </w:rPr>
        <w:t xml:space="preserve"> on safety-critical paths (formation cycling, electrolyte injection) — data can flow out for monitoring, but no command can flow in.</w:t>
      </w:r>
    </w:p>
    <w:p>
      <w:pPr>
        <w:pStyle w:val="ListNumber"/>
      </w:pPr>
      <w:r>
        <w:rPr>
          <w:rFonts w:ascii="Calibri" w:hAnsi="Calibri"/>
          <w:b/>
          <w:sz w:val="22"/>
        </w:rPr>
        <w:t>Cryptographic recipe signing:</w:t>
      </w:r>
      <w:r>
        <w:rPr>
          <w:rFonts w:ascii="Calibri" w:hAnsi="Calibri"/>
          <w:sz w:val="22"/>
        </w:rPr>
        <w:t xml:space="preserve"> All process recipes (formation profiles, coating weights, dosing volumes, aging cycles) are cryptographically signed. PLCs reject unsigned or modified recipes.</w:t>
      </w:r>
    </w:p>
    <w:p>
      <w:pPr>
        <w:pStyle w:val="ListNumber"/>
      </w:pPr>
      <w:r>
        <w:rPr>
          <w:rFonts w:ascii="Calibri" w:hAnsi="Calibri"/>
          <w:b/>
          <w:sz w:val="22"/>
        </w:rPr>
        <w:t>Vendor remote access through authenticated broker:</w:t>
      </w:r>
      <w:r>
        <w:rPr>
          <w:rFonts w:ascii="Calibri" w:hAnsi="Calibri"/>
          <w:sz w:val="22"/>
        </w:rPr>
        <w:t xml:space="preserve"> No direct VPN access for vendors. All access is brokered, time-bounded, session-recorded, and cryptographically authenticated.</w:t>
      </w:r>
    </w:p>
    <w:p>
      <w:pPr>
        <w:pStyle w:val="ListNumber"/>
      </w:pPr>
      <w:r>
        <w:rPr>
          <w:rFonts w:ascii="Calibri" w:hAnsi="Calibri"/>
          <w:b/>
          <w:sz w:val="22"/>
        </w:rPr>
        <w:t>Parameter drift interlocks:</w:t>
      </w:r>
      <w:r>
        <w:rPr>
          <w:rFonts w:ascii="Calibri" w:hAnsi="Calibri"/>
          <w:sz w:val="22"/>
        </w:rPr>
        <w:t xml:space="preserve"> Real-time comparison of process parameters against the signed baseline recipe. Drift beyond a defined threshold triggers automatic line isolation.</w:t>
      </w:r>
    </w:p>
    <w:p>
      <w:r>
        <w:rPr>
          <w:rFonts w:ascii="Calibri" w:hAnsi="Calibri"/>
          <w:b/>
          <w:color w:val="0F172A"/>
          <w:sz w:val="24"/>
        </w:rPr>
        <w:t>4.5.4 SMED for Disaster Recovery</w:t>
      </w:r>
    </w:p>
    <w:p>
      <w:r>
        <w:rPr>
          <w:rFonts w:ascii="Calibri" w:hAnsi="Calibri"/>
          <w:sz w:val="22"/>
        </w:rPr>
        <w:t>SMED (Single-Minute Exchange of Die) is repurposed from manufacturing changeover to cyber recovery. The goal is to convert "internal" recovery steps (performed during the attack, under time pressure) into "external" steps (pre-staged, ready to deploy).</w:t>
      </w:r>
    </w:p>
    <w:tbl>
      <w:tblPr>
        <w:tblStyle w:val="LightGrid-Accent1"/>
        <w:tblW w:type="auto" w:w="0"/>
        <w:tblLook w:firstColumn="1" w:firstRow="1" w:lastColumn="0" w:lastRow="0" w:noHBand="0" w:noVBand="1" w:val="04A0"/>
      </w:tblPr>
      <w:tblGrid>
        <w:gridCol w:w="3249"/>
        <w:gridCol w:w="3249"/>
        <w:gridCol w:w="3249"/>
      </w:tblGrid>
      <w:tr>
        <w:tc>
          <w:tcPr>
            <w:tcW w:type="dxa" w:w="3249"/>
            <w:shd w:val="clear" w:color="auto" w:fill="1E40AF"/>
          </w:tcPr>
          <w:p>
            <w:r/>
            <w:r>
              <w:rPr>
                <w:rFonts w:ascii="Calibri" w:hAnsi="Calibri"/>
                <w:b/>
                <w:color w:val="FFFFFF"/>
                <w:sz w:val="20"/>
              </w:rPr>
              <w:t>Internal (during attack)</w:t>
            </w:r>
          </w:p>
        </w:tc>
        <w:tc>
          <w:tcPr>
            <w:tcW w:type="dxa" w:w="3249"/>
            <w:shd w:val="clear" w:color="auto" w:fill="1E40AF"/>
          </w:tcPr>
          <w:p>
            <w:r/>
            <w:r>
              <w:rPr>
                <w:rFonts w:ascii="Calibri" w:hAnsi="Calibri"/>
                <w:b/>
                <w:color w:val="FFFFFF"/>
                <w:sz w:val="20"/>
              </w:rPr>
              <w:t>→</w:t>
            </w:r>
          </w:p>
        </w:tc>
        <w:tc>
          <w:tcPr>
            <w:tcW w:type="dxa" w:w="3249"/>
            <w:shd w:val="clear" w:color="auto" w:fill="1E40AF"/>
          </w:tcPr>
          <w:p>
            <w:r/>
            <w:r>
              <w:rPr>
                <w:rFonts w:ascii="Calibri" w:hAnsi="Calibri"/>
                <w:b/>
                <w:color w:val="FFFFFF"/>
                <w:sz w:val="20"/>
              </w:rPr>
              <w:t>External (pre-staged)</w:t>
            </w:r>
          </w:p>
        </w:tc>
      </w:tr>
      <w:tr>
        <w:tc>
          <w:tcPr>
            <w:tcW w:type="dxa" w:w="3249"/>
          </w:tcPr>
          <w:p>
            <w:r/>
            <w:r>
              <w:rPr>
                <w:rFonts w:ascii="Calibri" w:hAnsi="Calibri"/>
                <w:color w:val="0F172A"/>
                <w:sz w:val="18"/>
              </w:rPr>
              <w:t>Search for backup files</w:t>
            </w:r>
          </w:p>
        </w:tc>
        <w:tc>
          <w:tcPr>
            <w:tcW w:type="dxa" w:w="3249"/>
          </w:tcPr>
          <w:p>
            <w:r/>
            <w:r>
              <w:rPr>
                <w:rFonts w:ascii="Calibri" w:hAnsi="Calibri"/>
                <w:color w:val="0F172A"/>
                <w:sz w:val="18"/>
              </w:rPr>
              <w:t>→</w:t>
            </w:r>
          </w:p>
        </w:tc>
        <w:tc>
          <w:tcPr>
            <w:tcW w:type="dxa" w:w="3249"/>
          </w:tcPr>
          <w:p>
            <w:r/>
            <w:r>
              <w:rPr>
                <w:rFonts w:ascii="Calibri" w:hAnsi="Calibri"/>
                <w:color w:val="0F172A"/>
                <w:sz w:val="18"/>
              </w:rPr>
              <w:t>Immutable, pre-verified offline backups on hot-swappable drives</w:t>
            </w:r>
          </w:p>
        </w:tc>
      </w:tr>
      <w:tr>
        <w:tc>
          <w:tcPr>
            <w:tcW w:type="dxa" w:w="3249"/>
          </w:tcPr>
          <w:p>
            <w:r/>
            <w:r>
              <w:rPr>
                <w:rFonts w:ascii="Calibri" w:hAnsi="Calibri"/>
                <w:color w:val="0F172A"/>
                <w:sz w:val="18"/>
              </w:rPr>
              <w:t>Configure recovery servers</w:t>
            </w:r>
          </w:p>
        </w:tc>
        <w:tc>
          <w:tcPr>
            <w:tcW w:type="dxa" w:w="3249"/>
          </w:tcPr>
          <w:p>
            <w:r/>
            <w:r>
              <w:rPr>
                <w:rFonts w:ascii="Calibri" w:hAnsi="Calibri"/>
                <w:color w:val="0F172A"/>
                <w:sz w:val="18"/>
              </w:rPr>
              <w:t>→</w:t>
            </w:r>
          </w:p>
        </w:tc>
        <w:tc>
          <w:tcPr>
            <w:tcW w:type="dxa" w:w="3249"/>
          </w:tcPr>
          <w:p>
            <w:r/>
            <w:r>
              <w:rPr>
                <w:rFonts w:ascii="Calibri" w:hAnsi="Calibri"/>
                <w:color w:val="0F172A"/>
                <w:sz w:val="18"/>
              </w:rPr>
              <w:t>Pre-configured standalone restore rigs, cryptographically verified</w:t>
            </w:r>
          </w:p>
        </w:tc>
      </w:tr>
      <w:tr>
        <w:tc>
          <w:tcPr>
            <w:tcW w:type="dxa" w:w="3249"/>
          </w:tcPr>
          <w:p>
            <w:r/>
            <w:r>
              <w:rPr>
                <w:rFonts w:ascii="Calibri" w:hAnsi="Calibri"/>
                <w:color w:val="0F172A"/>
                <w:sz w:val="18"/>
              </w:rPr>
              <w:t>Validate recovered systems</w:t>
            </w:r>
          </w:p>
        </w:tc>
        <w:tc>
          <w:tcPr>
            <w:tcW w:type="dxa" w:w="3249"/>
          </w:tcPr>
          <w:p>
            <w:r/>
            <w:r>
              <w:rPr>
                <w:rFonts w:ascii="Calibri" w:hAnsi="Calibri"/>
                <w:color w:val="0F172A"/>
                <w:sz w:val="18"/>
              </w:rPr>
              <w:t>→</w:t>
            </w:r>
          </w:p>
        </w:tc>
        <w:tc>
          <w:tcPr>
            <w:tcW w:type="dxa" w:w="3249"/>
          </w:tcPr>
          <w:p>
            <w:r/>
            <w:r>
              <w:rPr>
                <w:rFonts w:ascii="Calibri" w:hAnsi="Calibri"/>
                <w:color w:val="0F172A"/>
                <w:sz w:val="18"/>
              </w:rPr>
              <w:t>Pre-validated golden images, signed and offline</w:t>
            </w:r>
          </w:p>
        </w:tc>
      </w:tr>
      <w:tr>
        <w:tc>
          <w:tcPr>
            <w:tcW w:type="dxa" w:w="3249"/>
          </w:tcPr>
          <w:p>
            <w:r/>
            <w:r>
              <w:rPr>
                <w:rFonts w:ascii="Calibri" w:hAnsi="Calibri"/>
                <w:color w:val="0F172A"/>
                <w:sz w:val="18"/>
              </w:rPr>
              <w:t>Authorise recovery actions</w:t>
            </w:r>
          </w:p>
        </w:tc>
        <w:tc>
          <w:tcPr>
            <w:tcW w:type="dxa" w:w="3249"/>
          </w:tcPr>
          <w:p>
            <w:r/>
            <w:r>
              <w:rPr>
                <w:rFonts w:ascii="Calibri" w:hAnsi="Calibri"/>
                <w:color w:val="0F172A"/>
                <w:sz w:val="18"/>
              </w:rPr>
              <w:t>→</w:t>
            </w:r>
          </w:p>
        </w:tc>
        <w:tc>
          <w:tcPr>
            <w:tcW w:type="dxa" w:w="3249"/>
          </w:tcPr>
          <w:p>
            <w:r/>
            <w:r>
              <w:rPr>
                <w:rFonts w:ascii="Calibri" w:hAnsi="Calibri"/>
                <w:color w:val="0F172A"/>
                <w:sz w:val="18"/>
              </w:rPr>
              <w:t>Pre-authorised recovery runbooks with CISO standing approval for Severity = 8+ events</w:t>
            </w:r>
          </w:p>
        </w:tc>
      </w:tr>
      <w:tr>
        <w:tc>
          <w:tcPr>
            <w:tcW w:type="dxa" w:w="3249"/>
          </w:tcPr>
          <w:p>
            <w:r/>
            <w:r>
              <w:rPr>
                <w:rFonts w:ascii="Calibri" w:hAnsi="Calibri"/>
                <w:color w:val="0F172A"/>
                <w:sz w:val="18"/>
              </w:rPr>
              <w:t>Re-establish vendor access</w:t>
            </w:r>
          </w:p>
        </w:tc>
        <w:tc>
          <w:tcPr>
            <w:tcW w:type="dxa" w:w="3249"/>
          </w:tcPr>
          <w:p>
            <w:r/>
            <w:r>
              <w:rPr>
                <w:rFonts w:ascii="Calibri" w:hAnsi="Calibri"/>
                <w:color w:val="0F172A"/>
                <w:sz w:val="18"/>
              </w:rPr>
              <w:t>→</w:t>
            </w:r>
          </w:p>
        </w:tc>
        <w:tc>
          <w:tcPr>
            <w:tcW w:type="dxa" w:w="3249"/>
          </w:tcPr>
          <w:p>
            <w:r/>
            <w:r>
              <w:rPr>
                <w:rFonts w:ascii="Calibri" w:hAnsi="Calibri"/>
                <w:color w:val="0F172A"/>
                <w:sz w:val="18"/>
              </w:rPr>
              <w:t>Vendor access re-established only after clean-state validation</w:t>
            </w:r>
          </w:p>
        </w:tc>
      </w:tr>
    </w:tbl>
    <w:p/>
    <w:p>
      <w:r>
        <w:rPr>
          <w:rFonts w:ascii="Calibri" w:hAnsi="Calibri"/>
          <w:b/>
          <w:sz w:val="22"/>
        </w:rPr>
        <w:t>SMED target:</w:t>
      </w:r>
      <w:r>
        <w:rPr>
          <w:rFonts w:ascii="Calibri" w:hAnsi="Calibri"/>
          <w:sz w:val="22"/>
        </w:rPr>
        <w:t xml:space="preserve"> MTTR ≤ 1 hour for hard stop (ransomware/wiper), validated in the G4 red-team exercise (Six Sigma target).</w:t>
      </w:r>
    </w:p>
    <w:p>
      <w:r>
        <w:rPr>
          <w:rFonts w:ascii="Calibri" w:hAnsi="Calibri"/>
          <w:b/>
          <w:color w:val="0F172A"/>
          <w:sz w:val="24"/>
        </w:rPr>
        <w:t>4.5.5 AI-Augmented Layer 3 (Autonomous Agents)</w:t>
      </w:r>
    </w:p>
    <w:p>
      <w:r>
        <w:rPr>
          <w:rFonts w:ascii="Calibri" w:hAnsi="Calibri"/>
          <w:sz w:val="22"/>
        </w:rPr>
        <w:t>The Layer 3 (Abnormality Detection) is the natural home for autonomous AI agents. Track C specifies the following agents, deployed in the Improve phase:</w:t>
      </w:r>
    </w:p>
    <w:tbl>
      <w:tblPr>
        <w:tblStyle w:val="LightGrid-Accent1"/>
        <w:tblW w:type="auto" w:w="0"/>
        <w:tblLook w:firstColumn="1" w:firstRow="1" w:lastColumn="0" w:lastRow="0" w:noHBand="0" w:noVBand="1" w:val="04A0"/>
      </w:tblPr>
      <w:tblGrid>
        <w:gridCol w:w="3249"/>
        <w:gridCol w:w="3249"/>
        <w:gridCol w:w="3249"/>
      </w:tblGrid>
      <w:tr>
        <w:tc>
          <w:tcPr>
            <w:tcW w:type="dxa" w:w="3249"/>
            <w:shd w:val="clear" w:color="auto" w:fill="1E40AF"/>
          </w:tcPr>
          <w:p>
            <w:r/>
            <w:r>
              <w:rPr>
                <w:rFonts w:ascii="Calibri" w:hAnsi="Calibri"/>
                <w:b/>
                <w:color w:val="FFFFFF"/>
                <w:sz w:val="20"/>
              </w:rPr>
              <w:t>Agent</w:t>
            </w:r>
          </w:p>
        </w:tc>
        <w:tc>
          <w:tcPr>
            <w:tcW w:type="dxa" w:w="3249"/>
            <w:shd w:val="clear" w:color="auto" w:fill="1E40AF"/>
          </w:tcPr>
          <w:p>
            <w:r/>
            <w:r>
              <w:rPr>
                <w:rFonts w:ascii="Calibri" w:hAnsi="Calibri"/>
                <w:b/>
                <w:color w:val="FFFFFF"/>
                <w:sz w:val="20"/>
              </w:rPr>
              <w:t>Function</w:t>
            </w:r>
          </w:p>
        </w:tc>
        <w:tc>
          <w:tcPr>
            <w:tcW w:type="dxa" w:w="3249"/>
            <w:shd w:val="clear" w:color="auto" w:fill="1E40AF"/>
          </w:tcPr>
          <w:p>
            <w:r/>
            <w:r>
              <w:rPr>
                <w:rFonts w:ascii="Calibri" w:hAnsi="Calibri"/>
                <w:b/>
                <w:color w:val="FFFFFF"/>
                <w:sz w:val="20"/>
              </w:rPr>
              <w:t>FMEA mode addressed</w:t>
            </w:r>
          </w:p>
        </w:tc>
      </w:tr>
      <w:tr>
        <w:tc>
          <w:tcPr>
            <w:tcW w:type="dxa" w:w="3249"/>
          </w:tcPr>
          <w:p>
            <w:r/>
            <w:r>
              <w:rPr>
                <w:rFonts w:ascii="Calibri" w:hAnsi="Calibri"/>
                <w:b/>
                <w:color w:val="0F172A"/>
                <w:sz w:val="18"/>
              </w:rPr>
              <w:t>SOC Triage Agent</w:t>
            </w:r>
          </w:p>
        </w:tc>
        <w:tc>
          <w:tcPr>
            <w:tcW w:type="dxa" w:w="3249"/>
          </w:tcPr>
          <w:p>
            <w:r/>
            <w:r>
              <w:rPr>
                <w:rFonts w:ascii="Calibri" w:hAnsi="Calibri"/>
                <w:color w:val="0F172A"/>
                <w:sz w:val="18"/>
              </w:rPr>
              <w:t>Auto-classifies and routes SIEM alerts; suppresses false positives; escalates genuine anomalies to human analysts within MTTD ≤ 2 min (Six Sigma bound)</w:t>
            </w:r>
          </w:p>
        </w:tc>
        <w:tc>
          <w:tcPr>
            <w:tcW w:type="dxa" w:w="3249"/>
          </w:tcPr>
          <w:p>
            <w:r/>
            <w:r>
              <w:rPr>
                <w:rFonts w:ascii="Calibri" w:hAnsi="Calibri"/>
                <w:color w:val="0F172A"/>
                <w:sz w:val="18"/>
              </w:rPr>
              <w:t>All detection modes</w:t>
            </w:r>
          </w:p>
        </w:tc>
      </w:tr>
      <w:tr>
        <w:tc>
          <w:tcPr>
            <w:tcW w:type="dxa" w:w="3249"/>
          </w:tcPr>
          <w:p>
            <w:r/>
            <w:r>
              <w:rPr>
                <w:rFonts w:ascii="Calibri" w:hAnsi="Calibri"/>
                <w:b/>
                <w:color w:val="0F172A"/>
                <w:sz w:val="18"/>
              </w:rPr>
              <w:t>OT Anomaly Detection Agent</w:t>
            </w:r>
          </w:p>
        </w:tc>
        <w:tc>
          <w:tcPr>
            <w:tcW w:type="dxa" w:w="3249"/>
          </w:tcPr>
          <w:p>
            <w:r/>
            <w:r>
              <w:rPr>
                <w:rFonts w:ascii="Calibri" w:hAnsi="Calibri"/>
                <w:color w:val="0F172A"/>
                <w:sz w:val="18"/>
              </w:rPr>
              <w:t>Behavioural baselining of OT network traffic; flags deviations from signed baseline; parameter-drift detection within MTTD ≤ 10 min for novel anomalies (Six Sigma bound)</w:t>
            </w:r>
          </w:p>
        </w:tc>
        <w:tc>
          <w:tcPr>
            <w:tcW w:type="dxa" w:w="3249"/>
          </w:tcPr>
          <w:p>
            <w:r/>
            <w:r>
              <w:rPr>
                <w:rFonts w:ascii="Calibri" w:hAnsi="Calibri"/>
                <w:color w:val="0F172A"/>
                <w:sz w:val="18"/>
              </w:rPr>
              <w:t>#1, #2, #3, #4, #5, #6, #10 (SC modes)</w:t>
            </w:r>
          </w:p>
        </w:tc>
      </w:tr>
      <w:tr>
        <w:tc>
          <w:tcPr>
            <w:tcW w:type="dxa" w:w="3249"/>
          </w:tcPr>
          <w:p>
            <w:r/>
            <w:r>
              <w:rPr>
                <w:rFonts w:ascii="Calibri" w:hAnsi="Calibri"/>
                <w:b/>
                <w:color w:val="0F172A"/>
                <w:sz w:val="18"/>
              </w:rPr>
              <w:t>IR Automation Agent</w:t>
            </w:r>
          </w:p>
        </w:tc>
        <w:tc>
          <w:tcPr>
            <w:tcW w:type="dxa" w:w="3249"/>
          </w:tcPr>
          <w:p>
            <w:r/>
            <w:r>
              <w:rPr>
                <w:rFonts w:ascii="Calibri" w:hAnsi="Calibri"/>
                <w:color w:val="0F172A"/>
                <w:sz w:val="18"/>
              </w:rPr>
              <w:t>Executes pre-authorised first-response actions (isolate line segment, snapshot forensic state, notify CISO) within MTTD ≤ 2 min for known signatures (Six Sigma bound)</w:t>
            </w:r>
          </w:p>
        </w:tc>
        <w:tc>
          <w:tcPr>
            <w:tcW w:type="dxa" w:w="3249"/>
          </w:tcPr>
          <w:p>
            <w:r/>
            <w:r>
              <w:rPr>
                <w:rFonts w:ascii="Calibri" w:hAnsi="Calibri"/>
                <w:color w:val="0F172A"/>
                <w:sz w:val="18"/>
              </w:rPr>
              <w:t>#7, #8, #9 (hard stops)</w:t>
            </w:r>
          </w:p>
        </w:tc>
      </w:tr>
      <w:tr>
        <w:tc>
          <w:tcPr>
            <w:tcW w:type="dxa" w:w="3249"/>
          </w:tcPr>
          <w:p>
            <w:r/>
            <w:r>
              <w:rPr>
                <w:rFonts w:ascii="Calibri" w:hAnsi="Calibri"/>
                <w:b/>
                <w:color w:val="0F172A"/>
                <w:sz w:val="18"/>
              </w:rPr>
              <w:t>Threat Intel Correlation Agent</w:t>
            </w:r>
          </w:p>
        </w:tc>
        <w:tc>
          <w:tcPr>
            <w:tcW w:type="dxa" w:w="3249"/>
          </w:tcPr>
          <w:p>
            <w:r/>
            <w:r>
              <w:rPr>
                <w:rFonts w:ascii="Calibri" w:hAnsi="Calibri"/>
                <w:color w:val="0F172A"/>
                <w:sz w:val="18"/>
              </w:rPr>
              <w:t>Correlates internal telemetry with external threat intel feeds; pre-positions defences against emerging campaigns</w:t>
            </w:r>
          </w:p>
        </w:tc>
        <w:tc>
          <w:tcPr>
            <w:tcW w:type="dxa" w:w="3249"/>
          </w:tcPr>
          <w:p>
            <w:r/>
            <w:r>
              <w:rPr>
                <w:rFonts w:ascii="Calibri" w:hAnsi="Calibri"/>
                <w:color w:val="0F172A"/>
                <w:sz w:val="18"/>
              </w:rPr>
              <w:t>All (preventive)</w:t>
            </w:r>
          </w:p>
        </w:tc>
      </w:tr>
    </w:tbl>
    <w:p/>
    <w:p>
      <w:r>
        <w:rPr>
          <w:rFonts w:ascii="Calibri" w:hAnsi="Calibri"/>
          <w:b/>
          <w:sz w:val="22"/>
        </w:rPr>
        <w:t>AI agent governance:</w:t>
      </w:r>
      <w:r>
        <w:rPr>
          <w:rFonts w:ascii="Calibri" w:hAnsi="Calibri"/>
          <w:sz w:val="22"/>
        </w:rPr>
        <w:t xml:space="preserve"> Every agent action is logged and reviewable. CISO retains kill-switch authority on any agent. Agents operate within the data-access protocol (§3.5) — they query the anonymised data lake, never raw data.</w:t>
      </w:r>
    </w:p>
    <w:p>
      <w:r>
        <w:rPr>
          <w:rFonts w:ascii="Calibri" w:hAnsi="Calibri"/>
          <w:b/>
          <w:color w:val="0F172A"/>
          <w:sz w:val="24"/>
        </w:rPr>
        <w:t>4.5.6 Track Allocation — Improve</w:t>
      </w:r>
    </w:p>
    <w:tbl>
      <w:tblPr>
        <w:tblStyle w:val="LightGrid-Accent1"/>
        <w:tblW w:type="auto" w:w="0"/>
        <w:tblLook w:firstColumn="1" w:firstRow="1" w:lastColumn="0" w:lastRow="0" w:noHBand="0" w:noVBand="1" w:val="04A0"/>
      </w:tblPr>
      <w:tblGrid>
        <w:gridCol w:w="3249"/>
        <w:gridCol w:w="3249"/>
        <w:gridCol w:w="3249"/>
      </w:tblGrid>
      <w:tr>
        <w:tc>
          <w:tcPr>
            <w:tcW w:type="dxa" w:w="3249"/>
            <w:shd w:val="clear" w:color="auto" w:fill="1E40AF"/>
          </w:tcPr>
          <w:p>
            <w:r/>
            <w:r>
              <w:rPr>
                <w:rFonts w:ascii="Calibri" w:hAnsi="Calibri"/>
                <w:b/>
                <w:color w:val="FFFFFF"/>
                <w:sz w:val="20"/>
              </w:rPr>
              <w:t>Track</w:t>
            </w:r>
          </w:p>
        </w:tc>
        <w:tc>
          <w:tcPr>
            <w:tcW w:type="dxa" w:w="3249"/>
            <w:shd w:val="clear" w:color="auto" w:fill="1E40AF"/>
          </w:tcPr>
          <w:p>
            <w:r/>
            <w:r>
              <w:rPr>
                <w:rFonts w:ascii="Calibri" w:hAnsi="Calibri"/>
                <w:b/>
                <w:color w:val="FFFFFF"/>
                <w:sz w:val="20"/>
              </w:rPr>
              <w:t>Headcount</w:t>
            </w:r>
          </w:p>
        </w:tc>
        <w:tc>
          <w:tcPr>
            <w:tcW w:type="dxa" w:w="3249"/>
            <w:shd w:val="clear" w:color="auto" w:fill="1E40AF"/>
          </w:tcPr>
          <w:p>
            <w:r/>
            <w:r>
              <w:rPr>
                <w:rFonts w:ascii="Calibri" w:hAnsi="Calibri"/>
                <w:b/>
                <w:color w:val="FFFFFF"/>
                <w:sz w:val="20"/>
              </w:rPr>
              <w:t>Improve-phase activities</w:t>
            </w:r>
          </w:p>
        </w:tc>
      </w:tr>
      <w:tr>
        <w:tc>
          <w:tcPr>
            <w:tcW w:type="dxa" w:w="3249"/>
          </w:tcPr>
          <w:p>
            <w:r/>
            <w:r>
              <w:rPr>
                <w:rFonts w:ascii="Calibri" w:hAnsi="Calibri"/>
                <w:color w:val="0F172A"/>
                <w:sz w:val="18"/>
              </w:rPr>
              <w:t>Track A</w:t>
            </w:r>
          </w:p>
        </w:tc>
        <w:tc>
          <w:tcPr>
            <w:tcW w:type="dxa" w:w="3249"/>
          </w:tcPr>
          <w:p>
            <w:r/>
            <w:r>
              <w:rPr>
                <w:rFonts w:ascii="Calibri" w:hAnsi="Calibri"/>
                <w:color w:val="0F172A"/>
                <w:sz w:val="18"/>
              </w:rPr>
              <w:t>6</w:t>
            </w:r>
          </w:p>
        </w:tc>
        <w:tc>
          <w:tcPr>
            <w:tcW w:type="dxa" w:w="3249"/>
          </w:tcPr>
          <w:p>
            <w:r/>
            <w:r>
              <w:rPr>
                <w:rFonts w:ascii="Calibri" w:hAnsi="Calibri"/>
                <w:color w:val="0F172A"/>
                <w:sz w:val="18"/>
              </w:rPr>
              <w:t>IT/OT segmentation deployment; air-gapped DMZ implementation; vendor remote-access broker deployment</w:t>
            </w:r>
          </w:p>
        </w:tc>
      </w:tr>
      <w:tr>
        <w:tc>
          <w:tcPr>
            <w:tcW w:type="dxa" w:w="3249"/>
          </w:tcPr>
          <w:p>
            <w:r/>
            <w:r>
              <w:rPr>
                <w:rFonts w:ascii="Calibri" w:hAnsi="Calibri"/>
                <w:color w:val="0F172A"/>
                <w:sz w:val="18"/>
              </w:rPr>
              <w:t>Track B</w:t>
            </w:r>
          </w:p>
        </w:tc>
        <w:tc>
          <w:tcPr>
            <w:tcW w:type="dxa" w:w="3249"/>
          </w:tcPr>
          <w:p>
            <w:r/>
            <w:r>
              <w:rPr>
                <w:rFonts w:ascii="Calibri" w:hAnsi="Calibri"/>
                <w:color w:val="0F172A"/>
                <w:sz w:val="18"/>
              </w:rPr>
              <w:t>7</w:t>
            </w:r>
          </w:p>
        </w:tc>
        <w:tc>
          <w:tcPr>
            <w:tcW w:type="dxa" w:w="3249"/>
          </w:tcPr>
          <w:p>
            <w:r/>
            <w:r>
              <w:rPr>
                <w:rFonts w:ascii="Calibri" w:hAnsi="Calibri"/>
                <w:color w:val="0F172A"/>
                <w:sz w:val="18"/>
              </w:rPr>
              <w:t>SPC chart production; AI agent telemetry pipeline; control-point monitoring instrumentation</w:t>
            </w:r>
          </w:p>
        </w:tc>
      </w:tr>
      <w:tr>
        <w:tc>
          <w:tcPr>
            <w:tcW w:type="dxa" w:w="3249"/>
          </w:tcPr>
          <w:p>
            <w:r/>
            <w:r>
              <w:rPr>
                <w:rFonts w:ascii="Calibri" w:hAnsi="Calibri"/>
                <w:color w:val="0F172A"/>
                <w:sz w:val="18"/>
              </w:rPr>
              <w:t>Track C</w:t>
            </w:r>
          </w:p>
        </w:tc>
        <w:tc>
          <w:tcPr>
            <w:tcW w:type="dxa" w:w="3249"/>
          </w:tcPr>
          <w:p>
            <w:r/>
            <w:r>
              <w:rPr>
                <w:rFonts w:ascii="Calibri" w:hAnsi="Calibri"/>
                <w:color w:val="0F172A"/>
                <w:sz w:val="18"/>
              </w:rPr>
              <w:t>6</w:t>
            </w:r>
          </w:p>
        </w:tc>
        <w:tc>
          <w:tcPr>
            <w:tcW w:type="dxa" w:w="3249"/>
          </w:tcPr>
          <w:p>
            <w:r/>
            <w:r>
              <w:rPr>
                <w:rFonts w:ascii="Calibri" w:hAnsi="Calibri"/>
                <w:color w:val="0F172A"/>
                <w:sz w:val="18"/>
              </w:rPr>
              <w:t>Poka-Yoke code deployment; SMED recovery rig build; AI agent build / integration; cryptographic signing infrastructure</w:t>
            </w:r>
          </w:p>
        </w:tc>
      </w:tr>
    </w:tbl>
    <w:p/>
    <w:p>
      <w:r>
        <w:rPr>
          <w:rFonts w:ascii="Calibri" w:hAnsi="Calibri"/>
          <w:b/>
          <w:color w:val="0F172A"/>
          <w:sz w:val="24"/>
        </w:rPr>
        <w:t>4.5.7 Tollgate G4 Deliverable</w:t>
      </w:r>
    </w:p>
    <w:p>
      <w:pPr>
        <w:pStyle w:val="ListBullet"/>
      </w:pPr>
      <w:r>
        <w:rPr>
          <w:rFonts w:ascii="Calibri" w:hAnsi="Calibri"/>
          <w:sz w:val="22"/>
        </w:rPr>
        <w:t>Functional network segregation validated (Track A)</w:t>
      </w:r>
    </w:p>
    <w:p>
      <w:pPr>
        <w:pStyle w:val="ListBullet"/>
      </w:pPr>
      <w:r>
        <w:rPr>
          <w:rFonts w:ascii="Calibri" w:hAnsi="Calibri"/>
          <w:sz w:val="22"/>
        </w:rPr>
        <w:t>Cyber Poka-Yoke enforcement operational on top 5 RPN failure modes (Track C)</w:t>
      </w:r>
    </w:p>
    <w:p>
      <w:pPr>
        <w:pStyle w:val="ListBullet"/>
      </w:pPr>
      <w:r>
        <w:rPr>
          <w:rFonts w:ascii="Calibri" w:hAnsi="Calibri"/>
          <w:sz w:val="22"/>
        </w:rPr>
        <w:t>SMED recovery rig tested and validated (Track C)</w:t>
      </w:r>
    </w:p>
    <w:p>
      <w:pPr>
        <w:pStyle w:val="ListBullet"/>
      </w:pPr>
      <w:r>
        <w:rPr>
          <w:rFonts w:ascii="Calibri" w:hAnsi="Calibri"/>
          <w:sz w:val="22"/>
        </w:rPr>
        <w:t>AI-augmented Layer 3 agents deployed and integrated with SOC (Track C)</w:t>
      </w:r>
    </w:p>
    <w:p>
      <w:pPr>
        <w:pStyle w:val="ListBullet"/>
      </w:pPr>
      <w:r>
        <w:rPr>
          <w:rFonts w:ascii="Calibri" w:hAnsi="Calibri"/>
          <w:sz w:val="22"/>
        </w:rPr>
        <w:t>Cryptographic recipe signing infrastructure operational (Track C)</w:t>
      </w:r>
    </w:p>
    <w:p>
      <w:pPr>
        <w:pStyle w:val="ListBullet"/>
      </w:pPr>
      <w:r>
        <w:rPr>
          <w:rFonts w:ascii="Calibri" w:hAnsi="Calibri"/>
          <w:sz w:val="22"/>
        </w:rPr>
        <w:t>100% of Digital 5C actions completed and audited (all tracks)</w:t>
      </w:r>
    </w:p>
    <w:p>
      <w:r>
        <w:rPr>
          <w:rFonts w:ascii="Calibri" w:hAnsi="Calibri"/>
          <w:b/>
          <w:sz w:val="22"/>
        </w:rPr>
        <w:t>CISO sign-off:</w:t>
      </w:r>
      <w:r>
        <w:rPr>
          <w:rFonts w:ascii="Calibri" w:hAnsi="Calibri"/>
          <w:sz w:val="22"/>
        </w:rPr>
        <w:t xml:space="preserve"> approve controls for deployment, ratify AI agent scope.</w:t>
      </w:r>
    </w:p>
    <w:p>
      <w:pPr>
        <w:pBdr>
          <w:bottom w:val="single" w:sz="6" w:space="1" w:color="CBD5E1"/>
        </w:pBdr>
      </w:pPr>
    </w:p>
    <w:p>
      <w:r>
        <w:rPr>
          <w:rFonts w:ascii="Calibri" w:hAnsi="Calibri"/>
          <w:b/>
          <w:color w:val="0F172A"/>
          <w:sz w:val="28"/>
        </w:rPr>
        <w:t>4.6 CONTROL Phase (Weeks 11–12, Tollgate G5)</w:t>
      </w:r>
    </w:p>
    <w:p>
      <w:r>
        <w:rPr>
          <w:rFonts w:ascii="Calibri" w:hAnsi="Calibri"/>
          <w:b/>
          <w:color w:val="0F172A"/>
          <w:sz w:val="24"/>
        </w:rPr>
        <w:t>4.6.1 Phase Objective</w:t>
      </w:r>
    </w:p>
    <w:p>
      <w:r>
        <w:rPr>
          <w:rFonts w:ascii="Calibri" w:hAnsi="Calibri"/>
          <w:sz w:val="22"/>
        </w:rPr>
        <w:t>Transition the engagement from project to operational discipline. Deploy the control plan, embed the Green Belt standard work, and authorise handover to Operations.</w:t>
      </w:r>
    </w:p>
    <w:p>
      <w:r>
        <w:rPr>
          <w:rFonts w:ascii="Calibri" w:hAnsi="Calibri"/>
          <w:b/>
          <w:color w:val="0F172A"/>
          <w:sz w:val="24"/>
        </w:rPr>
        <w:t>4.6.2 Statistical Process Control (SPC)</w:t>
      </w:r>
    </w:p>
    <w:p>
      <w:r>
        <w:rPr>
          <w:rFonts w:ascii="Calibri" w:hAnsi="Calibri"/>
          <w:sz w:val="22"/>
        </w:rPr>
        <w:t>Track B deploys automated SPC charts on the executive dashboard (§7):</w:t>
      </w:r>
    </w:p>
    <w:tbl>
      <w:tblPr>
        <w:tblStyle w:val="LightGrid-Accent1"/>
        <w:tblW w:type="auto" w:w="0"/>
        <w:tblLook w:firstColumn="1" w:firstRow="1" w:lastColumn="0" w:lastRow="0" w:noHBand="0" w:noVBand="1" w:val="04A0"/>
      </w:tblPr>
      <w:tblGrid>
        <w:gridCol w:w="3249"/>
        <w:gridCol w:w="3249"/>
        <w:gridCol w:w="3249"/>
      </w:tblGrid>
      <w:tr>
        <w:tc>
          <w:tcPr>
            <w:tcW w:type="dxa" w:w="3249"/>
            <w:shd w:val="clear" w:color="auto" w:fill="1E40AF"/>
          </w:tcPr>
          <w:p>
            <w:r/>
            <w:r>
              <w:rPr>
                <w:rFonts w:ascii="Calibri" w:hAnsi="Calibri"/>
                <w:b/>
                <w:color w:val="FFFFFF"/>
                <w:sz w:val="20"/>
              </w:rPr>
              <w:t>Chart</w:t>
            </w:r>
          </w:p>
        </w:tc>
        <w:tc>
          <w:tcPr>
            <w:tcW w:type="dxa" w:w="3249"/>
            <w:shd w:val="clear" w:color="auto" w:fill="1E40AF"/>
          </w:tcPr>
          <w:p>
            <w:r/>
            <w:r>
              <w:rPr>
                <w:rFonts w:ascii="Calibri" w:hAnsi="Calibri"/>
                <w:b/>
                <w:color w:val="FFFFFF"/>
                <w:sz w:val="20"/>
              </w:rPr>
              <w:t>Metric</w:t>
            </w:r>
          </w:p>
        </w:tc>
        <w:tc>
          <w:tcPr>
            <w:tcW w:type="dxa" w:w="3249"/>
            <w:shd w:val="clear" w:color="auto" w:fill="1E40AF"/>
          </w:tcPr>
          <w:p>
            <w:r/>
            <w:r>
              <w:rPr>
                <w:rFonts w:ascii="Calibri" w:hAnsi="Calibri"/>
                <w:b/>
                <w:color w:val="FFFFFF"/>
                <w:sz w:val="20"/>
              </w:rPr>
              <w:t>Control Limit Logic</w:t>
            </w:r>
          </w:p>
        </w:tc>
      </w:tr>
      <w:tr>
        <w:tc>
          <w:tcPr>
            <w:tcW w:type="dxa" w:w="3249"/>
          </w:tcPr>
          <w:p>
            <w:r/>
            <w:r>
              <w:rPr>
                <w:rFonts w:ascii="Calibri" w:hAnsi="Calibri"/>
                <w:b/>
                <w:color w:val="0F172A"/>
                <w:sz w:val="18"/>
              </w:rPr>
              <w:t>p-chart</w:t>
            </w:r>
          </w:p>
        </w:tc>
        <w:tc>
          <w:tcPr>
            <w:tcW w:type="dxa" w:w="3249"/>
          </w:tcPr>
          <w:p>
            <w:r/>
            <w:r>
              <w:rPr>
                <w:rFonts w:ascii="Calibri" w:hAnsi="Calibri"/>
                <w:color w:val="0F172A"/>
                <w:sz w:val="18"/>
              </w:rPr>
              <w:t>Daily % of blocked cyber anomalies</w:t>
            </w:r>
          </w:p>
        </w:tc>
        <w:tc>
          <w:tcPr>
            <w:tcW w:type="dxa" w:w="3249"/>
          </w:tcPr>
          <w:p>
            <w:r/>
            <w:r>
              <w:rPr>
                <w:rFonts w:ascii="Calibri" w:hAnsi="Calibri"/>
                <w:color w:val="0F172A"/>
                <w:sz w:val="18"/>
              </w:rPr>
              <w:t>UCL based on baseline anomaly rate; breach triggers Cyber-Kaizen</w:t>
            </w:r>
          </w:p>
        </w:tc>
      </w:tr>
      <w:tr>
        <w:tc>
          <w:tcPr>
            <w:tcW w:type="dxa" w:w="3249"/>
          </w:tcPr>
          <w:p>
            <w:r/>
            <w:r>
              <w:rPr>
                <w:rFonts w:ascii="Calibri" w:hAnsi="Calibri"/>
                <w:b/>
                <w:color w:val="0F172A"/>
                <w:sz w:val="18"/>
              </w:rPr>
              <w:t>I-MR chart</w:t>
            </w:r>
          </w:p>
        </w:tc>
        <w:tc>
          <w:tcPr>
            <w:tcW w:type="dxa" w:w="3249"/>
          </w:tcPr>
          <w:p>
            <w:r/>
            <w:r>
              <w:rPr>
                <w:rFonts w:ascii="Calibri" w:hAnsi="Calibri"/>
                <w:color w:val="0F172A"/>
                <w:sz w:val="18"/>
              </w:rPr>
              <w:t>Network latency spikes (per line, per shift)</w:t>
            </w:r>
          </w:p>
        </w:tc>
        <w:tc>
          <w:tcPr>
            <w:tcW w:type="dxa" w:w="3249"/>
          </w:tcPr>
          <w:p>
            <w:r/>
            <w:r>
              <w:rPr>
                <w:rFonts w:ascii="Calibri" w:hAnsi="Calibri"/>
                <w:color w:val="0F172A"/>
                <w:sz w:val="18"/>
              </w:rPr>
              <w:t>UCL based on baseline latency distribution; breach triggers automatic line-segment isolation</w:t>
            </w:r>
          </w:p>
        </w:tc>
      </w:tr>
      <w:tr>
        <w:tc>
          <w:tcPr>
            <w:tcW w:type="dxa" w:w="3249"/>
          </w:tcPr>
          <w:p>
            <w:r/>
            <w:r>
              <w:rPr>
                <w:rFonts w:ascii="Calibri" w:hAnsi="Calibri"/>
                <w:b/>
                <w:color w:val="0F172A"/>
                <w:sz w:val="18"/>
              </w:rPr>
              <w:t>u-chart</w:t>
            </w:r>
          </w:p>
        </w:tc>
        <w:tc>
          <w:tcPr>
            <w:tcW w:type="dxa" w:w="3249"/>
          </w:tcPr>
          <w:p>
            <w:r/>
            <w:r>
              <w:rPr>
                <w:rFonts w:ascii="Calibri" w:hAnsi="Calibri"/>
                <w:color w:val="0F172A"/>
                <w:sz w:val="18"/>
              </w:rPr>
              <w:t>Daily count of novel OT anomalies (AI-detected)</w:t>
            </w:r>
          </w:p>
        </w:tc>
        <w:tc>
          <w:tcPr>
            <w:tcW w:type="dxa" w:w="3249"/>
          </w:tcPr>
          <w:p>
            <w:r/>
            <w:r>
              <w:rPr>
                <w:rFonts w:ascii="Calibri" w:hAnsi="Calibri"/>
                <w:color w:val="0F172A"/>
                <w:sz w:val="18"/>
              </w:rPr>
              <w:t>UCL based on AI model baseline; breach triggers model retraining + forensic review</w:t>
            </w:r>
          </w:p>
        </w:tc>
      </w:tr>
      <w:tr>
        <w:tc>
          <w:tcPr>
            <w:tcW w:type="dxa" w:w="3249"/>
          </w:tcPr>
          <w:p>
            <w:r/>
            <w:r>
              <w:rPr>
                <w:rFonts w:ascii="Calibri" w:hAnsi="Calibri"/>
                <w:b/>
                <w:color w:val="0F172A"/>
                <w:sz w:val="18"/>
              </w:rPr>
              <w:t>Cpk trend chart</w:t>
            </w:r>
          </w:p>
        </w:tc>
        <w:tc>
          <w:tcPr>
            <w:tcW w:type="dxa" w:w="3249"/>
          </w:tcPr>
          <w:p>
            <w:r/>
            <w:r>
              <w:rPr>
                <w:rFonts w:ascii="Calibri" w:hAnsi="Calibri"/>
                <w:color w:val="0F172A"/>
                <w:sz w:val="18"/>
              </w:rPr>
              <w:t>Per-sub-process capability index (monthly)</w:t>
            </w:r>
          </w:p>
        </w:tc>
        <w:tc>
          <w:tcPr>
            <w:tcW w:type="dxa" w:w="3249"/>
          </w:tcPr>
          <w:p>
            <w:r/>
            <w:r>
              <w:rPr>
                <w:rFonts w:ascii="Calibri" w:hAnsi="Calibri"/>
                <w:color w:val="0F172A"/>
                <w:sz w:val="18"/>
              </w:rPr>
              <w:t>Trending toward Z ≥ 6.0; breach of trend triggers engagement review</w:t>
            </w:r>
          </w:p>
        </w:tc>
      </w:tr>
    </w:tbl>
    <w:p/>
    <w:p>
      <w:r>
        <w:rPr>
          <w:rFonts w:ascii="Calibri" w:hAnsi="Calibri"/>
          <w:b/>
          <w:color w:val="0F172A"/>
          <w:sz w:val="24"/>
        </w:rPr>
        <w:t>4.6.3 Control Plan</w:t>
      </w:r>
    </w:p>
    <w:p>
      <w:r>
        <w:rPr>
          <w:rFonts w:ascii="Calibri" w:hAnsi="Calibri"/>
          <w:sz w:val="22"/>
        </w:rPr>
        <w:t>The control plan is the binding document for sustained operation. It defines:</w:t>
      </w:r>
    </w:p>
    <w:p>
      <w:pPr>
        <w:pStyle w:val="ListBullet"/>
      </w:pPr>
      <w:r>
        <w:rPr>
          <w:rFonts w:ascii="Calibri" w:hAnsi="Calibri"/>
          <w:b/>
          <w:sz w:val="22"/>
        </w:rPr>
        <w:t>Automated triggers:</w:t>
      </w:r>
      <w:r>
        <w:rPr>
          <w:rFonts w:ascii="Calibri" w:hAnsi="Calibri"/>
          <w:sz w:val="22"/>
        </w:rPr>
        <w:t xml:space="preserve"> if any SPC chart breaches UCL, the system automatically isolates the affected line segment before lateral spread</w:t>
      </w:r>
    </w:p>
    <w:p>
      <w:pPr>
        <w:pStyle w:val="ListBullet"/>
      </w:pPr>
      <w:r>
        <w:rPr>
          <w:rFonts w:ascii="Calibri" w:hAnsi="Calibri"/>
          <w:b/>
          <w:sz w:val="22"/>
        </w:rPr>
        <w:t>Standard work:</w:t>
      </w:r>
      <w:r>
        <w:rPr>
          <w:rFonts w:ascii="Calibri" w:hAnsi="Calibri"/>
          <w:sz w:val="22"/>
        </w:rPr>
        <w:t xml:space="preserve"> every Green Belt follows the weekly / monthly / quarterly standard work defined in §6</w:t>
      </w:r>
    </w:p>
    <w:p>
      <w:pPr>
        <w:pStyle w:val="ListBullet"/>
      </w:pPr>
      <w:r>
        <w:rPr>
          <w:rFonts w:ascii="Calibri" w:hAnsi="Calibri"/>
          <w:b/>
          <w:sz w:val="22"/>
        </w:rPr>
        <w:t>Escalation discipline:</w:t>
      </w:r>
      <w:r>
        <w:rPr>
          <w:rFonts w:ascii="Calibri" w:hAnsi="Calibri"/>
          <w:sz w:val="22"/>
        </w:rPr>
        <w:t xml:space="preserve"> every anomaly is logged; UCL breaches trigger Tier 1/2 escalation per §3.4</w:t>
      </w:r>
    </w:p>
    <w:p>
      <w:pPr>
        <w:pStyle w:val="ListBullet"/>
      </w:pPr>
      <w:r>
        <w:rPr>
          <w:rFonts w:ascii="Calibri" w:hAnsi="Calibri"/>
          <w:b/>
          <w:sz w:val="22"/>
        </w:rPr>
        <w:t>Audit cadence:</w:t>
      </w:r>
      <w:r>
        <w:rPr>
          <w:rFonts w:ascii="Calibri" w:hAnsi="Calibri"/>
          <w:sz w:val="22"/>
        </w:rPr>
        <w:t xml:space="preserve"> bi-annual CISO audit, annual third-party audit of the control plan</w:t>
      </w:r>
    </w:p>
    <w:p>
      <w:pPr>
        <w:pStyle w:val="ListBullet"/>
      </w:pPr>
      <w:r>
        <w:rPr>
          <w:rFonts w:ascii="Calibri" w:hAnsi="Calibri"/>
          <w:b/>
          <w:sz w:val="22"/>
        </w:rPr>
        <w:t>FMEA refresh:</w:t>
      </w:r>
      <w:r>
        <w:rPr>
          <w:rFonts w:ascii="Calibri" w:hAnsi="Calibri"/>
          <w:sz w:val="22"/>
        </w:rPr>
        <w:t xml:space="preserve"> quarterly FMEA refresh to account for new equipment, firmware, line software</w:t>
      </w:r>
    </w:p>
    <w:p>
      <w:r>
        <w:rPr>
          <w:rFonts w:ascii="Calibri" w:hAnsi="Calibri"/>
          <w:b/>
          <w:color w:val="0F172A"/>
          <w:sz w:val="24"/>
        </w:rPr>
        <w:t>4.6.4 Cyber-Kaizen Triggers</w:t>
      </w:r>
    </w:p>
    <w:p>
      <w:r>
        <w:rPr>
          <w:rFonts w:ascii="Calibri" w:hAnsi="Calibri"/>
          <w:sz w:val="22"/>
        </w:rPr>
        <w:t>A Cyber-Kaizen event is initiated immediately if any of the following are met:</w:t>
      </w:r>
    </w:p>
    <w:p>
      <w:pPr>
        <w:shd w:val="clear" w:color="auto" w:fill="F1F5F9"/>
        <w:pBdr>
          <w:top w:val="single" w:sz="4" w:space="4" w:color="E2E8F0"/>
          <w:left w:val="single" w:sz="4" w:space="4" w:color="E2E8F0"/>
          <w:bottom w:val="single" w:sz="4" w:space="4" w:color="E2E8F0"/>
          <w:right w:val="single" w:sz="4" w:space="4" w:color="E2E8F0"/>
        </w:pBdr>
      </w:pPr>
      <w:r>
        <w:rPr>
          <w:rFonts w:ascii="Consolas" w:hAnsi="Consolas"/>
          <w:color w:val="334155"/>
          <w:sz w:val="18"/>
        </w:rPr>
        <w:t xml:space="preserve">                  ┌─────────────────────────────────────────┐</w:t>
        <w:br/>
      </w:r>
      <w:r>
        <w:rPr>
          <w:rFonts w:ascii="Consolas" w:hAnsi="Consolas"/>
          <w:color w:val="334155"/>
          <w:sz w:val="18"/>
        </w:rPr>
        <w:t xml:space="preserve">                  │      ANY OF THESE CONDITIONS MET?       │</w:t>
        <w:br/>
      </w:r>
      <w:r>
        <w:rPr>
          <w:rFonts w:ascii="Consolas" w:hAnsi="Consolas"/>
          <w:color w:val="334155"/>
          <w:sz w:val="18"/>
        </w:rPr>
        <w:t xml:space="preserve">                  └────────────────────┬────────────────────┘</w:t>
        <w:br/>
      </w:r>
      <w:r>
        <w:rPr>
          <w:rFonts w:ascii="Consolas" w:hAnsi="Consolas"/>
          <w:color w:val="334155"/>
          <w:sz w:val="18"/>
        </w:rPr>
        <w:t xml:space="preserve">                                       │</w:t>
        <w:br/>
      </w:r>
      <w:r>
        <w:rPr>
          <w:rFonts w:ascii="Consolas" w:hAnsi="Consolas"/>
          <w:color w:val="334155"/>
          <w:sz w:val="18"/>
        </w:rPr>
        <w:t xml:space="preserve">                ┌──────────────────────┼──────────────────────┐</w:t>
        <w:br/>
      </w:r>
      <w:r>
        <w:rPr>
          <w:rFonts w:ascii="Consolas" w:hAnsi="Consolas"/>
          <w:color w:val="334155"/>
          <w:sz w:val="18"/>
        </w:rPr>
        <w:t xml:space="preserve">                ▼                      ▼                      ▼</w:t>
        <w:br/>
      </w:r>
      <w:r>
        <w:rPr>
          <w:rFonts w:ascii="Consolas" w:hAnsi="Consolas"/>
          <w:color w:val="334155"/>
          <w:sz w:val="18"/>
        </w:rPr>
        <w:t xml:space="preserve">         [SPC Anomaly]           [MTTR Breach]         [New Asset Ingress]</w:t>
        <w:br/>
      </w:r>
      <w:r>
        <w:rPr>
          <w:rFonts w:ascii="Consolas" w:hAnsi="Consolas"/>
          <w:color w:val="334155"/>
          <w:sz w:val="18"/>
        </w:rPr>
        <w:t xml:space="preserve">       Point falls outside     A simulated recovery    A new PLC or line tool</w:t>
        <w:br/>
      </w:r>
      <w:r>
        <w:rPr>
          <w:rFonts w:ascii="Consolas" w:hAnsi="Consolas"/>
          <w:color w:val="334155"/>
          <w:sz w:val="18"/>
        </w:rPr>
        <w:t xml:space="preserve">       Statistical Control      takes longer than       is introduced to the</w:t>
        <w:br/>
      </w:r>
      <w:r>
        <w:rPr>
          <w:rFonts w:ascii="Consolas" w:hAnsi="Consolas"/>
          <w:color w:val="334155"/>
          <w:sz w:val="18"/>
        </w:rPr>
        <w:t xml:space="preserve">          Limits (UCL)          the SMED threshold       factory floor environment</w:t>
        <w:br/>
      </w:r>
      <w:r>
        <w:rPr>
          <w:rFonts w:ascii="Consolas" w:hAnsi="Consolas"/>
          <w:color w:val="334155"/>
          <w:sz w:val="18"/>
        </w:rPr>
        <w:t xml:space="preserve">                                       │</w:t>
        <w:br/>
      </w:r>
      <w:r>
        <w:rPr>
          <w:rFonts w:ascii="Consolas" w:hAnsi="Consolas"/>
          <w:color w:val="334155"/>
          <w:sz w:val="18"/>
        </w:rPr>
        <w:t xml:space="preserve">                                       ▼</w:t>
        <w:br/>
      </w:r>
      <w:r>
        <w:rPr>
          <w:rFonts w:ascii="Consolas" w:hAnsi="Consolas"/>
          <w:color w:val="334155"/>
          <w:sz w:val="18"/>
        </w:rPr>
        <w:t xml:space="preserve">                  ┌─────────────────────────────────────────┐</w:t>
        <w:br/>
      </w:r>
      <w:r>
        <w:rPr>
          <w:rFonts w:ascii="Consolas" w:hAnsi="Consolas"/>
          <w:color w:val="334155"/>
          <w:sz w:val="18"/>
        </w:rPr>
        <w:t xml:space="preserve">                  │    TRIGGER IMMEDIATE CYBER-KAIZEN EVENT  │</w:t>
        <w:br/>
      </w:r>
      <w:r>
        <w:rPr>
          <w:rFonts w:ascii="Consolas" w:hAnsi="Consolas"/>
          <w:color w:val="334155"/>
          <w:sz w:val="18"/>
        </w:rPr>
        <w:t xml:space="preserve">                  └─────────────────────────────────────────┘</w:t>
      </w:r>
    </w:p>
    <w:p>
      <w:r>
        <w:rPr>
          <w:rFonts w:ascii="Calibri" w:hAnsi="Calibri"/>
          <w:b/>
          <w:color w:val="0F172A"/>
          <w:sz w:val="24"/>
        </w:rPr>
        <w:t>4.6.5 Track Allocation — Control</w:t>
      </w:r>
    </w:p>
    <w:tbl>
      <w:tblPr>
        <w:tblStyle w:val="LightGrid-Accent1"/>
        <w:tblW w:type="auto" w:w="0"/>
        <w:tblLook w:firstColumn="1" w:firstRow="1" w:lastColumn="0" w:lastRow="0" w:noHBand="0" w:noVBand="1" w:val="04A0"/>
      </w:tblPr>
      <w:tblGrid>
        <w:gridCol w:w="3249"/>
        <w:gridCol w:w="3249"/>
        <w:gridCol w:w="3249"/>
      </w:tblGrid>
      <w:tr>
        <w:tc>
          <w:tcPr>
            <w:tcW w:type="dxa" w:w="3249"/>
            <w:shd w:val="clear" w:color="auto" w:fill="1E40AF"/>
          </w:tcPr>
          <w:p>
            <w:r/>
            <w:r>
              <w:rPr>
                <w:rFonts w:ascii="Calibri" w:hAnsi="Calibri"/>
                <w:b/>
                <w:color w:val="FFFFFF"/>
                <w:sz w:val="20"/>
              </w:rPr>
              <w:t>Track</w:t>
            </w:r>
          </w:p>
        </w:tc>
        <w:tc>
          <w:tcPr>
            <w:tcW w:type="dxa" w:w="3249"/>
            <w:shd w:val="clear" w:color="auto" w:fill="1E40AF"/>
          </w:tcPr>
          <w:p>
            <w:r/>
            <w:r>
              <w:rPr>
                <w:rFonts w:ascii="Calibri" w:hAnsi="Calibri"/>
                <w:b/>
                <w:color w:val="FFFFFF"/>
                <w:sz w:val="20"/>
              </w:rPr>
              <w:t>Headcount</w:t>
            </w:r>
          </w:p>
        </w:tc>
        <w:tc>
          <w:tcPr>
            <w:tcW w:type="dxa" w:w="3249"/>
            <w:shd w:val="clear" w:color="auto" w:fill="1E40AF"/>
          </w:tcPr>
          <w:p>
            <w:r/>
            <w:r>
              <w:rPr>
                <w:rFonts w:ascii="Calibri" w:hAnsi="Calibri"/>
                <w:b/>
                <w:color w:val="FFFFFF"/>
                <w:sz w:val="20"/>
              </w:rPr>
              <w:t>Control-phase activities</w:t>
            </w:r>
          </w:p>
        </w:tc>
      </w:tr>
      <w:tr>
        <w:tc>
          <w:tcPr>
            <w:tcW w:type="dxa" w:w="3249"/>
          </w:tcPr>
          <w:p>
            <w:r/>
            <w:r>
              <w:rPr>
                <w:rFonts w:ascii="Calibri" w:hAnsi="Calibri"/>
                <w:color w:val="0F172A"/>
                <w:sz w:val="18"/>
              </w:rPr>
              <w:t>Track A</w:t>
            </w:r>
          </w:p>
        </w:tc>
        <w:tc>
          <w:tcPr>
            <w:tcW w:type="dxa" w:w="3249"/>
          </w:tcPr>
          <w:p>
            <w:r/>
            <w:r>
              <w:rPr>
                <w:rFonts w:ascii="Calibri" w:hAnsi="Calibri"/>
                <w:color w:val="0F172A"/>
                <w:sz w:val="18"/>
              </w:rPr>
              <w:t>6</w:t>
            </w:r>
          </w:p>
        </w:tc>
        <w:tc>
          <w:tcPr>
            <w:tcW w:type="dxa" w:w="3249"/>
          </w:tcPr>
          <w:p>
            <w:r/>
            <w:r>
              <w:rPr>
                <w:rFonts w:ascii="Calibri" w:hAnsi="Calibri"/>
                <w:color w:val="0F172A"/>
                <w:sz w:val="18"/>
              </w:rPr>
              <w:t>Hand over network architecture documentation to Operations; finalise physical line-isolation SOPs</w:t>
            </w:r>
          </w:p>
        </w:tc>
      </w:tr>
      <w:tr>
        <w:tc>
          <w:tcPr>
            <w:tcW w:type="dxa" w:w="3249"/>
          </w:tcPr>
          <w:p>
            <w:r/>
            <w:r>
              <w:rPr>
                <w:rFonts w:ascii="Calibri" w:hAnsi="Calibri"/>
                <w:color w:val="0F172A"/>
                <w:sz w:val="18"/>
              </w:rPr>
              <w:t>Track B</w:t>
            </w:r>
          </w:p>
        </w:tc>
        <w:tc>
          <w:tcPr>
            <w:tcW w:type="dxa" w:w="3249"/>
          </w:tcPr>
          <w:p>
            <w:r/>
            <w:r>
              <w:rPr>
                <w:rFonts w:ascii="Calibri" w:hAnsi="Calibri"/>
                <w:color w:val="0F172A"/>
                <w:sz w:val="18"/>
              </w:rPr>
              <w:t>7</w:t>
            </w:r>
          </w:p>
        </w:tc>
        <w:tc>
          <w:tcPr>
            <w:tcW w:type="dxa" w:w="3249"/>
          </w:tcPr>
          <w:p>
            <w:r/>
            <w:r>
              <w:rPr>
                <w:rFonts w:ascii="Calibri" w:hAnsi="Calibri"/>
                <w:color w:val="0F172A"/>
                <w:sz w:val="18"/>
              </w:rPr>
              <w:t>Deploy executive dashboard SPC charts; finalise Z-score trend reporting; hand over capability reporting to Operations</w:t>
            </w:r>
          </w:p>
        </w:tc>
      </w:tr>
      <w:tr>
        <w:tc>
          <w:tcPr>
            <w:tcW w:type="dxa" w:w="3249"/>
          </w:tcPr>
          <w:p>
            <w:r/>
            <w:r>
              <w:rPr>
                <w:rFonts w:ascii="Calibri" w:hAnsi="Calibri"/>
                <w:color w:val="0F172A"/>
                <w:sz w:val="18"/>
              </w:rPr>
              <w:t>Track C</w:t>
            </w:r>
          </w:p>
        </w:tc>
        <w:tc>
          <w:tcPr>
            <w:tcW w:type="dxa" w:w="3249"/>
          </w:tcPr>
          <w:p>
            <w:r/>
            <w:r>
              <w:rPr>
                <w:rFonts w:ascii="Calibri" w:hAnsi="Calibri"/>
                <w:color w:val="0F172A"/>
                <w:sz w:val="18"/>
              </w:rPr>
              <w:t>6</w:t>
            </w:r>
          </w:p>
        </w:tc>
        <w:tc>
          <w:tcPr>
            <w:tcW w:type="dxa" w:w="3249"/>
          </w:tcPr>
          <w:p>
            <w:r/>
            <w:r>
              <w:rPr>
                <w:rFonts w:ascii="Calibri" w:hAnsi="Calibri"/>
                <w:color w:val="0F172A"/>
                <w:sz w:val="18"/>
              </w:rPr>
              <w:t>Finalise laminated line-rollback SOPs for operators; AI agent handoff to IT Security for sustained operation</w:t>
            </w:r>
          </w:p>
        </w:tc>
      </w:tr>
    </w:tbl>
    <w:p/>
    <w:p>
      <w:r>
        <w:rPr>
          <w:rFonts w:ascii="Calibri" w:hAnsi="Calibri"/>
          <w:b/>
          <w:color w:val="0F172A"/>
          <w:sz w:val="24"/>
        </w:rPr>
        <w:t>4.6.6 Tollgate G5 Deliverable</w:t>
      </w:r>
    </w:p>
    <w:p>
      <w:pPr>
        <w:pStyle w:val="ListBullet"/>
      </w:pPr>
      <w:r>
        <w:rPr>
          <w:rFonts w:ascii="Calibri" w:hAnsi="Calibri"/>
          <w:sz w:val="22"/>
        </w:rPr>
        <w:t>Deployed SPC charts on executive dashboard (Track B)</w:t>
      </w:r>
    </w:p>
    <w:p>
      <w:pPr>
        <w:pStyle w:val="ListBullet"/>
      </w:pPr>
      <w:r>
        <w:rPr>
          <w:rFonts w:ascii="Calibri" w:hAnsi="Calibri"/>
          <w:sz w:val="22"/>
        </w:rPr>
        <w:t>Laminated physical line-rollback SOPs in every protected cell (Track C)</w:t>
      </w:r>
    </w:p>
    <w:p>
      <w:pPr>
        <w:pStyle w:val="ListBullet"/>
      </w:pPr>
      <w:r>
        <w:rPr>
          <w:rFonts w:ascii="Calibri" w:hAnsi="Calibri"/>
          <w:sz w:val="22"/>
        </w:rPr>
        <w:t>Standard Work package (§6) embedded in engineering routines</w:t>
      </w:r>
    </w:p>
    <w:p>
      <w:pPr>
        <w:pStyle w:val="ListBullet"/>
      </w:pPr>
      <w:r>
        <w:rPr>
          <w:rFonts w:ascii="Calibri" w:hAnsi="Calibri"/>
          <w:sz w:val="22"/>
        </w:rPr>
        <w:t>Control plan signed off by CISO and Operations Director</w:t>
      </w:r>
    </w:p>
    <w:p>
      <w:pPr>
        <w:pStyle w:val="ListBullet"/>
      </w:pPr>
      <w:r>
        <w:rPr>
          <w:rFonts w:ascii="Calibri" w:hAnsi="Calibri"/>
          <w:sz w:val="22"/>
        </w:rPr>
        <w:t>Final CISO briefing: Z-score baseline vs target, RPN reduction, COPQ protected value</w:t>
      </w:r>
    </w:p>
    <w:p>
      <w:r>
        <w:rPr>
          <w:rFonts w:ascii="Calibri" w:hAnsi="Calibri"/>
          <w:b/>
          <w:sz w:val="22"/>
        </w:rPr>
        <w:t>CISO + Operations Director joint sign-off:</w:t>
      </w:r>
      <w:r>
        <w:rPr>
          <w:rFonts w:ascii="Calibri" w:hAnsi="Calibri"/>
          <w:sz w:val="22"/>
        </w:rPr>
        <w:t xml:space="preserve"> approve control plan, authorise handover.</w:t>
      </w:r>
    </w:p>
    <w:p>
      <w:pPr>
        <w:pBdr>
          <w:bottom w:val="single" w:sz="6" w:space="1" w:color="CBD5E1"/>
        </w:pBdr>
      </w:pPr>
    </w:p>
    <w:p>
      <w:r>
        <w:rPr>
          <w:rFonts w:ascii="Calibri" w:hAnsi="Calibri"/>
          <w:b/>
          <w:color w:val="0F172A"/>
          <w:sz w:val="28"/>
        </w:rPr>
        <w:t>4.7 Cross-Phase Integration</w:t>
      </w:r>
    </w:p>
    <w:p>
      <w:r>
        <w:rPr>
          <w:rFonts w:ascii="Calibri" w:hAnsi="Calibri"/>
          <w:b/>
          <w:color w:val="0F172A"/>
          <w:sz w:val="24"/>
        </w:rPr>
        <w:t>4.7.1 Track Coordination</w:t>
      </w:r>
    </w:p>
    <w:p>
      <w:r>
        <w:rPr>
          <w:rFonts w:ascii="Calibri" w:hAnsi="Calibri"/>
          <w:sz w:val="22"/>
        </w:rPr>
        <w:t>The three tracks operate in parallel but converge at each tollgate:</w:t>
      </w:r>
    </w:p>
    <w:p>
      <w:pPr>
        <w:pStyle w:val="ListBullet"/>
      </w:pPr>
      <w:r>
        <w:rPr>
          <w:rFonts w:ascii="Calibri" w:hAnsi="Calibri"/>
          <w:sz w:val="22"/>
        </w:rPr>
        <w:t>Track A outputs (architecture, segmentation, vendor controls) feed Track C's Poka-Yoke enforcement and SMED rig design</w:t>
      </w:r>
    </w:p>
    <w:p>
      <w:pPr>
        <w:pStyle w:val="ListBullet"/>
      </w:pPr>
      <w:r>
        <w:rPr>
          <w:rFonts w:ascii="Calibri" w:hAnsi="Calibri"/>
          <w:sz w:val="22"/>
        </w:rPr>
        <w:t>Track B outputs (anonymised data, SPC charts, capability indices) feed Track C's AI agent telemetry and the executive dashboard</w:t>
      </w:r>
    </w:p>
    <w:p>
      <w:pPr>
        <w:pStyle w:val="ListBullet"/>
      </w:pPr>
      <w:r>
        <w:rPr>
          <w:rFonts w:ascii="Calibri" w:hAnsi="Calibri"/>
          <w:sz w:val="22"/>
        </w:rPr>
        <w:t>Track C outputs (Poka-Yoke, SMED, AI agents) feed Track A's segmentation validation and Track B's SPC instrumentation</w:t>
      </w:r>
    </w:p>
    <w:p>
      <w:r>
        <w:rPr>
          <w:rFonts w:ascii="Calibri" w:hAnsi="Calibri"/>
          <w:sz w:val="22"/>
        </w:rPr>
        <w:t>The MBB owns the cross-track coordination; Track Leads resolve track-internal issues; cross-track issues escalate to MBB at Tier 2 (§3.4).</w:t>
      </w:r>
    </w:p>
    <w:p>
      <w:r>
        <w:rPr>
          <w:rFonts w:ascii="Calibri" w:hAnsi="Calibri"/>
          <w:b/>
          <w:color w:val="0F172A"/>
          <w:sz w:val="24"/>
        </w:rPr>
        <w:t>4.7.2 Sub-Process Target Roll-Up</w:t>
      </w:r>
    </w:p>
    <w:p>
      <w:r>
        <w:rPr>
          <w:rFonts w:ascii="Calibri" w:hAnsi="Calibri"/>
          <w:sz w:val="22"/>
        </w:rPr>
        <w:t>The sub-process targets in §1.4.1 are validated in Measure (G2) and operationalised in Improve (G4). The engagement-level Z-score in §2 is the roll-up function of the sub-process capabilities:</w:t>
      </w:r>
    </w:p>
    <w:p>
      <w:pPr>
        <w:shd w:val="clear" w:color="auto" w:fill="F1F5F9"/>
        <w:pBdr>
          <w:top w:val="single" w:sz="4" w:space="4" w:color="E2E8F0"/>
          <w:left w:val="single" w:sz="4" w:space="4" w:color="E2E8F0"/>
          <w:bottom w:val="single" w:sz="4" w:space="4" w:color="E2E8F0"/>
          <w:right w:val="single" w:sz="4" w:space="4" w:color="E2E8F0"/>
        </w:pBdr>
      </w:pPr>
      <w:r>
        <w:rPr>
          <w:rFonts w:ascii="Consolas" w:hAnsi="Consolas"/>
          <w:color w:val="334155"/>
          <w:sz w:val="18"/>
        </w:rPr>
        <w:t>Z_engagement = f(Z_detection, Z_response, Z_prevention)</w:t>
      </w:r>
    </w:p>
    <w:p>
      <w:r>
        <w:rPr>
          <w:rFonts w:ascii="Calibri" w:hAnsi="Calibri"/>
          <w:sz w:val="22"/>
        </w:rPr>
        <w:t>If any sub-process fails to achieve its target, the engagement-level target cannot be met. The control plan enforces sub-process capability maintenance through SPC and standard work.</w:t>
      </w:r>
    </w:p>
    <w:p>
      <w:r>
        <w:rPr>
          <w:rFonts w:ascii="Calibri" w:hAnsi="Calibri"/>
          <w:b/>
          <w:color w:val="0F172A"/>
          <w:sz w:val="24"/>
        </w:rPr>
        <w:t>4.7.3 FMEA-to-Exposure-Class Linkage</w:t>
      </w:r>
    </w:p>
    <w:p>
      <w:r>
        <w:rPr>
          <w:rFonts w:ascii="Calibri" w:hAnsi="Calibri"/>
          <w:sz w:val="22"/>
        </w:rPr>
        <w:t>The top 12 FMEA failure modes in §4.4.3 map to the exposure classes in §2.2 (with mode numbers reflecting the post-recalibration ranking):</w:t>
      </w:r>
    </w:p>
    <w:tbl>
      <w:tblPr>
        <w:tblStyle w:val="LightGrid-Accent1"/>
        <w:tblW w:type="auto" w:w="0"/>
        <w:tblLook w:firstColumn="1" w:firstRow="1" w:lastColumn="0" w:lastRow="0" w:noHBand="0" w:noVBand="1" w:val="04A0"/>
      </w:tblPr>
      <w:tblGrid>
        <w:gridCol w:w="3249"/>
        <w:gridCol w:w="3249"/>
        <w:gridCol w:w="3249"/>
      </w:tblGrid>
      <w:tr>
        <w:tc>
          <w:tcPr>
            <w:tcW w:type="dxa" w:w="3249"/>
            <w:shd w:val="clear" w:color="auto" w:fill="1E40AF"/>
          </w:tcPr>
          <w:p>
            <w:r/>
            <w:r>
              <w:rPr>
                <w:rFonts w:ascii="Calibri" w:hAnsi="Calibri"/>
                <w:b/>
                <w:color w:val="FFFFFF"/>
                <w:sz w:val="20"/>
              </w:rPr>
              <w:t>FMEA mode</w:t>
            </w:r>
          </w:p>
        </w:tc>
        <w:tc>
          <w:tcPr>
            <w:tcW w:type="dxa" w:w="3249"/>
            <w:shd w:val="clear" w:color="auto" w:fill="1E40AF"/>
          </w:tcPr>
          <w:p>
            <w:r/>
            <w:r>
              <w:rPr>
                <w:rFonts w:ascii="Calibri" w:hAnsi="Calibri"/>
                <w:b/>
                <w:color w:val="FFFFFF"/>
                <w:sz w:val="20"/>
              </w:rPr>
              <w:t>Primary exposure class</w:t>
            </w:r>
          </w:p>
        </w:tc>
        <w:tc>
          <w:tcPr>
            <w:tcW w:type="dxa" w:w="3249"/>
            <w:shd w:val="clear" w:color="auto" w:fill="1E40AF"/>
          </w:tcPr>
          <w:p>
            <w:r/>
            <w:r>
              <w:rPr>
                <w:rFonts w:ascii="Calibri" w:hAnsi="Calibri"/>
                <w:b/>
                <w:color w:val="FFFFFF"/>
                <w:sz w:val="20"/>
              </w:rPr>
              <w:t>Secondary</w:t>
            </w:r>
          </w:p>
        </w:tc>
      </w:tr>
      <w:tr>
        <w:tc>
          <w:tcPr>
            <w:tcW w:type="dxa" w:w="3249"/>
          </w:tcPr>
          <w:p>
            <w:r/>
            <w:r>
              <w:rPr>
                <w:rFonts w:ascii="Calibri" w:hAnsi="Calibri"/>
                <w:color w:val="0F172A"/>
                <w:sz w:val="18"/>
              </w:rPr>
              <w:t>#1–#7 (SC modes)</w:t>
            </w:r>
          </w:p>
        </w:tc>
        <w:tc>
          <w:tcPr>
            <w:tcW w:type="dxa" w:w="3249"/>
          </w:tcPr>
          <w:p>
            <w:r/>
            <w:r>
              <w:rPr>
                <w:rFonts w:ascii="Calibri" w:hAnsi="Calibri"/>
                <w:color w:val="0F172A"/>
                <w:sz w:val="18"/>
              </w:rPr>
              <w:t>`E_silent_corruption`</w:t>
            </w:r>
          </w:p>
        </w:tc>
        <w:tc>
          <w:tcPr>
            <w:tcW w:type="dxa" w:w="3249"/>
          </w:tcPr>
          <w:p>
            <w:r/>
            <w:r>
              <w:rPr>
                <w:rFonts w:ascii="Calibri" w:hAnsi="Calibri"/>
                <w:color w:val="0F172A"/>
                <w:sz w:val="18"/>
              </w:rPr>
              <w:t>`E_regulatory` (recall)</w:t>
            </w:r>
          </w:p>
        </w:tc>
      </w:tr>
      <w:tr>
        <w:tc>
          <w:tcPr>
            <w:tcW w:type="dxa" w:w="3249"/>
          </w:tcPr>
          <w:p>
            <w:r/>
            <w:r>
              <w:rPr>
                <w:rFonts w:ascii="Calibri" w:hAnsi="Calibri"/>
                <w:color w:val="0F172A"/>
                <w:sz w:val="18"/>
              </w:rPr>
              <w:t>#8 (formation charging), #10 (electrolyte dosing)</w:t>
            </w:r>
          </w:p>
        </w:tc>
        <w:tc>
          <w:tcPr>
            <w:tcW w:type="dxa" w:w="3249"/>
          </w:tcPr>
          <w:p>
            <w:r/>
            <w:r>
              <w:rPr>
                <w:rFonts w:ascii="Calibri" w:hAnsi="Calibri"/>
                <w:color w:val="0F172A"/>
                <w:sz w:val="18"/>
              </w:rPr>
              <w:t>`E_safety`</w:t>
            </w:r>
          </w:p>
        </w:tc>
        <w:tc>
          <w:tcPr>
            <w:tcW w:type="dxa" w:w="3249"/>
          </w:tcPr>
          <w:p>
            <w:r/>
            <w:r>
              <w:rPr>
                <w:rFonts w:ascii="Calibri" w:hAnsi="Calibri"/>
                <w:color w:val="0F172A"/>
                <w:sz w:val="18"/>
              </w:rPr>
              <w:t>`E_downtime`</w:t>
            </w:r>
          </w:p>
        </w:tc>
      </w:tr>
      <w:tr>
        <w:tc>
          <w:tcPr>
            <w:tcW w:type="dxa" w:w="3249"/>
          </w:tcPr>
          <w:p>
            <w:r/>
            <w:r>
              <w:rPr>
                <w:rFonts w:ascii="Calibri" w:hAnsi="Calibri"/>
                <w:color w:val="0F172A"/>
                <w:sz w:val="18"/>
              </w:rPr>
              <w:t>#9 (slurry ransomware), #11 (slurry batch tracking)</w:t>
            </w:r>
          </w:p>
        </w:tc>
        <w:tc>
          <w:tcPr>
            <w:tcW w:type="dxa" w:w="3249"/>
          </w:tcPr>
          <w:p>
            <w:r/>
            <w:r>
              <w:rPr>
                <w:rFonts w:ascii="Calibri" w:hAnsi="Calibri"/>
                <w:color w:val="0F172A"/>
                <w:sz w:val="18"/>
              </w:rPr>
              <w:t>`E_downtime`</w:t>
            </w:r>
          </w:p>
        </w:tc>
        <w:tc>
          <w:tcPr>
            <w:tcW w:type="dxa" w:w="3249"/>
          </w:tcPr>
          <w:p>
            <w:r/>
            <w:r>
              <w:rPr>
                <w:rFonts w:ascii="Calibri" w:hAnsi="Calibri"/>
                <w:color w:val="0F172A"/>
                <w:sz w:val="18"/>
              </w:rPr>
              <w:t>`E_regulatory` (NIS2)</w:t>
            </w:r>
          </w:p>
        </w:tc>
      </w:tr>
      <w:tr>
        <w:tc>
          <w:tcPr>
            <w:tcW w:type="dxa" w:w="3249"/>
          </w:tcPr>
          <w:p>
            <w:r/>
            <w:r>
              <w:rPr>
                <w:rFonts w:ascii="Calibri" w:hAnsi="Calibri"/>
                <w:color w:val="0F172A"/>
                <w:sz w:val="18"/>
              </w:rPr>
              <w:t>#12 (assembly auth bypass)</w:t>
            </w:r>
          </w:p>
        </w:tc>
        <w:tc>
          <w:tcPr>
            <w:tcW w:type="dxa" w:w="3249"/>
          </w:tcPr>
          <w:p>
            <w:r/>
            <w:r>
              <w:rPr>
                <w:rFonts w:ascii="Calibri" w:hAnsi="Calibri"/>
                <w:color w:val="0F172A"/>
                <w:sz w:val="18"/>
              </w:rPr>
              <w:t>`E_downtime`</w:t>
            </w:r>
          </w:p>
        </w:tc>
        <w:tc>
          <w:tcPr>
            <w:tcW w:type="dxa" w:w="3249"/>
          </w:tcPr>
          <w:p>
            <w:r/>
            <w:r>
              <w:rPr>
                <w:rFonts w:ascii="Calibri" w:hAnsi="Calibri"/>
                <w:color w:val="0F172A"/>
                <w:sz w:val="18"/>
              </w:rPr>
              <w:t>`E_silent_corruption`</w:t>
            </w:r>
          </w:p>
        </w:tc>
      </w:tr>
    </w:tbl>
    <w:p/>
    <w:p>
      <w:r>
        <w:rPr>
          <w:rFonts w:ascii="Calibri" w:hAnsi="Calibri"/>
          <w:b/>
          <w:sz w:val="22"/>
        </w:rPr>
        <w:t>7 of 12 modes (the entire SC class) drive `E_silent_corruption`</w:t>
      </w:r>
      <w:r>
        <w:rPr>
          <w:rFonts w:ascii="Calibri" w:hAnsi="Calibri"/>
          <w:sz w:val="22"/>
        </w:rPr>
        <w:t xml:space="preserve">, validating the structural decision in §2.2.2 to break silent corruption out as its own exposure line. The FMEA's RPN reduction directly drives the protected value calculation in §2.5. </w:t>
      </w:r>
      <w:r>
        <w:rPr>
          <w:rFonts w:ascii="Calibri" w:hAnsi="Calibri"/>
          <w:b/>
          <w:sz w:val="22"/>
        </w:rPr>
        <w:t>An 80% RPN reduction across the top 10 modes</w:t>
      </w:r>
      <w:r>
        <w:rPr>
          <w:rFonts w:ascii="Calibri" w:hAnsi="Calibri"/>
          <w:sz w:val="22"/>
        </w:rPr>
        <w:t xml:space="preserve"> is the Six Sigma-aligned target (corresponds to roughly an 80% reduction in </w:t>
      </w:r>
      <w:r>
        <w:rPr>
          <w:rFonts w:ascii="Consolas" w:hAnsi="Consolas"/>
          <w:color w:val="334155"/>
          <w:sz w:val="20"/>
        </w:rPr>
        <w:t>E_cyber</w:t>
      </w:r>
      <w:r>
        <w:rPr>
          <w:rFonts w:ascii="Calibri" w:hAnsi="Calibri"/>
          <w:sz w:val="22"/>
        </w:rPr>
        <w:t xml:space="preserve"> probability-weighted exposure, which is the basis for the engagement's protected value at theoretical Six Sigma capability). The post-recalibration ranking makes this linkage even tighter: </w:t>
      </w:r>
      <w:r>
        <w:rPr>
          <w:rFonts w:ascii="Calibri" w:hAnsi="Calibri"/>
          <w:b/>
          <w:sz w:val="22"/>
        </w:rPr>
        <w:t>the top 5 RPN modes (≥ 450) are all silent corruption</w:t>
      </w:r>
      <w:r>
        <w:rPr>
          <w:rFonts w:ascii="Calibri" w:hAnsi="Calibri"/>
          <w:sz w:val="22"/>
        </w:rPr>
        <w:t>, meaning the engagement's protected value is overwhelmingly driven by detecting and preventing parameter-tampering.</w:t>
      </w:r>
    </w:p>
    <w:p>
      <w:pPr>
        <w:pBdr>
          <w:bottom w:val="single" w:sz="6" w:space="1" w:color="CBD5E1"/>
        </w:pBdr>
      </w:pPr>
    </w:p>
    <w:p>
      <w:r>
        <w:rPr>
          <w:rFonts w:ascii="Calibri" w:hAnsi="Calibri"/>
          <w:b/>
          <w:color w:val="0F172A"/>
          <w:sz w:val="28"/>
        </w:rPr>
        <w:t>4.8 What Section 4 Does Not Cover</w:t>
      </w:r>
    </w:p>
    <w:p>
      <w:r>
        <w:rPr>
          <w:rFonts w:ascii="Calibri" w:hAnsi="Calibri"/>
          <w:sz w:val="22"/>
        </w:rPr>
        <w:t>Section 4 is the analytical engine. Subsequent sections cover:</w:t>
      </w:r>
    </w:p>
    <w:p>
      <w:pPr>
        <w:pStyle w:val="ListBullet"/>
      </w:pPr>
      <w:r>
        <w:rPr>
          <w:rFonts w:ascii="Calibri" w:hAnsi="Calibri"/>
          <w:b/>
          <w:sz w:val="22"/>
        </w:rPr>
        <w:t>§5 Implementation Roadmap</w:t>
      </w:r>
      <w:r>
        <w:rPr>
          <w:rFonts w:ascii="Calibri" w:hAnsi="Calibri"/>
          <w:sz w:val="22"/>
        </w:rPr>
        <w:t xml:space="preserve"> — 12-week plan, 3 tracks, weekly milestones, tollgate dates</w:t>
      </w:r>
    </w:p>
    <w:p>
      <w:pPr>
        <w:pStyle w:val="ListBullet"/>
      </w:pPr>
      <w:r>
        <w:rPr>
          <w:rFonts w:ascii="Calibri" w:hAnsi="Calibri"/>
          <w:b/>
          <w:sz w:val="22"/>
        </w:rPr>
        <w:t>§6 Continuation &amp; Standard Work</w:t>
      </w:r>
      <w:r>
        <w:rPr>
          <w:rFonts w:ascii="Calibri" w:hAnsi="Calibri"/>
          <w:sz w:val="22"/>
        </w:rPr>
        <w:t xml:space="preserve"> — Green Belt routines, Kaizen triggers</w:t>
      </w:r>
    </w:p>
    <w:p>
      <w:pPr>
        <w:pStyle w:val="ListBullet"/>
      </w:pPr>
      <w:r>
        <w:rPr>
          <w:rFonts w:ascii="Calibri" w:hAnsi="Calibri"/>
          <w:b/>
          <w:sz w:val="22"/>
        </w:rPr>
        <w:t>§7 CISO Governance Cycle</w:t>
      </w:r>
      <w:r>
        <w:rPr>
          <w:rFonts w:ascii="Calibri" w:hAnsi="Calibri"/>
          <w:sz w:val="22"/>
        </w:rPr>
        <w:t xml:space="preserve"> — bi-weekly briefings, bi-annual audits</w:t>
      </w:r>
    </w:p>
    <w:p>
      <w:pPr>
        <w:pStyle w:val="ListBullet"/>
      </w:pPr>
      <w:r>
        <w:rPr>
          <w:rFonts w:ascii="Calibri" w:hAnsi="Calibri"/>
          <w:b/>
          <w:sz w:val="22"/>
        </w:rPr>
        <w:t>§8 Constraints &amp; Risks</w:t>
      </w:r>
      <w:r>
        <w:rPr>
          <w:rFonts w:ascii="Calibri" w:hAnsi="Calibri"/>
          <w:sz w:val="22"/>
        </w:rPr>
        <w:t xml:space="preserve"> — data-blind, confidentiality, vendor remote access, air-gap requirement</w:t>
      </w:r>
    </w:p>
    <w:p>
      <w:r>
        <w:br w:type="page"/>
      </w:r>
    </w:p>
    <w:p>
      <w:r>
        <w:rPr>
          <w:rFonts w:ascii="Calibri" w:hAnsi="Calibri"/>
          <w:b/>
          <w:color w:val="1E40AF"/>
          <w:sz w:val="40"/>
        </w:rPr>
        <w:t>Section 5 — Implementation Roadmap</w:t>
      </w:r>
    </w:p>
    <w:p>
      <w:pPr>
        <w:pBdr>
          <w:bottom w:val="single" w:sz="6" w:space="1" w:color="CBD5E1"/>
        </w:pBdr>
      </w:pPr>
    </w:p>
    <w:p/>
    <w:p>
      <w:r>
        <w:rPr>
          <w:rFonts w:ascii="Calibri" w:hAnsi="Calibri"/>
          <w:b/>
          <w:sz w:val="22"/>
        </w:rPr>
        <w:t>Section status:</w:t>
      </w:r>
      <w:r>
        <w:rPr>
          <w:rFonts w:ascii="Calibri" w:hAnsi="Calibri"/>
          <w:sz w:val="22"/>
        </w:rPr>
        <w:t xml:space="preserve"> Draft for review</w:t>
      </w:r>
    </w:p>
    <w:p>
      <w:r>
        <w:rPr>
          <w:rFonts w:ascii="Calibri" w:hAnsi="Calibri"/>
          <w:b/>
          <w:sz w:val="22"/>
        </w:rPr>
        <w:t>Reviewer:</w:t>
      </w:r>
      <w:r>
        <w:rPr>
          <w:rFonts w:ascii="Calibri" w:hAnsi="Calibri"/>
          <w:sz w:val="22"/>
        </w:rPr>
        <w:t xml:space="preserve"> Olivia Key (MBB)</w:t>
      </w:r>
    </w:p>
    <w:p>
      <w:r>
        <w:rPr>
          <w:rFonts w:ascii="Calibri" w:hAnsi="Calibri"/>
          <w:b/>
          <w:sz w:val="22"/>
        </w:rPr>
        <w:t>Source:</w:t>
      </w:r>
      <w:r>
        <w:rPr>
          <w:rFonts w:ascii="Calibri" w:hAnsi="Calibri"/>
          <w:sz w:val="22"/>
        </w:rPr>
        <w:t xml:space="preserve"> </w:t>
      </w:r>
      <w:r>
        <w:rPr>
          <w:rFonts w:ascii="Consolas" w:hAnsi="Consolas"/>
          <w:color w:val="334155"/>
          <w:sz w:val="20"/>
        </w:rPr>
        <w:t>context/00-original-input.md</w:t>
      </w:r>
      <w:r>
        <w:rPr>
          <w:rFonts w:ascii="Calibri" w:hAnsi="Calibri"/>
          <w:sz w:val="22"/>
        </w:rPr>
        <w:t xml:space="preserve"> §3 Implementation Plan, cross-referenced with §4 DMAIC methodology</w:t>
      </w:r>
    </w:p>
    <w:p>
      <w:r>
        <w:rPr>
          <w:rFonts w:ascii="Calibri" w:hAnsi="Calibri"/>
          <w:b/>
          <w:sz w:val="22"/>
        </w:rPr>
        <w:t>Emphasis:</w:t>
      </w:r>
      <w:r>
        <w:rPr>
          <w:rFonts w:ascii="Calibri" w:hAnsi="Calibri"/>
          <w:sz w:val="22"/>
        </w:rPr>
        <w:t xml:space="preserve"> Detailed Gantt-style 12-week timeline with track dependencies, critical path, tollgate calendar, and GB utilisation. The Gantt is the visual anchor; dependencies and critical path are the engineering backbone.</w:t>
      </w:r>
    </w:p>
    <w:p>
      <w:pPr>
        <w:pBdr>
          <w:bottom w:val="single" w:sz="6" w:space="1" w:color="CBD5E1"/>
        </w:pBdr>
      </w:pPr>
    </w:p>
    <w:p>
      <w:r>
        <w:rPr>
          <w:rFonts w:ascii="Calibri" w:hAnsi="Calibri"/>
          <w:b/>
          <w:color w:val="0F172A"/>
          <w:sz w:val="28"/>
        </w:rPr>
        <w:t>5.1 Roadmap Overview</w:t>
      </w:r>
    </w:p>
    <w:p>
      <w:r>
        <w:rPr>
          <w:rFonts w:ascii="Calibri" w:hAnsi="Calibri"/>
          <w:sz w:val="22"/>
        </w:rPr>
        <w:t xml:space="preserve">The engagement is a 12-week programme structured across five DMAIC phases and five tollgates. Three parallel tracks (A: Architecture, B: Data &amp; Metrics, C: Automation) execute concurrently, converging at each tollgate for CISO review. The 19 Green Belts operate at 10% weekly capacity allocation (per the original brief), giving the engagement an effective team of </w:t>
      </w:r>
      <w:r>
        <w:rPr>
          <w:rFonts w:ascii="Calibri" w:hAnsi="Calibri"/>
          <w:b/>
          <w:sz w:val="22"/>
        </w:rPr>
        <w:t>1.9 FTE</w:t>
      </w:r>
      <w:r>
        <w:rPr>
          <w:rFonts w:ascii="Calibri" w:hAnsi="Calibri"/>
          <w:sz w:val="22"/>
        </w:rPr>
        <w:t xml:space="preserve"> plus the MBB (1.0 FTE dedicated).</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shd w:val="clear" w:color="auto" w:fill="1E40AF"/>
          </w:tcPr>
          <w:p>
            <w:r/>
            <w:r>
              <w:rPr>
                <w:rFonts w:ascii="Calibri" w:hAnsi="Calibri"/>
                <w:b/>
                <w:color w:val="FFFFFF"/>
                <w:sz w:val="20"/>
              </w:rPr>
              <w:t>Phase</w:t>
            </w:r>
          </w:p>
        </w:tc>
        <w:tc>
          <w:tcPr>
            <w:tcW w:type="dxa" w:w="2436"/>
            <w:shd w:val="clear" w:color="auto" w:fill="1E40AF"/>
          </w:tcPr>
          <w:p>
            <w:r/>
            <w:r>
              <w:rPr>
                <w:rFonts w:ascii="Calibri" w:hAnsi="Calibri"/>
                <w:b/>
                <w:color w:val="FFFFFF"/>
                <w:sz w:val="20"/>
              </w:rPr>
              <w:t>Weeks</w:t>
            </w:r>
          </w:p>
        </w:tc>
        <w:tc>
          <w:tcPr>
            <w:tcW w:type="dxa" w:w="2436"/>
            <w:shd w:val="clear" w:color="auto" w:fill="1E40AF"/>
          </w:tcPr>
          <w:p>
            <w:r/>
            <w:r>
              <w:rPr>
                <w:rFonts w:ascii="Calibri" w:hAnsi="Calibri"/>
                <w:b/>
                <w:color w:val="FFFFFF"/>
                <w:sz w:val="20"/>
              </w:rPr>
              <w:t>Tollgate</w:t>
            </w:r>
          </w:p>
        </w:tc>
        <w:tc>
          <w:tcPr>
            <w:tcW w:type="dxa" w:w="2436"/>
            <w:shd w:val="clear" w:color="auto" w:fill="1E40AF"/>
          </w:tcPr>
          <w:p>
            <w:r/>
            <w:r>
              <w:rPr>
                <w:rFonts w:ascii="Calibri" w:hAnsi="Calibri"/>
                <w:b/>
                <w:color w:val="FFFFFF"/>
                <w:sz w:val="20"/>
              </w:rPr>
              <w:t>Theme</w:t>
            </w:r>
          </w:p>
        </w:tc>
      </w:tr>
      <w:tr>
        <w:tc>
          <w:tcPr>
            <w:tcW w:type="dxa" w:w="2436"/>
          </w:tcPr>
          <w:p>
            <w:r/>
            <w:r>
              <w:rPr>
                <w:rFonts w:ascii="Calibri" w:hAnsi="Calibri"/>
                <w:color w:val="0F172A"/>
                <w:sz w:val="18"/>
              </w:rPr>
              <w:t>Define</w:t>
            </w:r>
          </w:p>
        </w:tc>
        <w:tc>
          <w:tcPr>
            <w:tcW w:type="dxa" w:w="2436"/>
          </w:tcPr>
          <w:p>
            <w:r/>
            <w:r>
              <w:rPr>
                <w:rFonts w:ascii="Calibri" w:hAnsi="Calibri"/>
                <w:color w:val="0F172A"/>
                <w:sz w:val="18"/>
              </w:rPr>
              <w:t>1–3</w:t>
            </w:r>
          </w:p>
        </w:tc>
        <w:tc>
          <w:tcPr>
            <w:tcW w:type="dxa" w:w="2436"/>
          </w:tcPr>
          <w:p>
            <w:r/>
            <w:r>
              <w:rPr>
                <w:rFonts w:ascii="Calibri" w:hAnsi="Calibri"/>
                <w:color w:val="0F172A"/>
                <w:sz w:val="18"/>
              </w:rPr>
              <w:t>G1</w:t>
            </w:r>
          </w:p>
        </w:tc>
        <w:tc>
          <w:tcPr>
            <w:tcW w:type="dxa" w:w="2436"/>
          </w:tcPr>
          <w:p>
            <w:r/>
            <w:r>
              <w:rPr>
                <w:rFonts w:ascii="Calibri" w:hAnsi="Calibri"/>
                <w:color w:val="0F172A"/>
                <w:sz w:val="18"/>
              </w:rPr>
              <w:t>Scope, align, governance</w:t>
            </w:r>
          </w:p>
        </w:tc>
      </w:tr>
      <w:tr>
        <w:tc>
          <w:tcPr>
            <w:tcW w:type="dxa" w:w="2436"/>
          </w:tcPr>
          <w:p>
            <w:r/>
            <w:r>
              <w:rPr>
                <w:rFonts w:ascii="Calibri" w:hAnsi="Calibri"/>
                <w:color w:val="0F172A"/>
                <w:sz w:val="18"/>
              </w:rPr>
              <w:t>Measure</w:t>
            </w:r>
          </w:p>
        </w:tc>
        <w:tc>
          <w:tcPr>
            <w:tcW w:type="dxa" w:w="2436"/>
          </w:tcPr>
          <w:p>
            <w:r/>
            <w:r>
              <w:rPr>
                <w:rFonts w:ascii="Calibri" w:hAnsi="Calibri"/>
                <w:color w:val="0F172A"/>
                <w:sz w:val="18"/>
              </w:rPr>
              <w:t>4–5</w:t>
            </w:r>
          </w:p>
        </w:tc>
        <w:tc>
          <w:tcPr>
            <w:tcW w:type="dxa" w:w="2436"/>
          </w:tcPr>
          <w:p>
            <w:r/>
            <w:r>
              <w:rPr>
                <w:rFonts w:ascii="Calibri" w:hAnsi="Calibri"/>
                <w:color w:val="0F172A"/>
                <w:sz w:val="18"/>
              </w:rPr>
              <w:t>G2</w:t>
            </w:r>
          </w:p>
        </w:tc>
        <w:tc>
          <w:tcPr>
            <w:tcW w:type="dxa" w:w="2436"/>
          </w:tcPr>
          <w:p>
            <w:r/>
            <w:r>
              <w:rPr>
                <w:rFonts w:ascii="Calibri" w:hAnsi="Calibri"/>
                <w:color w:val="0F172A"/>
                <w:sz w:val="18"/>
              </w:rPr>
              <w:t>Baseline capability</w:t>
            </w:r>
          </w:p>
        </w:tc>
      </w:tr>
      <w:tr>
        <w:tc>
          <w:tcPr>
            <w:tcW w:type="dxa" w:w="2436"/>
          </w:tcPr>
          <w:p>
            <w:r/>
            <w:r>
              <w:rPr>
                <w:rFonts w:ascii="Calibri" w:hAnsi="Calibri"/>
                <w:color w:val="0F172A"/>
                <w:sz w:val="18"/>
              </w:rPr>
              <w:t>Analyse</w:t>
            </w:r>
          </w:p>
        </w:tc>
        <w:tc>
          <w:tcPr>
            <w:tcW w:type="dxa" w:w="2436"/>
          </w:tcPr>
          <w:p>
            <w:r/>
            <w:r>
              <w:rPr>
                <w:rFonts w:ascii="Calibri" w:hAnsi="Calibri"/>
                <w:color w:val="0F172A"/>
                <w:sz w:val="18"/>
              </w:rPr>
              <w:t>6–7</w:t>
            </w:r>
          </w:p>
        </w:tc>
        <w:tc>
          <w:tcPr>
            <w:tcW w:type="dxa" w:w="2436"/>
          </w:tcPr>
          <w:p>
            <w:r/>
            <w:r>
              <w:rPr>
                <w:rFonts w:ascii="Calibri" w:hAnsi="Calibri"/>
                <w:color w:val="0F172A"/>
                <w:sz w:val="18"/>
              </w:rPr>
              <w:t>G3</w:t>
            </w:r>
          </w:p>
        </w:tc>
        <w:tc>
          <w:tcPr>
            <w:tcW w:type="dxa" w:w="2436"/>
          </w:tcPr>
          <w:p>
            <w:r/>
            <w:r>
              <w:rPr>
                <w:rFonts w:ascii="Calibri" w:hAnsi="Calibri"/>
                <w:color w:val="0F172A"/>
                <w:sz w:val="18"/>
              </w:rPr>
              <w:t>FMEA, root cause, control design</w:t>
            </w:r>
          </w:p>
        </w:tc>
      </w:tr>
      <w:tr>
        <w:tc>
          <w:tcPr>
            <w:tcW w:type="dxa" w:w="2436"/>
          </w:tcPr>
          <w:p>
            <w:r/>
            <w:r>
              <w:rPr>
                <w:rFonts w:ascii="Calibri" w:hAnsi="Calibri"/>
                <w:color w:val="0F172A"/>
                <w:sz w:val="18"/>
              </w:rPr>
              <w:t>Improve</w:t>
            </w:r>
          </w:p>
        </w:tc>
        <w:tc>
          <w:tcPr>
            <w:tcW w:type="dxa" w:w="2436"/>
          </w:tcPr>
          <w:p>
            <w:r/>
            <w:r>
              <w:rPr>
                <w:rFonts w:ascii="Calibri" w:hAnsi="Calibri"/>
                <w:color w:val="0F172A"/>
                <w:sz w:val="18"/>
              </w:rPr>
              <w:t>8–10</w:t>
            </w:r>
          </w:p>
        </w:tc>
        <w:tc>
          <w:tcPr>
            <w:tcW w:type="dxa" w:w="2436"/>
          </w:tcPr>
          <w:p>
            <w:r/>
            <w:r>
              <w:rPr>
                <w:rFonts w:ascii="Calibri" w:hAnsi="Calibri"/>
                <w:color w:val="0F172A"/>
                <w:sz w:val="18"/>
              </w:rPr>
              <w:t>G4</w:t>
            </w:r>
          </w:p>
        </w:tc>
        <w:tc>
          <w:tcPr>
            <w:tcW w:type="dxa" w:w="2436"/>
          </w:tcPr>
          <w:p>
            <w:r/>
            <w:r>
              <w:rPr>
                <w:rFonts w:ascii="Calibri" w:hAnsi="Calibri"/>
                <w:color w:val="0F172A"/>
                <w:sz w:val="18"/>
              </w:rPr>
              <w:t>Deploy controls, AI agents, Poka-Yoke</w:t>
            </w:r>
          </w:p>
        </w:tc>
      </w:tr>
      <w:tr>
        <w:tc>
          <w:tcPr>
            <w:tcW w:type="dxa" w:w="2436"/>
          </w:tcPr>
          <w:p>
            <w:r/>
            <w:r>
              <w:rPr>
                <w:rFonts w:ascii="Calibri" w:hAnsi="Calibri"/>
                <w:color w:val="0F172A"/>
                <w:sz w:val="18"/>
              </w:rPr>
              <w:t>Control</w:t>
            </w:r>
          </w:p>
        </w:tc>
        <w:tc>
          <w:tcPr>
            <w:tcW w:type="dxa" w:w="2436"/>
          </w:tcPr>
          <w:p>
            <w:r/>
            <w:r>
              <w:rPr>
                <w:rFonts w:ascii="Calibri" w:hAnsi="Calibri"/>
                <w:color w:val="0F172A"/>
                <w:sz w:val="18"/>
              </w:rPr>
              <w:t>11–12</w:t>
            </w:r>
          </w:p>
        </w:tc>
        <w:tc>
          <w:tcPr>
            <w:tcW w:type="dxa" w:w="2436"/>
          </w:tcPr>
          <w:p>
            <w:r/>
            <w:r>
              <w:rPr>
                <w:rFonts w:ascii="Calibri" w:hAnsi="Calibri"/>
                <w:color w:val="0F172A"/>
                <w:sz w:val="18"/>
              </w:rPr>
              <w:t>G5</w:t>
            </w:r>
          </w:p>
        </w:tc>
        <w:tc>
          <w:tcPr>
            <w:tcW w:type="dxa" w:w="2436"/>
          </w:tcPr>
          <w:p>
            <w:r/>
            <w:r>
              <w:rPr>
                <w:rFonts w:ascii="Calibri" w:hAnsi="Calibri"/>
                <w:color w:val="0F172A"/>
                <w:sz w:val="18"/>
              </w:rPr>
              <w:t>SPC, handover, standard work</w:t>
            </w:r>
          </w:p>
        </w:tc>
      </w:tr>
    </w:tbl>
    <w:p/>
    <w:p>
      <w:r>
        <w:rPr>
          <w:rFonts w:ascii="Calibri" w:hAnsi="Calibri"/>
          <w:b/>
          <w:sz w:val="22"/>
        </w:rPr>
        <w:t>Total GB-weeks:</w:t>
      </w:r>
      <w:r>
        <w:rPr>
          <w:rFonts w:ascii="Calibri" w:hAnsi="Calibri"/>
          <w:sz w:val="22"/>
        </w:rPr>
        <w:t xml:space="preserve"> 19 × 12 × 0.10 = 22.8 GB-weeks, distributed as 7.2 (Track A) + 8.4 (Track B) + 7.2 (Track C).</w:t>
      </w:r>
    </w:p>
    <w:p>
      <w:pPr>
        <w:pBdr>
          <w:bottom w:val="single" w:sz="6" w:space="1" w:color="CBD5E1"/>
        </w:pBdr>
      </w:pPr>
    </w:p>
    <w:p>
      <w:r>
        <w:rPr>
          <w:rFonts w:ascii="Calibri" w:hAnsi="Calibri"/>
          <w:b/>
          <w:color w:val="0F172A"/>
          <w:sz w:val="28"/>
        </w:rPr>
        <w:t>5.2 12-Week Gantt Timeline</w:t>
      </w:r>
    </w:p>
    <w:p>
      <w:pPr>
        <w:shd w:val="clear" w:color="auto" w:fill="F1F5F9"/>
        <w:pBdr>
          <w:top w:val="single" w:sz="4" w:space="4" w:color="E2E8F0"/>
          <w:left w:val="single" w:sz="4" w:space="4" w:color="E2E8F0"/>
          <w:bottom w:val="single" w:sz="4" w:space="4" w:color="E2E8F0"/>
          <w:right w:val="single" w:sz="4" w:space="4" w:color="E2E8F0"/>
        </w:pBdr>
      </w:pPr>
      <w:r>
        <w:rPr>
          <w:rFonts w:ascii="Consolas" w:hAnsi="Consolas"/>
          <w:color w:val="334155"/>
          <w:sz w:val="18"/>
        </w:rPr>
        <w:t>Week:           | 01 | 02 | 03 | 04 | 05 | 06 | 07 | 08 | 09 | 10 | 11 | 12 |</w:t>
        <w:br/>
      </w:r>
      <w:r>
        <w:rPr>
          <w:rFonts w:ascii="Consolas" w:hAnsi="Consolas"/>
          <w:color w:val="334155"/>
          <w:sz w:val="18"/>
        </w:rPr>
        <w:t xml:space="preserve">                |----|----|----|----|----|----|----|----|----|----|----|----|</w:t>
        <w:br/>
      </w:r>
      <w:r>
        <w:rPr>
          <w:rFonts w:ascii="Consolas" w:hAnsi="Consolas"/>
          <w:color w:val="334155"/>
          <w:sz w:val="18"/>
        </w:rPr>
        <w:t>Phase:          |  D-E-F-I-N-E    | M-E-A-S-U-R-E | A-N-A-L-Y-S-E | I-M-P-R-O-V-E  | C-N-T-R-L |</w:t>
        <w:br/>
      </w:r>
      <w:r>
        <w:rPr>
          <w:rFonts w:ascii="Consolas" w:hAnsi="Consolas"/>
          <w:color w:val="334155"/>
          <w:sz w:val="18"/>
        </w:rPr>
        <w:t>Tollgate:       |          ◆ G1   |     ◆ G2     |     ◆ G3     |          ◆ G4   |    ◆ G5    |</w:t>
        <w:br/>
      </w:r>
      <w:r>
        <w:rPr>
          <w:rFonts w:ascii="Consolas" w:hAnsi="Consolas"/>
          <w:color w:val="334155"/>
          <w:sz w:val="18"/>
        </w:rPr>
        <w:t xml:space="preserve">                |----|----|----|----|----|----|----|----|----|----|----|----|</w:t>
        <w:br/>
      </w:r>
      <w:r>
        <w:rPr>
          <w:rFonts w:ascii="Consolas" w:hAnsi="Consolas"/>
          <w:color w:val="334155"/>
          <w:sz w:val="18"/>
        </w:rPr>
        <w:t>═══════════════════════════════════════════════════════════════════════════════════════</w:t>
        <w:br/>
      </w:r>
      <w:r>
        <w:rPr>
          <w:rFonts w:ascii="Consolas" w:hAnsi="Consolas"/>
          <w:color w:val="334155"/>
          <w:sz w:val="18"/>
        </w:rPr>
        <w:t>TRACK A — Architecture (6 GBs)</w:t>
        <w:br/>
      </w:r>
      <w:r>
        <w:rPr>
          <w:rFonts w:ascii="Consolas" w:hAnsi="Consolas"/>
          <w:color w:val="334155"/>
          <w:sz w:val="18"/>
        </w:rPr>
        <w:t>─────────────────────────────</w:t>
        <w:br/>
      </w:r>
      <w:r>
        <w:rPr>
          <w:rFonts w:ascii="Consolas" w:hAnsi="Consolas"/>
          <w:color w:val="334155"/>
          <w:sz w:val="18"/>
        </w:rPr>
        <w:t>Digital VSM     | ▓▓▓ ▓▓▓ ▓▓▓ |              |              |                   |          |</w:t>
        <w:br/>
      </w:r>
      <w:r>
        <w:rPr>
          <w:rFonts w:ascii="Consolas" w:hAnsi="Consolas"/>
          <w:color w:val="334155"/>
          <w:sz w:val="18"/>
        </w:rPr>
        <w:t>OT asset inv.   |              | ▓▓▓ ▓▓▓      |              |                   |          |</w:t>
        <w:br/>
      </w:r>
      <w:r>
        <w:rPr>
          <w:rFonts w:ascii="Consolas" w:hAnsi="Consolas"/>
          <w:color w:val="334155"/>
          <w:sz w:val="18"/>
        </w:rPr>
        <w:t>Vendor audit    |              | ▓▓▓ ▓▓▓      |              |                   |          |</w:t>
        <w:br/>
      </w:r>
      <w:r>
        <w:rPr>
          <w:rFonts w:ascii="Consolas" w:hAnsi="Consolas"/>
          <w:color w:val="334155"/>
          <w:sz w:val="18"/>
        </w:rPr>
        <w:t>FMEA arch score |              |              | ▓▓▓ ▓▓▓      |                   |          |</w:t>
        <w:br/>
      </w:r>
      <w:r>
        <w:rPr>
          <w:rFonts w:ascii="Consolas" w:hAnsi="Consolas"/>
          <w:color w:val="334155"/>
          <w:sz w:val="18"/>
        </w:rPr>
        <w:t>Vendor broker ds|              |              | ▓▓▓ ▓▓▓      |                   |          |</w:t>
        <w:br/>
      </w:r>
      <w:r>
        <w:rPr>
          <w:rFonts w:ascii="Consolas" w:hAnsi="Consolas"/>
          <w:color w:val="334155"/>
          <w:sz w:val="18"/>
        </w:rPr>
        <w:t>Segmentation    |              |              |              | ▓▓▓ ▓▓▓ ▓▓▓       |          |</w:t>
        <w:br/>
      </w:r>
      <w:r>
        <w:rPr>
          <w:rFonts w:ascii="Consolas" w:hAnsi="Consolas"/>
          <w:color w:val="334155"/>
          <w:sz w:val="18"/>
        </w:rPr>
        <w:t>Air-gap DMZ     |              |              |              | ▓▓▓ ▓▓▓ ▓▓▓       |          │</w:t>
        <w:br/>
      </w:r>
      <w:r>
        <w:rPr>
          <w:rFonts w:ascii="Consolas" w:hAnsi="Consolas"/>
          <w:color w:val="334155"/>
          <w:sz w:val="18"/>
        </w:rPr>
        <w:t>Arch handover   |              |              |              |                   | ▓▓▓ ▓▓▓  |</w:t>
        <w:br/>
      </w:r>
      <w:r>
        <w:rPr>
          <w:rFonts w:ascii="Consolas" w:hAnsi="Consolas"/>
          <w:color w:val="334155"/>
          <w:sz w:val="18"/>
        </w:rPr>
        <w:t>SOP final       |              |              |              |                   | ▓▓▓ ▓▓▓  |</w:t>
        <w:br/>
      </w:r>
      <w:r>
        <w:rPr>
          <w:rFonts w:ascii="Consolas" w:hAnsi="Consolas"/>
          <w:color w:val="334155"/>
          <w:sz w:val="18"/>
        </w:rPr>
        <w:t>═══════════════════════════════════════════════════════════════════════════════════════</w:t>
        <w:br/>
      </w:r>
      <w:r>
        <w:rPr>
          <w:rFonts w:ascii="Consolas" w:hAnsi="Consolas"/>
          <w:color w:val="334155"/>
          <w:sz w:val="18"/>
        </w:rPr>
        <w:t>TRACK B — Data &amp; Metrics (7 GBs)</w:t>
        <w:br/>
      </w:r>
      <w:r>
        <w:rPr>
          <w:rFonts w:ascii="Consolas" w:hAnsi="Consolas"/>
          <w:color w:val="334155"/>
          <w:sz w:val="18"/>
        </w:rPr>
        <w:t>─────────────────────────────────</w:t>
        <w:br/>
      </w:r>
      <w:r>
        <w:rPr>
          <w:rFonts w:ascii="Consolas" w:hAnsi="Consolas"/>
          <w:color w:val="334155"/>
          <w:sz w:val="18"/>
        </w:rPr>
        <w:t>Data-blind prot | ▓▓▓ ▓▓▓ ▓▓▓ |              |              |                   |          |</w:t>
        <w:br/>
      </w:r>
      <w:r>
        <w:rPr>
          <w:rFonts w:ascii="Consolas" w:hAnsi="Consolas"/>
          <w:color w:val="334155"/>
          <w:sz w:val="18"/>
        </w:rPr>
        <w:t>Data lake deploy|              | ▓▓▓ ▓▓▓      |              |                   |          |</w:t>
        <w:br/>
      </w:r>
      <w:r>
        <w:rPr>
          <w:rFonts w:ascii="Consolas" w:hAnsi="Consolas"/>
          <w:color w:val="334155"/>
          <w:sz w:val="18"/>
        </w:rPr>
        <w:t>Baseline meas.  |              | ▓▓▓ ▓▓▓      |              |                   |          |</w:t>
        <w:br/>
      </w:r>
      <w:r>
        <w:rPr>
          <w:rFonts w:ascii="Consolas" w:hAnsi="Consolas"/>
          <w:color w:val="334155"/>
          <w:sz w:val="18"/>
        </w:rPr>
        <w:t>Gage R&amp;R        |              | ▓▓▓ ▓▓▓      |              |                   |          |</w:t>
        <w:br/>
      </w:r>
      <w:r>
        <w:rPr>
          <w:rFonts w:ascii="Consolas" w:hAnsi="Consolas"/>
          <w:color w:val="334155"/>
          <w:sz w:val="18"/>
        </w:rPr>
        <w:t>Z-score report  |              |              | ▓▓▓ ▓▓▓      |                   |          |</w:t>
        <w:br/>
      </w:r>
      <w:r>
        <w:rPr>
          <w:rFonts w:ascii="Consolas" w:hAnsi="Consolas"/>
          <w:color w:val="334155"/>
          <w:sz w:val="18"/>
        </w:rPr>
        <w:t>RPN calc        |              |              | ▓▓▓ ▓▓▓      |                   |          |</w:t>
        <w:br/>
      </w:r>
      <w:r>
        <w:rPr>
          <w:rFonts w:ascii="Consolas" w:hAnsi="Consolas"/>
          <w:color w:val="334155"/>
          <w:sz w:val="18"/>
        </w:rPr>
        <w:t>AI agent telem. |              |              |              | ▓▓▓ ▓▓▓ ▓▓▓       |          |</w:t>
        <w:br/>
      </w:r>
      <w:r>
        <w:rPr>
          <w:rFonts w:ascii="Consolas" w:hAnsi="Consolas"/>
          <w:color w:val="334155"/>
          <w:sz w:val="18"/>
        </w:rPr>
        <w:t>SPC charts      |              |              |              |                   | ▓▓▓ ▓▓▓  |</w:t>
        <w:br/>
      </w:r>
      <w:r>
        <w:rPr>
          <w:rFonts w:ascii="Consolas" w:hAnsi="Consolas"/>
          <w:color w:val="334155"/>
          <w:sz w:val="18"/>
        </w:rPr>
        <w:t>Dashboard       |              |              |              |                   | ▓▓▓ ▓▓▓  |</w:t>
        <w:br/>
      </w:r>
      <w:r>
        <w:rPr>
          <w:rFonts w:ascii="Consolas" w:hAnsi="Consolas"/>
          <w:color w:val="334155"/>
          <w:sz w:val="18"/>
        </w:rPr>
        <w:t>Z-score trend   |              |              |              |                   | ▓▓▓ ▓▓▓  |</w:t>
        <w:br/>
      </w:r>
      <w:r>
        <w:rPr>
          <w:rFonts w:ascii="Consolas" w:hAnsi="Consolas"/>
          <w:color w:val="334155"/>
          <w:sz w:val="18"/>
        </w:rPr>
        <w:t>═══════════════════════════════════════════════════════════════════════════════════════</w:t>
        <w:br/>
      </w:r>
      <w:r>
        <w:rPr>
          <w:rFonts w:ascii="Consolas" w:hAnsi="Consolas"/>
          <w:color w:val="334155"/>
          <w:sz w:val="18"/>
        </w:rPr>
        <w:t>TRACK C — Automation (6 GBs)</w:t>
        <w:br/>
      </w:r>
      <w:r>
        <w:rPr>
          <w:rFonts w:ascii="Consolas" w:hAnsi="Consolas"/>
          <w:color w:val="334155"/>
          <w:sz w:val="18"/>
        </w:rPr>
        <w:t>─────────────────────────────</w:t>
        <w:br/>
      </w:r>
      <w:r>
        <w:rPr>
          <w:rFonts w:ascii="Consolas" w:hAnsi="Consolas"/>
          <w:color w:val="334155"/>
          <w:sz w:val="18"/>
        </w:rPr>
        <w:t>Code standards  | ▓▓▓ ▓▓▓ ▓▓▓ |              |              |                   |          |</w:t>
        <w:br/>
      </w:r>
      <w:r>
        <w:rPr>
          <w:rFonts w:ascii="Consolas" w:hAnsi="Consolas"/>
          <w:color w:val="334155"/>
          <w:sz w:val="18"/>
        </w:rPr>
        <w:t>Tooling audit   | ▓▓▓ ▓▓▓ ▓▓▓ |              |              |                   |          |</w:t>
        <w:br/>
      </w:r>
      <w:r>
        <w:rPr>
          <w:rFonts w:ascii="Consolas" w:hAnsi="Consolas"/>
          <w:color w:val="334155"/>
          <w:sz w:val="18"/>
        </w:rPr>
        <w:t>SMED spec       | ▓▓▓ ▓▓▓ ▓▓▓ |              |              |                   |          |</w:t>
        <w:br/>
      </w:r>
      <w:r>
        <w:rPr>
          <w:rFonts w:ascii="Consolas" w:hAnsi="Consolas"/>
          <w:color w:val="334155"/>
          <w:sz w:val="18"/>
        </w:rPr>
        <w:t>AI feasib.      |              | ▓▓▓ ▓▓▓      |              |                   |          |</w:t>
        <w:br/>
      </w:r>
      <w:r>
        <w:rPr>
          <w:rFonts w:ascii="Consolas" w:hAnsi="Consolas"/>
          <w:color w:val="334155"/>
          <w:sz w:val="18"/>
        </w:rPr>
        <w:t>SIEM coverage   |              | ▓▓▓ ▓▓▓      |              |                   |          |</w:t>
        <w:br/>
      </w:r>
      <w:r>
        <w:rPr>
          <w:rFonts w:ascii="Consolas" w:hAnsi="Consolas"/>
          <w:color w:val="334155"/>
          <w:sz w:val="18"/>
        </w:rPr>
        <w:t>Poka-Yoke des.  |              |              | ▓▓▓ ▓▓▓      |                   |          |</w:t>
        <w:br/>
      </w:r>
      <w:r>
        <w:rPr>
          <w:rFonts w:ascii="Consolas" w:hAnsi="Consolas"/>
          <w:color w:val="334155"/>
          <w:sz w:val="18"/>
        </w:rPr>
        <w:t>AI agent spec   |              |              | ▓▓▓ ▓▓▓      |                   |          |</w:t>
        <w:br/>
      </w:r>
      <w:r>
        <w:rPr>
          <w:rFonts w:ascii="Consolas" w:hAnsi="Consolas"/>
          <w:color w:val="334155"/>
          <w:sz w:val="18"/>
        </w:rPr>
        <w:t>Poka-Yoke build |              |              |              | ▓▓▓ ▓▓▓ ▓▓▓       |          |</w:t>
        <w:br/>
      </w:r>
      <w:r>
        <w:rPr>
          <w:rFonts w:ascii="Consolas" w:hAnsi="Consolas"/>
          <w:color w:val="334155"/>
          <w:sz w:val="18"/>
        </w:rPr>
        <w:t>SMED rig build  |              |              |              | ▓▓▓ ▓▓▓ ▓▓▓       |          │</w:t>
        <w:br/>
      </w:r>
      <w:r>
        <w:rPr>
          <w:rFonts w:ascii="Consolas" w:hAnsi="Consolas"/>
          <w:color w:val="334155"/>
          <w:sz w:val="18"/>
        </w:rPr>
        <w:t>Crypto signing  |              |              |              | ▓▓▓ ▓▓▓ ▓▓▓       |          │</w:t>
        <w:br/>
      </w:r>
      <w:r>
        <w:rPr>
          <w:rFonts w:ascii="Consolas" w:hAnsi="Consolas"/>
          <w:color w:val="334155"/>
          <w:sz w:val="18"/>
        </w:rPr>
        <w:t>AI agent build  |              |              |              | ▓▓▓ ▓▓▓ ▓▓▓       |          │</w:t>
        <w:br/>
      </w:r>
      <w:r>
        <w:rPr>
          <w:rFonts w:ascii="Consolas" w:hAnsi="Consolas"/>
          <w:color w:val="334155"/>
          <w:sz w:val="18"/>
        </w:rPr>
        <w:t>IR playbook auto|              |              |              | ▓▓▓ ▓▓▓ ▓▓▓       |          │</w:t>
        <w:br/>
      </w:r>
      <w:r>
        <w:rPr>
          <w:rFonts w:ascii="Consolas" w:hAnsi="Consolas"/>
          <w:color w:val="334155"/>
          <w:sz w:val="18"/>
        </w:rPr>
        <w:t>Laminated SOPs  |              |              |              |                   | ▓▓▓ ▓▓▓  │</w:t>
        <w:br/>
      </w:r>
      <w:r>
        <w:rPr>
          <w:rFonts w:ascii="Consolas" w:hAnsi="Consolas"/>
          <w:color w:val="334155"/>
          <w:sz w:val="18"/>
        </w:rPr>
        <w:t>AI handoff      |              |              |              |                   | ▓▓▓ ▓▓▓  │</w:t>
        <w:br/>
      </w:r>
      <w:r>
        <w:rPr>
          <w:rFonts w:ascii="Consolas" w:hAnsi="Consolas"/>
          <w:color w:val="334155"/>
          <w:sz w:val="18"/>
        </w:rPr>
        <w:t>═══════════════════════════════════════════════════════════════════════════════════════</w:t>
        <w:br/>
      </w:r>
      <w:r>
        <w:rPr>
          <w:rFonts w:ascii="Consolas" w:hAnsi="Consolas"/>
          <w:color w:val="334155"/>
          <w:sz w:val="18"/>
        </w:rPr>
        <w:t>CROSS-TRACK COORDINATION</w:t>
        <w:br/>
      </w:r>
      <w:r>
        <w:rPr>
          <w:rFonts w:ascii="Consolas" w:hAnsi="Consolas"/>
          <w:color w:val="334155"/>
          <w:sz w:val="18"/>
        </w:rPr>
        <w:t>─────────────────────────</w:t>
        <w:br/>
      </w:r>
      <w:r>
        <w:rPr>
          <w:rFonts w:ascii="Consolas" w:hAnsi="Consolas"/>
          <w:color w:val="334155"/>
          <w:sz w:val="18"/>
        </w:rPr>
        <w:t>MBB tollgate rev|       ◆     |        ◆     |        ◆     |             ◆     |     ◆    │</w:t>
        <w:br/>
      </w:r>
      <w:r>
        <w:rPr>
          <w:rFonts w:ascii="Consolas" w:hAnsi="Consolas"/>
          <w:color w:val="334155"/>
          <w:sz w:val="18"/>
        </w:rPr>
        <w:t>CISO sign-off   |             ◆ |              ◆ |              ◆ |               ◆ |       ◆ │</w:t>
      </w:r>
    </w:p>
    <w:p>
      <w:r>
        <w:rPr>
          <w:rFonts w:ascii="Calibri" w:hAnsi="Calibri"/>
          <w:sz w:val="22"/>
        </w:rPr>
        <w:t xml:space="preserve">Legend: </w:t>
      </w:r>
      <w:r>
        <w:rPr>
          <w:rFonts w:ascii="Consolas" w:hAnsi="Consolas"/>
          <w:color w:val="334155"/>
          <w:sz w:val="20"/>
        </w:rPr>
        <w:t>▓▓▓</w:t>
      </w:r>
      <w:r>
        <w:rPr>
          <w:rFonts w:ascii="Calibri" w:hAnsi="Calibri"/>
          <w:sz w:val="22"/>
        </w:rPr>
        <w:t xml:space="preserve"> = active weeks (3 weeks per block = ~15 GB-days at 10% allocation), </w:t>
      </w:r>
      <w:r>
        <w:rPr>
          <w:rFonts w:ascii="Consolas" w:hAnsi="Consolas"/>
          <w:color w:val="334155"/>
          <w:sz w:val="20"/>
        </w:rPr>
        <w:t>◆</w:t>
      </w:r>
      <w:r>
        <w:rPr>
          <w:rFonts w:ascii="Calibri" w:hAnsi="Calibri"/>
          <w:sz w:val="22"/>
        </w:rPr>
        <w:t xml:space="preserve"> = tollgate/review event.</w:t>
      </w:r>
    </w:p>
    <w:p>
      <w:pPr>
        <w:pBdr>
          <w:bottom w:val="single" w:sz="6" w:space="1" w:color="CBD5E1"/>
        </w:pBdr>
      </w:pPr>
    </w:p>
    <w:p>
      <w:r>
        <w:rPr>
          <w:rFonts w:ascii="Calibri" w:hAnsi="Calibri"/>
          <w:b/>
          <w:color w:val="0F172A"/>
          <w:sz w:val="28"/>
        </w:rPr>
        <w:t>5.3 Track-by-Track Schedule</w:t>
      </w:r>
    </w:p>
    <w:p>
      <w:r>
        <w:rPr>
          <w:rFonts w:ascii="Calibri" w:hAnsi="Calibri"/>
          <w:b/>
          <w:color w:val="0F172A"/>
          <w:sz w:val="24"/>
        </w:rPr>
        <w:t>5.3.1 Track A — Architecture (6 GBs, 0.6 FTE)</w:t>
      </w:r>
    </w:p>
    <w:tbl>
      <w:tblPr>
        <w:tblStyle w:val="LightGrid-Accent1"/>
        <w:tblW w:type="auto" w:w="0"/>
        <w:tblLook w:firstColumn="1" w:firstRow="1" w:lastColumn="0" w:lastRow="0" w:noHBand="0" w:noVBand="1" w:val="04A0"/>
      </w:tblPr>
      <w:tblGrid>
        <w:gridCol w:w="3249"/>
        <w:gridCol w:w="3249"/>
        <w:gridCol w:w="3249"/>
      </w:tblGrid>
      <w:tr>
        <w:tc>
          <w:tcPr>
            <w:tcW w:type="dxa" w:w="3249"/>
            <w:shd w:val="clear" w:color="auto" w:fill="1E40AF"/>
          </w:tcPr>
          <w:p>
            <w:r/>
            <w:r>
              <w:rPr>
                <w:rFonts w:ascii="Calibri" w:hAnsi="Calibri"/>
                <w:b/>
                <w:color w:val="FFFFFF"/>
                <w:sz w:val="20"/>
              </w:rPr>
              <w:t>Weeks</w:t>
            </w:r>
          </w:p>
        </w:tc>
        <w:tc>
          <w:tcPr>
            <w:tcW w:type="dxa" w:w="3249"/>
            <w:shd w:val="clear" w:color="auto" w:fill="1E40AF"/>
          </w:tcPr>
          <w:p>
            <w:r/>
            <w:r>
              <w:rPr>
                <w:rFonts w:ascii="Calibri" w:hAnsi="Calibri"/>
                <w:b/>
                <w:color w:val="FFFFFF"/>
                <w:sz w:val="20"/>
              </w:rPr>
              <w:t>Activity</w:t>
            </w:r>
          </w:p>
        </w:tc>
        <w:tc>
          <w:tcPr>
            <w:tcW w:type="dxa" w:w="3249"/>
            <w:shd w:val="clear" w:color="auto" w:fill="1E40AF"/>
          </w:tcPr>
          <w:p>
            <w:r/>
            <w:r>
              <w:rPr>
                <w:rFonts w:ascii="Calibri" w:hAnsi="Calibri"/>
                <w:b/>
                <w:color w:val="FFFFFF"/>
                <w:sz w:val="20"/>
              </w:rPr>
              <w:t>Deliverable</w:t>
            </w:r>
          </w:p>
        </w:tc>
      </w:tr>
      <w:tr>
        <w:tc>
          <w:tcPr>
            <w:tcW w:type="dxa" w:w="3249"/>
          </w:tcPr>
          <w:p>
            <w:r/>
            <w:r>
              <w:rPr>
                <w:rFonts w:ascii="Calibri" w:hAnsi="Calibri"/>
                <w:color w:val="0F172A"/>
                <w:sz w:val="18"/>
              </w:rPr>
              <w:t>1–3</w:t>
            </w:r>
          </w:p>
        </w:tc>
        <w:tc>
          <w:tcPr>
            <w:tcW w:type="dxa" w:w="3249"/>
          </w:tcPr>
          <w:p>
            <w:r/>
            <w:r>
              <w:rPr>
                <w:rFonts w:ascii="Calibri" w:hAnsi="Calibri"/>
                <w:color w:val="0F172A"/>
                <w:sz w:val="18"/>
              </w:rPr>
              <w:t>Digital VSM mapping parallel to physical cell manufacturing value stream; IT/OT boundary identification; legacy system audit</w:t>
            </w:r>
          </w:p>
        </w:tc>
        <w:tc>
          <w:tcPr>
            <w:tcW w:type="dxa" w:w="3249"/>
          </w:tcPr>
          <w:p>
            <w:r/>
            <w:r>
              <w:rPr>
                <w:rFonts w:ascii="Calibri" w:hAnsi="Calibri"/>
                <w:color w:val="0F172A"/>
                <w:sz w:val="18"/>
              </w:rPr>
              <w:t>Digital VSM document; legacy system inventory</w:t>
            </w:r>
          </w:p>
        </w:tc>
      </w:tr>
      <w:tr>
        <w:tc>
          <w:tcPr>
            <w:tcW w:type="dxa" w:w="3249"/>
          </w:tcPr>
          <w:p>
            <w:r/>
            <w:r>
              <w:rPr>
                <w:rFonts w:ascii="Calibri" w:hAnsi="Calibri"/>
                <w:color w:val="0F172A"/>
                <w:sz w:val="18"/>
              </w:rPr>
              <w:t>4–5</w:t>
            </w:r>
          </w:p>
        </w:tc>
        <w:tc>
          <w:tcPr>
            <w:tcW w:type="dxa" w:w="3249"/>
          </w:tcPr>
          <w:p>
            <w:r/>
            <w:r>
              <w:rPr>
                <w:rFonts w:ascii="Calibri" w:hAnsi="Calibri"/>
                <w:color w:val="0F172A"/>
                <w:sz w:val="18"/>
              </w:rPr>
              <w:t>OT asset inventory completion; vendor remote-access audit; port statistics; baseline network architecture documentation</w:t>
            </w:r>
          </w:p>
        </w:tc>
        <w:tc>
          <w:tcPr>
            <w:tcW w:type="dxa" w:w="3249"/>
          </w:tcPr>
          <w:p>
            <w:r/>
            <w:r>
              <w:rPr>
                <w:rFonts w:ascii="Calibri" w:hAnsi="Calibri"/>
                <w:color w:val="0F172A"/>
                <w:sz w:val="18"/>
              </w:rPr>
              <w:t>Vendor remote-access risk register; port statistics report</w:t>
            </w:r>
          </w:p>
        </w:tc>
      </w:tr>
      <w:tr>
        <w:tc>
          <w:tcPr>
            <w:tcW w:type="dxa" w:w="3249"/>
          </w:tcPr>
          <w:p>
            <w:r/>
            <w:r>
              <w:rPr>
                <w:rFonts w:ascii="Calibri" w:hAnsi="Calibri"/>
                <w:color w:val="0F172A"/>
                <w:sz w:val="18"/>
              </w:rPr>
              <w:t>6–7</w:t>
            </w:r>
          </w:p>
        </w:tc>
        <w:tc>
          <w:tcPr>
            <w:tcW w:type="dxa" w:w="3249"/>
          </w:tcPr>
          <w:p>
            <w:r/>
            <w:r>
              <w:rPr>
                <w:rFonts w:ascii="Calibri" w:hAnsi="Calibri"/>
                <w:color w:val="0F172A"/>
                <w:sz w:val="18"/>
              </w:rPr>
              <w:t>Architecture failure-mode scoring (Track A portion of FMEA); vendor remote-access control-point design; DMZ design</w:t>
            </w:r>
          </w:p>
        </w:tc>
        <w:tc>
          <w:tcPr>
            <w:tcW w:type="dxa" w:w="3249"/>
          </w:tcPr>
          <w:p>
            <w:r/>
            <w:r>
              <w:rPr>
                <w:rFonts w:ascii="Calibri" w:hAnsi="Calibri"/>
                <w:color w:val="0F172A"/>
                <w:sz w:val="18"/>
              </w:rPr>
              <w:t>Architecture FMEA section; control-point specification</w:t>
            </w:r>
          </w:p>
        </w:tc>
      </w:tr>
      <w:tr>
        <w:tc>
          <w:tcPr>
            <w:tcW w:type="dxa" w:w="3249"/>
          </w:tcPr>
          <w:p>
            <w:r/>
            <w:r>
              <w:rPr>
                <w:rFonts w:ascii="Calibri" w:hAnsi="Calibri"/>
                <w:color w:val="0F172A"/>
                <w:sz w:val="18"/>
              </w:rPr>
              <w:t>8–10</w:t>
            </w:r>
          </w:p>
        </w:tc>
        <w:tc>
          <w:tcPr>
            <w:tcW w:type="dxa" w:w="3249"/>
          </w:tcPr>
          <w:p>
            <w:r/>
            <w:r>
              <w:rPr>
                <w:rFonts w:ascii="Calibri" w:hAnsi="Calibri"/>
                <w:color w:val="0F172A"/>
                <w:sz w:val="18"/>
              </w:rPr>
              <w:t>IT/OT segmentation deployment; air-gapped DMZ implementation; vendor remote-access broker deployment</w:t>
            </w:r>
          </w:p>
        </w:tc>
        <w:tc>
          <w:tcPr>
            <w:tcW w:type="dxa" w:w="3249"/>
          </w:tcPr>
          <w:p>
            <w:r/>
            <w:r>
              <w:rPr>
                <w:rFonts w:ascii="Calibri" w:hAnsi="Calibri"/>
                <w:color w:val="0F172A"/>
                <w:sz w:val="18"/>
              </w:rPr>
              <w:t>Functional network segregation; DMZ operational; vendor broker live</w:t>
            </w:r>
          </w:p>
        </w:tc>
      </w:tr>
      <w:tr>
        <w:tc>
          <w:tcPr>
            <w:tcW w:type="dxa" w:w="3249"/>
          </w:tcPr>
          <w:p>
            <w:r/>
            <w:r>
              <w:rPr>
                <w:rFonts w:ascii="Calibri" w:hAnsi="Calibri"/>
                <w:color w:val="0F172A"/>
                <w:sz w:val="18"/>
              </w:rPr>
              <w:t>11–12</w:t>
            </w:r>
          </w:p>
        </w:tc>
        <w:tc>
          <w:tcPr>
            <w:tcW w:type="dxa" w:w="3249"/>
          </w:tcPr>
          <w:p>
            <w:r/>
            <w:r>
              <w:rPr>
                <w:rFonts w:ascii="Calibri" w:hAnsi="Calibri"/>
                <w:color w:val="0F172A"/>
                <w:sz w:val="18"/>
              </w:rPr>
              <w:t>Hand over network architecture documentation to Operations; finalise physical line-isolation SOPs</w:t>
            </w:r>
          </w:p>
        </w:tc>
        <w:tc>
          <w:tcPr>
            <w:tcW w:type="dxa" w:w="3249"/>
          </w:tcPr>
          <w:p>
            <w:r/>
            <w:r>
              <w:rPr>
                <w:rFonts w:ascii="Calibri" w:hAnsi="Calibri"/>
                <w:color w:val="0F172A"/>
                <w:sz w:val="18"/>
              </w:rPr>
              <w:t>Architecture handover package; line-isolation SOPs</w:t>
            </w:r>
          </w:p>
        </w:tc>
      </w:tr>
    </w:tbl>
    <w:p/>
    <w:p>
      <w:r>
        <w:rPr>
          <w:rFonts w:ascii="Calibri" w:hAnsi="Calibri"/>
          <w:b/>
          <w:color w:val="0F172A"/>
          <w:sz w:val="24"/>
        </w:rPr>
        <w:t>5.3.2 Track B — Data &amp; Metrics (7 GBs, 0.7 FTE)</w:t>
      </w:r>
    </w:p>
    <w:tbl>
      <w:tblPr>
        <w:tblStyle w:val="LightGrid-Accent1"/>
        <w:tblW w:type="auto" w:w="0"/>
        <w:tblLook w:firstColumn="1" w:firstRow="1" w:lastColumn="0" w:lastRow="0" w:noHBand="0" w:noVBand="1" w:val="04A0"/>
      </w:tblPr>
      <w:tblGrid>
        <w:gridCol w:w="3249"/>
        <w:gridCol w:w="3249"/>
        <w:gridCol w:w="3249"/>
      </w:tblGrid>
      <w:tr>
        <w:tc>
          <w:tcPr>
            <w:tcW w:type="dxa" w:w="3249"/>
            <w:shd w:val="clear" w:color="auto" w:fill="1E40AF"/>
          </w:tcPr>
          <w:p>
            <w:r/>
            <w:r>
              <w:rPr>
                <w:rFonts w:ascii="Calibri" w:hAnsi="Calibri"/>
                <w:b/>
                <w:color w:val="FFFFFF"/>
                <w:sz w:val="20"/>
              </w:rPr>
              <w:t>Weeks</w:t>
            </w:r>
          </w:p>
        </w:tc>
        <w:tc>
          <w:tcPr>
            <w:tcW w:type="dxa" w:w="3249"/>
            <w:shd w:val="clear" w:color="auto" w:fill="1E40AF"/>
          </w:tcPr>
          <w:p>
            <w:r/>
            <w:r>
              <w:rPr>
                <w:rFonts w:ascii="Calibri" w:hAnsi="Calibri"/>
                <w:b/>
                <w:color w:val="FFFFFF"/>
                <w:sz w:val="20"/>
              </w:rPr>
              <w:t>Activity</w:t>
            </w:r>
          </w:p>
        </w:tc>
        <w:tc>
          <w:tcPr>
            <w:tcW w:type="dxa" w:w="3249"/>
            <w:shd w:val="clear" w:color="auto" w:fill="1E40AF"/>
          </w:tcPr>
          <w:p>
            <w:r/>
            <w:r>
              <w:rPr>
                <w:rFonts w:ascii="Calibri" w:hAnsi="Calibri"/>
                <w:b/>
                <w:color w:val="FFFFFF"/>
                <w:sz w:val="20"/>
              </w:rPr>
              <w:t>Deliverable</w:t>
            </w:r>
          </w:p>
        </w:tc>
      </w:tr>
      <w:tr>
        <w:tc>
          <w:tcPr>
            <w:tcW w:type="dxa" w:w="3249"/>
          </w:tcPr>
          <w:p>
            <w:r/>
            <w:r>
              <w:rPr>
                <w:rFonts w:ascii="Calibri" w:hAnsi="Calibri"/>
                <w:color w:val="0F172A"/>
                <w:sz w:val="18"/>
              </w:rPr>
              <w:t>1–3</w:t>
            </w:r>
          </w:p>
        </w:tc>
        <w:tc>
          <w:tcPr>
            <w:tcW w:type="dxa" w:w="3249"/>
          </w:tcPr>
          <w:p>
            <w:r/>
            <w:r>
              <w:rPr>
                <w:rFonts w:ascii="Calibri" w:hAnsi="Calibri"/>
                <w:color w:val="0F172A"/>
                <w:sz w:val="18"/>
              </w:rPr>
              <w:t>Data-blind protocol design; anonymised data lake query interface specification; baseline metric definition; CISO pipeline handover</w:t>
            </w:r>
          </w:p>
        </w:tc>
        <w:tc>
          <w:tcPr>
            <w:tcW w:type="dxa" w:w="3249"/>
          </w:tcPr>
          <w:p>
            <w:r/>
            <w:r>
              <w:rPr>
                <w:rFonts w:ascii="Calibri" w:hAnsi="Calibri"/>
                <w:color w:val="0F172A"/>
                <w:sz w:val="18"/>
              </w:rPr>
              <w:t>Data-access protocol; query interface spec; metric definitions</w:t>
            </w:r>
          </w:p>
        </w:tc>
      </w:tr>
      <w:tr>
        <w:tc>
          <w:tcPr>
            <w:tcW w:type="dxa" w:w="3249"/>
          </w:tcPr>
          <w:p>
            <w:r/>
            <w:r>
              <w:rPr>
                <w:rFonts w:ascii="Calibri" w:hAnsi="Calibri"/>
                <w:color w:val="0F172A"/>
                <w:sz w:val="18"/>
              </w:rPr>
              <w:t>4–5</w:t>
            </w:r>
          </w:p>
        </w:tc>
        <w:tc>
          <w:tcPr>
            <w:tcW w:type="dxa" w:w="3249"/>
          </w:tcPr>
          <w:p>
            <w:r/>
            <w:r>
              <w:rPr>
                <w:rFonts w:ascii="Calibri" w:hAnsi="Calibri"/>
                <w:color w:val="0F172A"/>
                <w:sz w:val="18"/>
              </w:rPr>
              <w:t>Anonymised data lake deployment (with CISO team); baseline metric measurement; Gage R&amp;R validation; Z-score capability report</w:t>
            </w:r>
          </w:p>
        </w:tc>
        <w:tc>
          <w:tcPr>
            <w:tcW w:type="dxa" w:w="3249"/>
          </w:tcPr>
          <w:p>
            <w:r/>
            <w:r>
              <w:rPr>
                <w:rFonts w:ascii="Calibri" w:hAnsi="Calibri"/>
                <w:color w:val="0F172A"/>
                <w:sz w:val="18"/>
              </w:rPr>
              <w:t>Data lake operational; baseline distributions; Z-score baseline</w:t>
            </w:r>
          </w:p>
        </w:tc>
      </w:tr>
      <w:tr>
        <w:tc>
          <w:tcPr>
            <w:tcW w:type="dxa" w:w="3249"/>
          </w:tcPr>
          <w:p>
            <w:r/>
            <w:r>
              <w:rPr>
                <w:rFonts w:ascii="Calibri" w:hAnsi="Calibri"/>
                <w:color w:val="0F172A"/>
                <w:sz w:val="18"/>
              </w:rPr>
              <w:t>6–7</w:t>
            </w:r>
          </w:p>
        </w:tc>
        <w:tc>
          <w:tcPr>
            <w:tcW w:type="dxa" w:w="3249"/>
          </w:tcPr>
          <w:p>
            <w:r/>
            <w:r>
              <w:rPr>
                <w:rFonts w:ascii="Calibri" w:hAnsi="Calibri"/>
                <w:color w:val="0F172A"/>
                <w:sz w:val="18"/>
              </w:rPr>
              <w:t>RPN calculation (all FMEA modes); SPC chart pre-production; capability delta modelling</w:t>
            </w:r>
          </w:p>
        </w:tc>
        <w:tc>
          <w:tcPr>
            <w:tcW w:type="dxa" w:w="3249"/>
          </w:tcPr>
          <w:p>
            <w:r/>
            <w:r>
              <w:rPr>
                <w:rFonts w:ascii="Calibri" w:hAnsi="Calibri"/>
                <w:color w:val="0F172A"/>
                <w:sz w:val="18"/>
              </w:rPr>
              <w:t>RPN-ranked FMEA matrix; SPC chart templates; capability delta model</w:t>
            </w:r>
          </w:p>
        </w:tc>
      </w:tr>
      <w:tr>
        <w:tc>
          <w:tcPr>
            <w:tcW w:type="dxa" w:w="3249"/>
          </w:tcPr>
          <w:p>
            <w:r/>
            <w:r>
              <w:rPr>
                <w:rFonts w:ascii="Calibri" w:hAnsi="Calibri"/>
                <w:color w:val="0F172A"/>
                <w:sz w:val="18"/>
              </w:rPr>
              <w:t>8–10</w:t>
            </w:r>
          </w:p>
        </w:tc>
        <w:tc>
          <w:tcPr>
            <w:tcW w:type="dxa" w:w="3249"/>
          </w:tcPr>
          <w:p>
            <w:r/>
            <w:r>
              <w:rPr>
                <w:rFonts w:ascii="Calibri" w:hAnsi="Calibri"/>
                <w:color w:val="0F172A"/>
                <w:sz w:val="18"/>
              </w:rPr>
              <w:t>AI agent telemetry pipeline; control-point monitoring instrumentation; SPC chart population with live data</w:t>
            </w:r>
          </w:p>
        </w:tc>
        <w:tc>
          <w:tcPr>
            <w:tcW w:type="dxa" w:w="3249"/>
          </w:tcPr>
          <w:p>
            <w:r/>
            <w:r>
              <w:rPr>
                <w:rFonts w:ascii="Calibri" w:hAnsi="Calibri"/>
                <w:color w:val="0F172A"/>
                <w:sz w:val="18"/>
              </w:rPr>
              <w:t>Telemetry pipeline live; SPC charts receiving data</w:t>
            </w:r>
          </w:p>
        </w:tc>
      </w:tr>
      <w:tr>
        <w:tc>
          <w:tcPr>
            <w:tcW w:type="dxa" w:w="3249"/>
          </w:tcPr>
          <w:p>
            <w:r/>
            <w:r>
              <w:rPr>
                <w:rFonts w:ascii="Calibri" w:hAnsi="Calibri"/>
                <w:color w:val="0F172A"/>
                <w:sz w:val="18"/>
              </w:rPr>
              <w:t>11–12</w:t>
            </w:r>
          </w:p>
        </w:tc>
        <w:tc>
          <w:tcPr>
            <w:tcW w:type="dxa" w:w="3249"/>
          </w:tcPr>
          <w:p>
            <w:r/>
            <w:r>
              <w:rPr>
                <w:rFonts w:ascii="Calibri" w:hAnsi="Calibri"/>
                <w:color w:val="0F172A"/>
                <w:sz w:val="18"/>
              </w:rPr>
              <w:t>Deploy executive dashboard SPC charts; finalise Z-score trend reporting; hand over capability reporting to Operations</w:t>
            </w:r>
          </w:p>
        </w:tc>
        <w:tc>
          <w:tcPr>
            <w:tcW w:type="dxa" w:w="3249"/>
          </w:tcPr>
          <w:p>
            <w:r/>
            <w:r>
              <w:rPr>
                <w:rFonts w:ascii="Calibri" w:hAnsi="Calibri"/>
                <w:color w:val="0F172A"/>
                <w:sz w:val="18"/>
              </w:rPr>
              <w:t>Live executive dashboard; Z-score trend report; capability reporting handover</w:t>
            </w:r>
          </w:p>
        </w:tc>
      </w:tr>
    </w:tbl>
    <w:p/>
    <w:p>
      <w:r>
        <w:rPr>
          <w:rFonts w:ascii="Calibri" w:hAnsi="Calibri"/>
          <w:b/>
          <w:color w:val="0F172A"/>
          <w:sz w:val="24"/>
        </w:rPr>
        <w:t>5.3.3 Track C — Automation (6 GBs, 0.6 FTE)</w:t>
      </w:r>
    </w:p>
    <w:tbl>
      <w:tblPr>
        <w:tblStyle w:val="LightGrid-Accent1"/>
        <w:tblW w:type="auto" w:w="0"/>
        <w:tblLook w:firstColumn="1" w:firstRow="1" w:lastColumn="0" w:lastRow="0" w:noHBand="0" w:noVBand="1" w:val="04A0"/>
      </w:tblPr>
      <w:tblGrid>
        <w:gridCol w:w="3249"/>
        <w:gridCol w:w="3249"/>
        <w:gridCol w:w="3249"/>
      </w:tblGrid>
      <w:tr>
        <w:tc>
          <w:tcPr>
            <w:tcW w:type="dxa" w:w="3249"/>
            <w:shd w:val="clear" w:color="auto" w:fill="1E40AF"/>
          </w:tcPr>
          <w:p>
            <w:r/>
            <w:r>
              <w:rPr>
                <w:rFonts w:ascii="Calibri" w:hAnsi="Calibri"/>
                <w:b/>
                <w:color w:val="FFFFFF"/>
                <w:sz w:val="20"/>
              </w:rPr>
              <w:t>Weeks</w:t>
            </w:r>
          </w:p>
        </w:tc>
        <w:tc>
          <w:tcPr>
            <w:tcW w:type="dxa" w:w="3249"/>
            <w:shd w:val="clear" w:color="auto" w:fill="1E40AF"/>
          </w:tcPr>
          <w:p>
            <w:r/>
            <w:r>
              <w:rPr>
                <w:rFonts w:ascii="Calibri" w:hAnsi="Calibri"/>
                <w:b/>
                <w:color w:val="FFFFFF"/>
                <w:sz w:val="20"/>
              </w:rPr>
              <w:t>Activity</w:t>
            </w:r>
          </w:p>
        </w:tc>
        <w:tc>
          <w:tcPr>
            <w:tcW w:type="dxa" w:w="3249"/>
            <w:shd w:val="clear" w:color="auto" w:fill="1E40AF"/>
          </w:tcPr>
          <w:p>
            <w:r/>
            <w:r>
              <w:rPr>
                <w:rFonts w:ascii="Calibri" w:hAnsi="Calibri"/>
                <w:b/>
                <w:color w:val="FFFFFF"/>
                <w:sz w:val="20"/>
              </w:rPr>
              <w:t>Deliverable</w:t>
            </w:r>
          </w:p>
        </w:tc>
      </w:tr>
      <w:tr>
        <w:tc>
          <w:tcPr>
            <w:tcW w:type="dxa" w:w="3249"/>
          </w:tcPr>
          <w:p>
            <w:r/>
            <w:r>
              <w:rPr>
                <w:rFonts w:ascii="Calibri" w:hAnsi="Calibri"/>
                <w:color w:val="0F172A"/>
                <w:sz w:val="18"/>
              </w:rPr>
              <w:t>1–3</w:t>
            </w:r>
          </w:p>
        </w:tc>
        <w:tc>
          <w:tcPr>
            <w:tcW w:type="dxa" w:w="3249"/>
          </w:tcPr>
          <w:p>
            <w:r/>
            <w:r>
              <w:rPr>
                <w:rFonts w:ascii="Calibri" w:hAnsi="Calibri"/>
                <w:color w:val="0F172A"/>
                <w:sz w:val="18"/>
              </w:rPr>
              <w:t>Code standards baseline; existing tooling audit; SMED recovery rig specification; AI agent feasibility scoping (build / buy / defer)</w:t>
            </w:r>
          </w:p>
        </w:tc>
        <w:tc>
          <w:tcPr>
            <w:tcW w:type="dxa" w:w="3249"/>
          </w:tcPr>
          <w:p>
            <w:r/>
            <w:r>
              <w:rPr>
                <w:rFonts w:ascii="Calibri" w:hAnsi="Calibri"/>
                <w:color w:val="0F172A"/>
                <w:sz w:val="18"/>
              </w:rPr>
              <w:t>Code standards document; tooling audit; SMED spec; AI feasibility decision</w:t>
            </w:r>
          </w:p>
        </w:tc>
      </w:tr>
      <w:tr>
        <w:tc>
          <w:tcPr>
            <w:tcW w:type="dxa" w:w="3249"/>
          </w:tcPr>
          <w:p>
            <w:r/>
            <w:r>
              <w:rPr>
                <w:rFonts w:ascii="Calibri" w:hAnsi="Calibri"/>
                <w:color w:val="0F172A"/>
                <w:sz w:val="18"/>
              </w:rPr>
              <w:t>4–5</w:t>
            </w:r>
          </w:p>
        </w:tc>
        <w:tc>
          <w:tcPr>
            <w:tcW w:type="dxa" w:w="3249"/>
          </w:tcPr>
          <w:p>
            <w:r/>
            <w:r>
              <w:rPr>
                <w:rFonts w:ascii="Calibri" w:hAnsi="Calibri"/>
                <w:color w:val="0F172A"/>
                <w:sz w:val="18"/>
              </w:rPr>
              <w:t>SIEM rule coverage analysis; existing IR playbook time-motion study</w:t>
            </w:r>
          </w:p>
        </w:tc>
        <w:tc>
          <w:tcPr>
            <w:tcW w:type="dxa" w:w="3249"/>
          </w:tcPr>
          <w:p>
            <w:r/>
            <w:r>
              <w:rPr>
                <w:rFonts w:ascii="Calibri" w:hAnsi="Calibri"/>
                <w:color w:val="0F172A"/>
                <w:sz w:val="18"/>
              </w:rPr>
              <w:t>SIEM coverage gap analysis; IR playbook baseline</w:t>
            </w:r>
          </w:p>
        </w:tc>
      </w:tr>
      <w:tr>
        <w:tc>
          <w:tcPr>
            <w:tcW w:type="dxa" w:w="3249"/>
          </w:tcPr>
          <w:p>
            <w:r/>
            <w:r>
              <w:rPr>
                <w:rFonts w:ascii="Calibri" w:hAnsi="Calibri"/>
                <w:color w:val="0F172A"/>
                <w:sz w:val="18"/>
              </w:rPr>
              <w:t>6–7</w:t>
            </w:r>
          </w:p>
        </w:tc>
        <w:tc>
          <w:tcPr>
            <w:tcW w:type="dxa" w:w="3249"/>
          </w:tcPr>
          <w:p>
            <w:r/>
            <w:r>
              <w:rPr>
                <w:rFonts w:ascii="Calibri" w:hAnsi="Calibri"/>
                <w:color w:val="0F172A"/>
                <w:sz w:val="18"/>
              </w:rPr>
              <w:t>Poka-Yoke design for top 5 RPN failure modes; SMED playbook refinement; AI agent specification for SC modes (per FMEA-to-exposure linkage)</w:t>
            </w:r>
          </w:p>
        </w:tc>
        <w:tc>
          <w:tcPr>
            <w:tcW w:type="dxa" w:w="3249"/>
          </w:tcPr>
          <w:p>
            <w:r/>
            <w:r>
              <w:rPr>
                <w:rFonts w:ascii="Calibri" w:hAnsi="Calibri"/>
                <w:color w:val="0F172A"/>
                <w:sz w:val="18"/>
              </w:rPr>
              <w:t>Poka-Yoke design docs; AI agent specification</w:t>
            </w:r>
          </w:p>
        </w:tc>
      </w:tr>
      <w:tr>
        <w:tc>
          <w:tcPr>
            <w:tcW w:type="dxa" w:w="3249"/>
          </w:tcPr>
          <w:p>
            <w:r/>
            <w:r>
              <w:rPr>
                <w:rFonts w:ascii="Calibri" w:hAnsi="Calibri"/>
                <w:color w:val="0F172A"/>
                <w:sz w:val="18"/>
              </w:rPr>
              <w:t>8–10</w:t>
            </w:r>
          </w:p>
        </w:tc>
        <w:tc>
          <w:tcPr>
            <w:tcW w:type="dxa" w:w="3249"/>
          </w:tcPr>
          <w:p>
            <w:r/>
            <w:r>
              <w:rPr>
                <w:rFonts w:ascii="Calibri" w:hAnsi="Calibri"/>
                <w:color w:val="0F172A"/>
                <w:sz w:val="18"/>
              </w:rPr>
              <w:t>Poka-Yoke code deployment; SMED recovery rig build &amp; test; AI agent build &amp; integration; cryptographic signing infrastructure deployment</w:t>
            </w:r>
          </w:p>
        </w:tc>
        <w:tc>
          <w:tcPr>
            <w:tcW w:type="dxa" w:w="3249"/>
          </w:tcPr>
          <w:p>
            <w:r/>
            <w:r>
              <w:rPr>
                <w:rFonts w:ascii="Calibri" w:hAnsi="Calibri"/>
                <w:color w:val="0F172A"/>
                <w:sz w:val="18"/>
              </w:rPr>
              <w:t>Poka-Yoke enforcement operational; SMED rig tested; AI agents deployed; crypto signing live</w:t>
            </w:r>
          </w:p>
        </w:tc>
      </w:tr>
      <w:tr>
        <w:tc>
          <w:tcPr>
            <w:tcW w:type="dxa" w:w="3249"/>
          </w:tcPr>
          <w:p>
            <w:r/>
            <w:r>
              <w:rPr>
                <w:rFonts w:ascii="Calibri" w:hAnsi="Calibri"/>
                <w:color w:val="0F172A"/>
                <w:sz w:val="18"/>
              </w:rPr>
              <w:t>11–12</w:t>
            </w:r>
          </w:p>
        </w:tc>
        <w:tc>
          <w:tcPr>
            <w:tcW w:type="dxa" w:w="3249"/>
          </w:tcPr>
          <w:p>
            <w:r/>
            <w:r>
              <w:rPr>
                <w:rFonts w:ascii="Calibri" w:hAnsi="Calibri"/>
                <w:color w:val="0F172A"/>
                <w:sz w:val="18"/>
              </w:rPr>
              <w:t>Finalise laminated physical line-rollback SOPs for operators; AI agent handoff to IT Security for sustained operation</w:t>
            </w:r>
          </w:p>
        </w:tc>
        <w:tc>
          <w:tcPr>
            <w:tcW w:type="dxa" w:w="3249"/>
          </w:tcPr>
          <w:p>
            <w:r/>
            <w:r>
              <w:rPr>
                <w:rFonts w:ascii="Calibri" w:hAnsi="Calibri"/>
                <w:color w:val="0F172A"/>
                <w:sz w:val="18"/>
              </w:rPr>
              <w:t>SOPs in every protected cell; AI agent operational transfer complete</w:t>
            </w:r>
          </w:p>
        </w:tc>
      </w:tr>
    </w:tbl>
    <w:p/>
    <w:p>
      <w:pPr>
        <w:pBdr>
          <w:bottom w:val="single" w:sz="6" w:space="1" w:color="CBD5E1"/>
        </w:pBdr>
      </w:pPr>
    </w:p>
    <w:p>
      <w:r>
        <w:rPr>
          <w:rFonts w:ascii="Calibri" w:hAnsi="Calibri"/>
          <w:b/>
          <w:color w:val="0F172A"/>
          <w:sz w:val="28"/>
        </w:rPr>
        <w:t>5.4 Cross-Track Dependencies</w:t>
      </w:r>
    </w:p>
    <w:p>
      <w:r>
        <w:rPr>
          <w:rFonts w:ascii="Calibri" w:hAnsi="Calibri"/>
          <w:sz w:val="22"/>
        </w:rPr>
        <w:t>Dependencies are the engineering backbone of the Gantt. A slip on any dependency cascades to the dependent track and, potentially, to the tollgate.</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shd w:val="clear" w:color="auto" w:fill="1E40AF"/>
          </w:tcPr>
          <w:p>
            <w:r/>
            <w:r>
              <w:rPr>
                <w:rFonts w:ascii="Calibri" w:hAnsi="Calibri"/>
                <w:b/>
                <w:color w:val="FFFFFF"/>
                <w:sz w:val="20"/>
              </w:rPr>
              <w:t>From</w:t>
            </w:r>
          </w:p>
        </w:tc>
        <w:tc>
          <w:tcPr>
            <w:tcW w:type="dxa" w:w="2436"/>
            <w:shd w:val="clear" w:color="auto" w:fill="1E40AF"/>
          </w:tcPr>
          <w:p>
            <w:r/>
            <w:r>
              <w:rPr>
                <w:rFonts w:ascii="Calibri" w:hAnsi="Calibri"/>
                <w:b/>
                <w:color w:val="FFFFFF"/>
                <w:sz w:val="20"/>
              </w:rPr>
              <w:t>To</w:t>
            </w:r>
          </w:p>
        </w:tc>
        <w:tc>
          <w:tcPr>
            <w:tcW w:type="dxa" w:w="2436"/>
            <w:shd w:val="clear" w:color="auto" w:fill="1E40AF"/>
          </w:tcPr>
          <w:p>
            <w:r/>
            <w:r>
              <w:rPr>
                <w:rFonts w:ascii="Calibri" w:hAnsi="Calibri"/>
                <w:b/>
                <w:color w:val="FFFFFF"/>
                <w:sz w:val="20"/>
              </w:rPr>
              <w:t>Dependency</w:t>
            </w:r>
          </w:p>
        </w:tc>
        <w:tc>
          <w:tcPr>
            <w:tcW w:type="dxa" w:w="2436"/>
            <w:shd w:val="clear" w:color="auto" w:fill="1E40AF"/>
          </w:tcPr>
          <w:p>
            <w:r/>
            <w:r>
              <w:rPr>
                <w:rFonts w:ascii="Calibri" w:hAnsi="Calibri"/>
                <w:b/>
                <w:color w:val="FFFFFF"/>
                <w:sz w:val="20"/>
              </w:rPr>
              <w:t>Cascade risk</w:t>
            </w:r>
          </w:p>
        </w:tc>
      </w:tr>
      <w:tr>
        <w:tc>
          <w:tcPr>
            <w:tcW w:type="dxa" w:w="2436"/>
          </w:tcPr>
          <w:p>
            <w:r/>
            <w:r>
              <w:rPr>
                <w:rFonts w:ascii="Calibri" w:hAnsi="Calibri"/>
                <w:color w:val="0F172A"/>
                <w:sz w:val="18"/>
              </w:rPr>
              <w:t>Track A — Digital VSM (Wk 1–3)</w:t>
            </w:r>
          </w:p>
        </w:tc>
        <w:tc>
          <w:tcPr>
            <w:tcW w:type="dxa" w:w="2436"/>
          </w:tcPr>
          <w:p>
            <w:r/>
            <w:r>
              <w:rPr>
                <w:rFonts w:ascii="Calibri" w:hAnsi="Calibri"/>
                <w:color w:val="0F172A"/>
                <w:sz w:val="18"/>
              </w:rPr>
              <w:t>Track C — Poka-Yoke design (Wk 6–7)</w:t>
            </w:r>
          </w:p>
        </w:tc>
        <w:tc>
          <w:tcPr>
            <w:tcW w:type="dxa" w:w="2436"/>
          </w:tcPr>
          <w:p>
            <w:r/>
            <w:r>
              <w:rPr>
                <w:rFonts w:ascii="Calibri" w:hAnsi="Calibri"/>
                <w:color w:val="0F172A"/>
                <w:sz w:val="18"/>
              </w:rPr>
              <w:t>Poka-Yoke cannot be designed without the VSM identifying the network architecture and authentication points</w:t>
            </w:r>
          </w:p>
        </w:tc>
        <w:tc>
          <w:tcPr>
            <w:tcW w:type="dxa" w:w="2436"/>
          </w:tcPr>
          <w:p>
            <w:r/>
            <w:r>
              <w:rPr>
                <w:rFonts w:ascii="Calibri" w:hAnsi="Calibri"/>
                <w:color w:val="0F172A"/>
                <w:sz w:val="18"/>
              </w:rPr>
              <w:t>High — blocks Poka-Yoke deployment at G4</w:t>
            </w:r>
          </w:p>
        </w:tc>
      </w:tr>
      <w:tr>
        <w:tc>
          <w:tcPr>
            <w:tcW w:type="dxa" w:w="2436"/>
          </w:tcPr>
          <w:p>
            <w:r/>
            <w:r>
              <w:rPr>
                <w:rFonts w:ascii="Calibri" w:hAnsi="Calibri"/>
                <w:color w:val="0F172A"/>
                <w:sz w:val="18"/>
              </w:rPr>
              <w:t>Track A — Vendor remote-access audit (Wk 4–5)</w:t>
            </w:r>
          </w:p>
        </w:tc>
        <w:tc>
          <w:tcPr>
            <w:tcW w:type="dxa" w:w="2436"/>
          </w:tcPr>
          <w:p>
            <w:r/>
            <w:r>
              <w:rPr>
                <w:rFonts w:ascii="Calibri" w:hAnsi="Calibri"/>
                <w:color w:val="0F172A"/>
                <w:sz w:val="18"/>
              </w:rPr>
              <w:t>Track C — Vendor broker (Wk 8–10)</w:t>
            </w:r>
          </w:p>
        </w:tc>
        <w:tc>
          <w:tcPr>
            <w:tcW w:type="dxa" w:w="2436"/>
          </w:tcPr>
          <w:p>
            <w:r/>
            <w:r>
              <w:rPr>
                <w:rFonts w:ascii="Calibri" w:hAnsi="Calibri"/>
                <w:color w:val="0F172A"/>
                <w:sz w:val="18"/>
              </w:rPr>
              <w:t>Vendor broker cannot be deployed without knowing the full vendor landscape and access requirements</w:t>
            </w:r>
          </w:p>
        </w:tc>
        <w:tc>
          <w:tcPr>
            <w:tcW w:type="dxa" w:w="2436"/>
          </w:tcPr>
          <w:p>
            <w:r/>
            <w:r>
              <w:rPr>
                <w:rFonts w:ascii="Calibri" w:hAnsi="Calibri"/>
                <w:color w:val="0F172A"/>
                <w:sz w:val="18"/>
              </w:rPr>
              <w:t>High — gaps in vendor coverage persist</w:t>
            </w:r>
          </w:p>
        </w:tc>
      </w:tr>
      <w:tr>
        <w:tc>
          <w:tcPr>
            <w:tcW w:type="dxa" w:w="2436"/>
          </w:tcPr>
          <w:p>
            <w:r/>
            <w:r>
              <w:rPr>
                <w:rFonts w:ascii="Calibri" w:hAnsi="Calibri"/>
                <w:color w:val="0F172A"/>
                <w:sz w:val="18"/>
              </w:rPr>
              <w:t>Track B — Data lake deployment (Wk 4–5)</w:t>
            </w:r>
          </w:p>
        </w:tc>
        <w:tc>
          <w:tcPr>
            <w:tcW w:type="dxa" w:w="2436"/>
          </w:tcPr>
          <w:p>
            <w:r/>
            <w:r>
              <w:rPr>
                <w:rFonts w:ascii="Calibri" w:hAnsi="Calibri"/>
                <w:color w:val="0F172A"/>
                <w:sz w:val="18"/>
              </w:rPr>
              <w:t>Track C — AI agent telemetry (Wk 8–10)</w:t>
            </w:r>
          </w:p>
        </w:tc>
        <w:tc>
          <w:tcPr>
            <w:tcW w:type="dxa" w:w="2436"/>
          </w:tcPr>
          <w:p>
            <w:r/>
            <w:r>
              <w:rPr>
                <w:rFonts w:ascii="Calibri" w:hAnsi="Calibri"/>
                <w:color w:val="0F172A"/>
                <w:sz w:val="18"/>
              </w:rPr>
              <w:t>AI agents need the anonymised data lake for telemetry and parameter-drift baselining</w:t>
            </w:r>
          </w:p>
        </w:tc>
        <w:tc>
          <w:tcPr>
            <w:tcW w:type="dxa" w:w="2436"/>
          </w:tcPr>
          <w:p>
            <w:r/>
            <w:r>
              <w:rPr>
                <w:rFonts w:ascii="Calibri" w:hAnsi="Calibri"/>
                <w:color w:val="0F172A"/>
                <w:sz w:val="18"/>
              </w:rPr>
              <w:t>Critical — without data lake, AI agents have no signal</w:t>
            </w:r>
          </w:p>
        </w:tc>
      </w:tr>
      <w:tr>
        <w:tc>
          <w:tcPr>
            <w:tcW w:type="dxa" w:w="2436"/>
          </w:tcPr>
          <w:p>
            <w:r/>
            <w:r>
              <w:rPr>
                <w:rFonts w:ascii="Calibri" w:hAnsi="Calibri"/>
                <w:color w:val="0F172A"/>
                <w:sz w:val="18"/>
              </w:rPr>
              <w:t>Track B — Data lake deployment (Wk 4–5)</w:t>
            </w:r>
          </w:p>
        </w:tc>
        <w:tc>
          <w:tcPr>
            <w:tcW w:type="dxa" w:w="2436"/>
          </w:tcPr>
          <w:p>
            <w:r/>
            <w:r>
              <w:rPr>
                <w:rFonts w:ascii="Calibri" w:hAnsi="Calibri"/>
                <w:color w:val="0F172A"/>
                <w:sz w:val="18"/>
              </w:rPr>
              <w:t>Track B — Baseline measurement (Wk 4–5)</w:t>
            </w:r>
          </w:p>
        </w:tc>
        <w:tc>
          <w:tcPr>
            <w:tcW w:type="dxa" w:w="2436"/>
          </w:tcPr>
          <w:p>
            <w:r/>
            <w:r>
              <w:rPr>
                <w:rFonts w:ascii="Calibri" w:hAnsi="Calibri"/>
                <w:color w:val="0F172A"/>
                <w:sz w:val="18"/>
              </w:rPr>
              <w:t>Baseline cannot be measured without the data lake</w:t>
            </w:r>
          </w:p>
        </w:tc>
        <w:tc>
          <w:tcPr>
            <w:tcW w:type="dxa" w:w="2436"/>
          </w:tcPr>
          <w:p>
            <w:r/>
            <w:r>
              <w:rPr>
                <w:rFonts w:ascii="Calibri" w:hAnsi="Calibri"/>
                <w:color w:val="0F172A"/>
                <w:sz w:val="18"/>
              </w:rPr>
              <w:t>Critical — blocks G2 capability baseline</w:t>
            </w:r>
          </w:p>
        </w:tc>
      </w:tr>
      <w:tr>
        <w:tc>
          <w:tcPr>
            <w:tcW w:type="dxa" w:w="2436"/>
          </w:tcPr>
          <w:p>
            <w:r/>
            <w:r>
              <w:rPr>
                <w:rFonts w:ascii="Calibri" w:hAnsi="Calibri"/>
                <w:color w:val="0F172A"/>
                <w:sz w:val="18"/>
              </w:rPr>
              <w:t>Track B — Baseline measurement (Wk 4–5)</w:t>
            </w:r>
          </w:p>
        </w:tc>
        <w:tc>
          <w:tcPr>
            <w:tcW w:type="dxa" w:w="2436"/>
          </w:tcPr>
          <w:p>
            <w:r/>
            <w:r>
              <w:rPr>
                <w:rFonts w:ascii="Calibri" w:hAnsi="Calibri"/>
                <w:color w:val="0F172A"/>
                <w:sz w:val="18"/>
              </w:rPr>
              <w:t>Track B — RPN calculation (Wk 6–7)</w:t>
            </w:r>
          </w:p>
        </w:tc>
        <w:tc>
          <w:tcPr>
            <w:tcW w:type="dxa" w:w="2436"/>
          </w:tcPr>
          <w:p>
            <w:r/>
            <w:r>
              <w:rPr>
                <w:rFonts w:ascii="Calibri" w:hAnsi="Calibri"/>
                <w:color w:val="0F172A"/>
                <w:sz w:val="18"/>
              </w:rPr>
              <w:t>RPN cannot be calculated without validated sub-process capability baselines</w:t>
            </w:r>
          </w:p>
        </w:tc>
        <w:tc>
          <w:tcPr>
            <w:tcW w:type="dxa" w:w="2436"/>
          </w:tcPr>
          <w:p>
            <w:r/>
            <w:r>
              <w:rPr>
                <w:rFonts w:ascii="Calibri" w:hAnsi="Calibri"/>
                <w:color w:val="0F172A"/>
                <w:sz w:val="18"/>
              </w:rPr>
              <w:t>High — FMEA scores become speculative</w:t>
            </w:r>
          </w:p>
        </w:tc>
      </w:tr>
      <w:tr>
        <w:tc>
          <w:tcPr>
            <w:tcW w:type="dxa" w:w="2436"/>
          </w:tcPr>
          <w:p>
            <w:r/>
            <w:r>
              <w:rPr>
                <w:rFonts w:ascii="Calibri" w:hAnsi="Calibri"/>
                <w:color w:val="0F172A"/>
                <w:sz w:val="18"/>
              </w:rPr>
              <w:t>Track A — Architecture FMEA (Wk 6–7)</w:t>
            </w:r>
          </w:p>
        </w:tc>
        <w:tc>
          <w:tcPr>
            <w:tcW w:type="dxa" w:w="2436"/>
          </w:tcPr>
          <w:p>
            <w:r/>
            <w:r>
              <w:rPr>
                <w:rFonts w:ascii="Calibri" w:hAnsi="Calibri"/>
                <w:color w:val="0F172A"/>
                <w:sz w:val="18"/>
              </w:rPr>
              <w:t>Track C — Poka-Yoke build (Wk 8–10)</w:t>
            </w:r>
          </w:p>
        </w:tc>
        <w:tc>
          <w:tcPr>
            <w:tcW w:type="dxa" w:w="2436"/>
          </w:tcPr>
          <w:p>
            <w:r/>
            <w:r>
              <w:rPr>
                <w:rFonts w:ascii="Calibri" w:hAnsi="Calibri"/>
                <w:color w:val="0F172A"/>
                <w:sz w:val="18"/>
              </w:rPr>
              <w:t>Poka-Yoke enforcement requires the architectural control points identified in Analyse phase</w:t>
            </w:r>
          </w:p>
        </w:tc>
        <w:tc>
          <w:tcPr>
            <w:tcW w:type="dxa" w:w="2436"/>
          </w:tcPr>
          <w:p>
            <w:r/>
            <w:r>
              <w:rPr>
                <w:rFonts w:ascii="Calibri" w:hAnsi="Calibri"/>
                <w:color w:val="0F172A"/>
                <w:sz w:val="18"/>
              </w:rPr>
              <w:t>High — misaligned enforcement</w:t>
            </w:r>
          </w:p>
        </w:tc>
      </w:tr>
      <w:tr>
        <w:tc>
          <w:tcPr>
            <w:tcW w:type="dxa" w:w="2436"/>
          </w:tcPr>
          <w:p>
            <w:r/>
            <w:r>
              <w:rPr>
                <w:rFonts w:ascii="Calibri" w:hAnsi="Calibri"/>
                <w:color w:val="0F172A"/>
                <w:sz w:val="18"/>
              </w:rPr>
              <w:t>Track B — SPC chart templates (Wk 6–7)</w:t>
            </w:r>
          </w:p>
        </w:tc>
        <w:tc>
          <w:tcPr>
            <w:tcW w:type="dxa" w:w="2436"/>
          </w:tcPr>
          <w:p>
            <w:r/>
            <w:r>
              <w:rPr>
                <w:rFonts w:ascii="Calibri" w:hAnsi="Calibri"/>
                <w:color w:val="0F172A"/>
                <w:sz w:val="18"/>
              </w:rPr>
              <w:t>Track B — SPC chart production (Wk 11–12)</w:t>
            </w:r>
          </w:p>
        </w:tc>
        <w:tc>
          <w:tcPr>
            <w:tcW w:type="dxa" w:w="2436"/>
          </w:tcPr>
          <w:p>
            <w:r/>
            <w:r>
              <w:rPr>
                <w:rFonts w:ascii="Calibri" w:hAnsi="Calibri"/>
                <w:color w:val="0F172A"/>
                <w:sz w:val="18"/>
              </w:rPr>
              <w:t>Charts cannot be deployed without templates</w:t>
            </w:r>
          </w:p>
        </w:tc>
        <w:tc>
          <w:tcPr>
            <w:tcW w:type="dxa" w:w="2436"/>
          </w:tcPr>
          <w:p>
            <w:r/>
            <w:r>
              <w:rPr>
                <w:rFonts w:ascii="Calibri" w:hAnsi="Calibri"/>
                <w:color w:val="0F172A"/>
                <w:sz w:val="18"/>
              </w:rPr>
              <w:t>Medium — production slips, G5 deliverable late</w:t>
            </w:r>
          </w:p>
        </w:tc>
      </w:tr>
      <w:tr>
        <w:tc>
          <w:tcPr>
            <w:tcW w:type="dxa" w:w="2436"/>
          </w:tcPr>
          <w:p>
            <w:r/>
            <w:r>
              <w:rPr>
                <w:rFonts w:ascii="Calibri" w:hAnsi="Calibri"/>
                <w:color w:val="0F172A"/>
                <w:sz w:val="18"/>
              </w:rPr>
              <w:t>Track C — AI agent spec (Wk 6–7)</w:t>
            </w:r>
          </w:p>
        </w:tc>
        <w:tc>
          <w:tcPr>
            <w:tcW w:type="dxa" w:w="2436"/>
          </w:tcPr>
          <w:p>
            <w:r/>
            <w:r>
              <w:rPr>
                <w:rFonts w:ascii="Calibri" w:hAnsi="Calibri"/>
                <w:color w:val="0F172A"/>
                <w:sz w:val="18"/>
              </w:rPr>
              <w:t>Track C — AI agent build (Wk 8–10)</w:t>
            </w:r>
          </w:p>
        </w:tc>
        <w:tc>
          <w:tcPr>
            <w:tcW w:type="dxa" w:w="2436"/>
          </w:tcPr>
          <w:p>
            <w:r/>
            <w:r>
              <w:rPr>
                <w:rFonts w:ascii="Calibri" w:hAnsi="Calibri"/>
                <w:color w:val="0F172A"/>
                <w:sz w:val="18"/>
              </w:rPr>
              <w:t>Cannot build without specification</w:t>
            </w:r>
          </w:p>
        </w:tc>
        <w:tc>
          <w:tcPr>
            <w:tcW w:type="dxa" w:w="2436"/>
          </w:tcPr>
          <w:p>
            <w:r/>
            <w:r>
              <w:rPr>
                <w:rFonts w:ascii="Calibri" w:hAnsi="Calibri"/>
                <w:color w:val="0F172A"/>
                <w:sz w:val="18"/>
              </w:rPr>
              <w:t>High — AI agent deployment slips</w:t>
            </w:r>
          </w:p>
        </w:tc>
      </w:tr>
      <w:tr>
        <w:tc>
          <w:tcPr>
            <w:tcW w:type="dxa" w:w="2436"/>
          </w:tcPr>
          <w:p>
            <w:r/>
            <w:r>
              <w:rPr>
                <w:rFonts w:ascii="Calibri" w:hAnsi="Calibri"/>
                <w:color w:val="0F172A"/>
                <w:sz w:val="18"/>
              </w:rPr>
              <w:t>All tracks — Phase completion</w:t>
            </w:r>
          </w:p>
        </w:tc>
        <w:tc>
          <w:tcPr>
            <w:tcW w:type="dxa" w:w="2436"/>
          </w:tcPr>
          <w:p>
            <w:r/>
            <w:r>
              <w:rPr>
                <w:rFonts w:ascii="Calibri" w:hAnsi="Calibri"/>
                <w:color w:val="0F172A"/>
                <w:sz w:val="18"/>
              </w:rPr>
              <w:t>MBB — Tollgate review</w:t>
            </w:r>
          </w:p>
        </w:tc>
        <w:tc>
          <w:tcPr>
            <w:tcW w:type="dxa" w:w="2436"/>
          </w:tcPr>
          <w:p>
            <w:r/>
            <w:r>
              <w:rPr>
                <w:rFonts w:ascii="Calibri" w:hAnsi="Calibri"/>
                <w:color w:val="0F172A"/>
                <w:sz w:val="18"/>
              </w:rPr>
              <w:t>CISO sign-off requires all tracks' deliverables for the phase</w:t>
            </w:r>
          </w:p>
        </w:tc>
        <w:tc>
          <w:tcPr>
            <w:tcW w:type="dxa" w:w="2436"/>
          </w:tcPr>
          <w:p>
            <w:r/>
            <w:r>
              <w:rPr>
                <w:rFonts w:ascii="Calibri" w:hAnsi="Calibri"/>
                <w:color w:val="0F172A"/>
                <w:sz w:val="18"/>
              </w:rPr>
              <w:t>Critical — tollgate gate</w:t>
            </w:r>
          </w:p>
        </w:tc>
      </w:tr>
    </w:tbl>
    <w:p/>
    <w:p>
      <w:r>
        <w:rPr>
          <w:rFonts w:ascii="Calibri" w:hAnsi="Calibri"/>
          <w:b/>
          <w:sz w:val="22"/>
        </w:rPr>
        <w:t>Dependency governance:</w:t>
      </w:r>
      <w:r>
        <w:rPr>
          <w:rFonts w:ascii="Calibri" w:hAnsi="Calibri"/>
          <w:sz w:val="22"/>
        </w:rPr>
        <w:t xml:space="preserve"> MBB reviews the dependency graph at the start of each phase; Track Leads surface risks in the weekly Operations sync (§3.6); dependencies on the critical path receive Tier 2 escalation if at risk.</w:t>
      </w:r>
    </w:p>
    <w:p>
      <w:pPr>
        <w:pBdr>
          <w:bottom w:val="single" w:sz="6" w:space="1" w:color="CBD5E1"/>
        </w:pBdr>
      </w:pPr>
    </w:p>
    <w:p>
      <w:r>
        <w:rPr>
          <w:rFonts w:ascii="Calibri" w:hAnsi="Calibri"/>
          <w:b/>
          <w:color w:val="0F172A"/>
          <w:sz w:val="28"/>
        </w:rPr>
        <w:t>5.5 Critical Path</w:t>
      </w:r>
    </w:p>
    <w:p>
      <w:r>
        <w:rPr>
          <w:rFonts w:ascii="Calibri" w:hAnsi="Calibri"/>
          <w:sz w:val="22"/>
        </w:rPr>
        <w:t>The critical path is the sequence of dependent tasks whose slip directly delays the project. For this engagement, the critical path is Track B-driven:</w:t>
      </w:r>
    </w:p>
    <w:p>
      <w:pPr>
        <w:shd w:val="clear" w:color="auto" w:fill="F1F5F9"/>
        <w:pBdr>
          <w:top w:val="single" w:sz="4" w:space="4" w:color="E2E8F0"/>
          <w:left w:val="single" w:sz="4" w:space="4" w:color="E2E8F0"/>
          <w:bottom w:val="single" w:sz="4" w:space="4" w:color="E2E8F0"/>
          <w:right w:val="single" w:sz="4" w:space="4" w:color="E2E8F0"/>
        </w:pBdr>
      </w:pPr>
      <w:r>
        <w:rPr>
          <w:rFonts w:ascii="Consolas" w:hAnsi="Consolas"/>
          <w:color w:val="334155"/>
          <w:sz w:val="18"/>
        </w:rPr>
        <w:t xml:space="preserve">   Data lake design     Data lake        Baseline        RPN          SPC chart</w:t>
        <w:br/>
      </w:r>
      <w:r>
        <w:rPr>
          <w:rFonts w:ascii="Consolas" w:hAnsi="Consolas"/>
          <w:color w:val="334155"/>
          <w:sz w:val="18"/>
        </w:rPr>
        <w:t xml:space="preserve">        (B)           deployment (B)   measurement (B)  calc (B)     production (B)</w:t>
        <w:br/>
      </w:r>
      <w:r>
        <w:rPr>
          <w:rFonts w:ascii="Consolas" w:hAnsi="Consolas"/>
          <w:color w:val="334155"/>
          <w:sz w:val="18"/>
        </w:rPr>
        <w:t xml:space="preserve">   Week 1 ──────→ Week 4 ──────→ Week 5 ──────→ Week 6-7 ──────→ Week 11-12</w:t>
        <w:br/>
      </w:r>
      <w:r>
        <w:rPr>
          <w:rFonts w:ascii="Consolas" w:hAnsi="Consolas"/>
          <w:color w:val="334155"/>
          <w:sz w:val="18"/>
        </w:rPr>
        <w:t xml:space="preserve">        ↓                ↓                ↓              ↓                ↓</w:t>
        <w:br/>
      </w:r>
      <w:r>
        <w:rPr>
          <w:rFonts w:ascii="Consolas" w:hAnsi="Consolas"/>
          <w:color w:val="334155"/>
          <w:sz w:val="18"/>
        </w:rPr>
        <w:t xml:space="preserve">   [Foundation]    [Data foundation]  [Validation]   [FMEA]      [Executive dashboard]</w:t>
        <w:br/>
      </w:r>
      <w:r>
        <w:rPr>
          <w:rFonts w:ascii="Consolas" w:hAnsi="Consolas"/>
          <w:color w:val="334155"/>
          <w:sz w:val="18"/>
        </w:rPr>
        <w:t xml:space="preserve">                                                              ↓</w:t>
        <w:br/>
      </w:r>
      <w:r>
        <w:rPr>
          <w:rFonts w:ascii="Consolas" w:hAnsi="Consolas"/>
          <w:color w:val="334155"/>
          <w:sz w:val="18"/>
        </w:rPr>
        <w:t xml:space="preserve">                                                       ◆ G5 (CISO + Ops sign-off)</w:t>
      </w:r>
    </w:p>
    <w:p>
      <w:r>
        <w:rPr>
          <w:rFonts w:ascii="Calibri" w:hAnsi="Calibri"/>
          <w:b/>
          <w:sz w:val="22"/>
        </w:rPr>
        <w:t>Why Track B drives the critical path:</w:t>
      </w:r>
    </w:p>
    <w:p>
      <w:pPr>
        <w:pStyle w:val="ListNumber"/>
      </w:pPr>
      <w:r>
        <w:rPr>
          <w:rFonts w:ascii="Calibri" w:hAnsi="Calibri"/>
          <w:b/>
          <w:sz w:val="22"/>
        </w:rPr>
        <w:t>Data lake (Wk 4–5)</w:t>
      </w:r>
      <w:r>
        <w:rPr>
          <w:rFonts w:ascii="Calibri" w:hAnsi="Calibri"/>
          <w:sz w:val="22"/>
        </w:rPr>
        <w:t xml:space="preserve"> is the foundation for all measurement, FMEA, AI agents, and SPC charts. A 1-week slip cascades to:</w:t>
      </w:r>
    </w:p>
    <w:p>
      <w:pPr>
        <w:pStyle w:val="ListBullet"/>
      </w:pPr>
      <w:r>
        <w:rPr>
          <w:rFonts w:ascii="Calibri" w:hAnsi="Calibri"/>
          <w:sz w:val="22"/>
        </w:rPr>
        <w:t xml:space="preserve">Baseline measurement (Wk 4–5) — </w:t>
      </w:r>
      <w:r>
        <w:rPr>
          <w:rFonts w:ascii="Calibri" w:hAnsi="Calibri"/>
          <w:b/>
          <w:sz w:val="22"/>
        </w:rPr>
        <w:t>incomplete data</w:t>
      </w:r>
    </w:p>
    <w:p>
      <w:pPr>
        <w:pStyle w:val="ListBullet"/>
      </w:pPr>
      <w:r>
        <w:rPr>
          <w:rFonts w:ascii="Calibri" w:hAnsi="Calibri"/>
          <w:sz w:val="22"/>
        </w:rPr>
        <w:t xml:space="preserve">RPN calculation (Wk 6–7) — </w:t>
      </w:r>
      <w:r>
        <w:rPr>
          <w:rFonts w:ascii="Calibri" w:hAnsi="Calibri"/>
          <w:b/>
          <w:sz w:val="22"/>
        </w:rPr>
        <w:t>speculative scores, G3 deferred</w:t>
      </w:r>
    </w:p>
    <w:p>
      <w:pPr>
        <w:pStyle w:val="ListBullet"/>
      </w:pPr>
      <w:r>
        <w:rPr>
          <w:rFonts w:ascii="Calibri" w:hAnsi="Calibri"/>
          <w:sz w:val="22"/>
        </w:rPr>
        <w:t xml:space="preserve">AI agent telemetry (Wk 8–10) — </w:t>
      </w:r>
      <w:r>
        <w:rPr>
          <w:rFonts w:ascii="Calibri" w:hAnsi="Calibri"/>
          <w:b/>
          <w:sz w:val="22"/>
        </w:rPr>
        <w:t>agents have no signal</w:t>
      </w:r>
    </w:p>
    <w:p>
      <w:pPr>
        <w:pStyle w:val="ListBullet"/>
      </w:pPr>
      <w:r>
        <w:rPr>
          <w:rFonts w:ascii="Calibri" w:hAnsi="Calibri"/>
          <w:sz w:val="22"/>
        </w:rPr>
        <w:t xml:space="preserve">SPC charts (Wk 11–12) — </w:t>
      </w:r>
      <w:r>
        <w:rPr>
          <w:rFonts w:ascii="Calibri" w:hAnsi="Calibri"/>
          <w:b/>
          <w:sz w:val="22"/>
        </w:rPr>
        <w:t>G5 dashboard incomplete</w:t>
      </w:r>
    </w:p>
    <w:p>
      <w:pPr>
        <w:pStyle w:val="ListNumber"/>
      </w:pPr>
      <w:r>
        <w:rPr>
          <w:rFonts w:ascii="Calibri" w:hAnsi="Calibri"/>
          <w:b/>
          <w:sz w:val="22"/>
        </w:rPr>
        <w:t>Track A and Track C</w:t>
      </w:r>
      <w:r>
        <w:rPr>
          <w:rFonts w:ascii="Calibri" w:hAnsi="Calibri"/>
          <w:sz w:val="22"/>
        </w:rPr>
        <w:t xml:space="preserve"> can run in parallel with limited dependency on Track B's </w:t>
      </w:r>
      <w:r>
        <w:rPr>
          <w:rFonts w:ascii="Calibri" w:hAnsi="Calibri"/>
          <w:i/>
          <w:sz w:val="22"/>
        </w:rPr>
        <w:t>measurement</w:t>
      </w:r>
      <w:r>
        <w:rPr>
          <w:rFonts w:ascii="Calibri" w:hAnsi="Calibri"/>
          <w:sz w:val="22"/>
        </w:rPr>
        <w:t xml:space="preserve"> (they depend on Track B's </w:t>
      </w:r>
      <w:r>
        <w:rPr>
          <w:rFonts w:ascii="Calibri" w:hAnsi="Calibri"/>
          <w:i/>
          <w:sz w:val="22"/>
        </w:rPr>
        <w:t>protocol</w:t>
      </w:r>
      <w:r>
        <w:rPr>
          <w:rFonts w:ascii="Calibri" w:hAnsi="Calibri"/>
          <w:sz w:val="22"/>
        </w:rPr>
        <w:t xml:space="preserve"> in Wk 1–3, which is on the G1 critical path).</w:t>
      </w:r>
    </w:p>
    <w:p>
      <w:pPr>
        <w:pStyle w:val="ListNumber"/>
      </w:pPr>
      <w:r>
        <w:rPr>
          <w:rFonts w:ascii="Calibri" w:hAnsi="Calibri"/>
          <w:b/>
          <w:sz w:val="22"/>
        </w:rPr>
        <w:t>G2 (Wk 5) is the first project-level gate</w:t>
      </w:r>
      <w:r>
        <w:rPr>
          <w:rFonts w:ascii="Calibri" w:hAnsi="Calibri"/>
          <w:sz w:val="22"/>
        </w:rPr>
        <w:t xml:space="preserve"> — if the data lake and baseline measurement are incomplete at G2, the engagement pauses.</w:t>
      </w:r>
    </w:p>
    <w:p>
      <w:r>
        <w:rPr>
          <w:rFonts w:ascii="Calibri" w:hAnsi="Calibri"/>
          <w:b/>
          <w:sz w:val="22"/>
        </w:rPr>
        <w:t>Critical path protection:</w:t>
      </w:r>
      <w:r>
        <w:rPr>
          <w:rFonts w:ascii="Calibri" w:hAnsi="Calibri"/>
          <w:sz w:val="22"/>
        </w:rPr>
        <w:t xml:space="preserve"> Track B gets 7 GBs (largest of the three tracks) and the MBB's direct oversight. Any Track B slip triggers a Tier 2 escalation at the next weekly Operations sync.</w:t>
      </w:r>
    </w:p>
    <w:p>
      <w:pPr>
        <w:pBdr>
          <w:bottom w:val="single" w:sz="6" w:space="1" w:color="CBD5E1"/>
        </w:pBdr>
      </w:pPr>
    </w:p>
    <w:p>
      <w:r>
        <w:rPr>
          <w:rFonts w:ascii="Calibri" w:hAnsi="Calibri"/>
          <w:b/>
          <w:color w:val="0F172A"/>
          <w:sz w:val="28"/>
        </w:rPr>
        <w:t>5.6 Tollgate Calendar</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shd w:val="clear" w:color="auto" w:fill="1E40AF"/>
          </w:tcPr>
          <w:p>
            <w:r/>
            <w:r>
              <w:rPr>
                <w:rFonts w:ascii="Calibri" w:hAnsi="Calibri"/>
                <w:b/>
                <w:color w:val="FFFFFF"/>
                <w:sz w:val="20"/>
              </w:rPr>
              <w:t>Tollgate</w:t>
            </w:r>
          </w:p>
        </w:tc>
        <w:tc>
          <w:tcPr>
            <w:tcW w:type="dxa" w:w="1949"/>
            <w:shd w:val="clear" w:color="auto" w:fill="1E40AF"/>
          </w:tcPr>
          <w:p>
            <w:r/>
            <w:r>
              <w:rPr>
                <w:rFonts w:ascii="Calibri" w:hAnsi="Calibri"/>
                <w:b/>
                <w:color w:val="FFFFFF"/>
                <w:sz w:val="20"/>
              </w:rPr>
              <w:t>Date</w:t>
            </w:r>
          </w:p>
        </w:tc>
        <w:tc>
          <w:tcPr>
            <w:tcW w:type="dxa" w:w="1949"/>
            <w:shd w:val="clear" w:color="auto" w:fill="1E40AF"/>
          </w:tcPr>
          <w:p>
            <w:r/>
            <w:r>
              <w:rPr>
                <w:rFonts w:ascii="Calibri" w:hAnsi="Calibri"/>
                <w:b/>
                <w:color w:val="FFFFFF"/>
                <w:sz w:val="20"/>
              </w:rPr>
              <w:t>CISO Decision</w:t>
            </w:r>
          </w:p>
        </w:tc>
        <w:tc>
          <w:tcPr>
            <w:tcW w:type="dxa" w:w="1949"/>
            <w:shd w:val="clear" w:color="auto" w:fill="1E40AF"/>
          </w:tcPr>
          <w:p>
            <w:r/>
            <w:r>
              <w:rPr>
                <w:rFonts w:ascii="Calibri" w:hAnsi="Calibri"/>
                <w:b/>
                <w:color w:val="FFFFFF"/>
                <w:sz w:val="20"/>
              </w:rPr>
              <w:t>Pre-tollgate Review (MBB)</w:t>
            </w:r>
          </w:p>
        </w:tc>
        <w:tc>
          <w:tcPr>
            <w:tcW w:type="dxa" w:w="1949"/>
            <w:shd w:val="clear" w:color="auto" w:fill="1E40AF"/>
          </w:tcPr>
          <w:p>
            <w:r/>
            <w:r>
              <w:rPr>
                <w:rFonts w:ascii="Calibri" w:hAnsi="Calibri"/>
                <w:b/>
                <w:color w:val="FFFFFF"/>
                <w:sz w:val="20"/>
              </w:rPr>
              <w:t>Required Attendance</w:t>
            </w:r>
          </w:p>
        </w:tc>
      </w:tr>
      <w:tr>
        <w:tc>
          <w:tcPr>
            <w:tcW w:type="dxa" w:w="1949"/>
          </w:tcPr>
          <w:p>
            <w:r/>
            <w:r>
              <w:rPr>
                <w:rFonts w:ascii="Calibri" w:hAnsi="Calibri"/>
                <w:b/>
                <w:color w:val="0F172A"/>
                <w:sz w:val="18"/>
              </w:rPr>
              <w:t>G1</w:t>
            </w:r>
          </w:p>
        </w:tc>
        <w:tc>
          <w:tcPr>
            <w:tcW w:type="dxa" w:w="1949"/>
          </w:tcPr>
          <w:p>
            <w:r/>
            <w:r>
              <w:rPr>
                <w:rFonts w:ascii="Calibri" w:hAnsi="Calibri"/>
                <w:color w:val="0F172A"/>
                <w:sz w:val="18"/>
              </w:rPr>
              <w:t>End of Week 3 (Friday)</w:t>
            </w:r>
          </w:p>
        </w:tc>
        <w:tc>
          <w:tcPr>
            <w:tcW w:type="dxa" w:w="1949"/>
          </w:tcPr>
          <w:p>
            <w:r/>
            <w:r>
              <w:rPr>
                <w:rFonts w:ascii="Calibri" w:hAnsi="Calibri"/>
                <w:color w:val="0F172A"/>
                <w:sz w:val="18"/>
              </w:rPr>
              <w:t>Approve charter, scope, team, confidentiality protocol</w:t>
            </w:r>
          </w:p>
        </w:tc>
        <w:tc>
          <w:tcPr>
            <w:tcW w:type="dxa" w:w="1949"/>
          </w:tcPr>
          <w:p>
            <w:r/>
            <w:r>
              <w:rPr>
                <w:rFonts w:ascii="Calibri" w:hAnsi="Calibri"/>
                <w:color w:val="0F172A"/>
                <w:sz w:val="18"/>
              </w:rPr>
              <w:t>End of Week 3 (Thursday)</w:t>
            </w:r>
          </w:p>
        </w:tc>
        <w:tc>
          <w:tcPr>
            <w:tcW w:type="dxa" w:w="1949"/>
          </w:tcPr>
          <w:p>
            <w:r/>
            <w:r>
              <w:rPr>
                <w:rFonts w:ascii="Calibri" w:hAnsi="Calibri"/>
                <w:color w:val="0F172A"/>
                <w:sz w:val="18"/>
              </w:rPr>
              <w:t>CISO + MBB + Track Leads</w:t>
            </w:r>
          </w:p>
        </w:tc>
      </w:tr>
      <w:tr>
        <w:tc>
          <w:tcPr>
            <w:tcW w:type="dxa" w:w="1949"/>
          </w:tcPr>
          <w:p>
            <w:r/>
            <w:r>
              <w:rPr>
                <w:rFonts w:ascii="Calibri" w:hAnsi="Calibri"/>
                <w:b/>
                <w:color w:val="0F172A"/>
                <w:sz w:val="18"/>
              </w:rPr>
              <w:t>G2</w:t>
            </w:r>
          </w:p>
        </w:tc>
        <w:tc>
          <w:tcPr>
            <w:tcW w:type="dxa" w:w="1949"/>
          </w:tcPr>
          <w:p>
            <w:r/>
            <w:r>
              <w:rPr>
                <w:rFonts w:ascii="Calibri" w:hAnsi="Calibri"/>
                <w:color w:val="0F172A"/>
                <w:sz w:val="18"/>
              </w:rPr>
              <w:t>End of Week 5 (Friday)</w:t>
            </w:r>
          </w:p>
        </w:tc>
        <w:tc>
          <w:tcPr>
            <w:tcW w:type="dxa" w:w="1949"/>
          </w:tcPr>
          <w:p>
            <w:r/>
            <w:r>
              <w:rPr>
                <w:rFonts w:ascii="Calibri" w:hAnsi="Calibri"/>
                <w:color w:val="0F172A"/>
                <w:sz w:val="18"/>
              </w:rPr>
              <w:t>Approve capability baseline, validate MTTD/MTTR targets</w:t>
            </w:r>
          </w:p>
        </w:tc>
        <w:tc>
          <w:tcPr>
            <w:tcW w:type="dxa" w:w="1949"/>
          </w:tcPr>
          <w:p>
            <w:r/>
            <w:r>
              <w:rPr>
                <w:rFonts w:ascii="Calibri" w:hAnsi="Calibri"/>
                <w:color w:val="0F172A"/>
                <w:sz w:val="18"/>
              </w:rPr>
              <w:t>End of Week 5 (Thursday)</w:t>
            </w:r>
          </w:p>
        </w:tc>
        <w:tc>
          <w:tcPr>
            <w:tcW w:type="dxa" w:w="1949"/>
          </w:tcPr>
          <w:p>
            <w:r/>
            <w:r>
              <w:rPr>
                <w:rFonts w:ascii="Calibri" w:hAnsi="Calibri"/>
                <w:color w:val="0F172A"/>
                <w:sz w:val="18"/>
              </w:rPr>
              <w:t>CISO + MBB + Track Leads</w:t>
            </w:r>
          </w:p>
        </w:tc>
      </w:tr>
      <w:tr>
        <w:tc>
          <w:tcPr>
            <w:tcW w:type="dxa" w:w="1949"/>
          </w:tcPr>
          <w:p>
            <w:r/>
            <w:r>
              <w:rPr>
                <w:rFonts w:ascii="Calibri" w:hAnsi="Calibri"/>
                <w:b/>
                <w:color w:val="0F172A"/>
                <w:sz w:val="18"/>
              </w:rPr>
              <w:t>G3</w:t>
            </w:r>
          </w:p>
        </w:tc>
        <w:tc>
          <w:tcPr>
            <w:tcW w:type="dxa" w:w="1949"/>
          </w:tcPr>
          <w:p>
            <w:r/>
            <w:r>
              <w:rPr>
                <w:rFonts w:ascii="Calibri" w:hAnsi="Calibri"/>
                <w:color w:val="0F172A"/>
                <w:sz w:val="18"/>
              </w:rPr>
              <w:t>End of Week 7 (Friday)</w:t>
            </w:r>
          </w:p>
        </w:tc>
        <w:tc>
          <w:tcPr>
            <w:tcW w:type="dxa" w:w="1949"/>
          </w:tcPr>
          <w:p>
            <w:r/>
            <w:r>
              <w:rPr>
                <w:rFonts w:ascii="Calibri" w:hAnsi="Calibri"/>
                <w:color w:val="0F172A"/>
                <w:sz w:val="18"/>
              </w:rPr>
              <w:t>Approve FMEA, ratify RPN reduction targets</w:t>
            </w:r>
          </w:p>
        </w:tc>
        <w:tc>
          <w:tcPr>
            <w:tcW w:type="dxa" w:w="1949"/>
          </w:tcPr>
          <w:p>
            <w:r/>
            <w:r>
              <w:rPr>
                <w:rFonts w:ascii="Calibri" w:hAnsi="Calibri"/>
                <w:color w:val="0F172A"/>
                <w:sz w:val="18"/>
              </w:rPr>
              <w:t>End of Week 7 (Thursday)</w:t>
            </w:r>
          </w:p>
        </w:tc>
        <w:tc>
          <w:tcPr>
            <w:tcW w:type="dxa" w:w="1949"/>
          </w:tcPr>
          <w:p>
            <w:r/>
            <w:r>
              <w:rPr>
                <w:rFonts w:ascii="Calibri" w:hAnsi="Calibri"/>
                <w:color w:val="0F172A"/>
                <w:sz w:val="18"/>
              </w:rPr>
              <w:t>CISO + MBB + Track Leads</w:t>
            </w:r>
          </w:p>
        </w:tc>
      </w:tr>
      <w:tr>
        <w:tc>
          <w:tcPr>
            <w:tcW w:type="dxa" w:w="1949"/>
          </w:tcPr>
          <w:p>
            <w:r/>
            <w:r>
              <w:rPr>
                <w:rFonts w:ascii="Calibri" w:hAnsi="Calibri"/>
                <w:b/>
                <w:color w:val="0F172A"/>
                <w:sz w:val="18"/>
              </w:rPr>
              <w:t>G4</w:t>
            </w:r>
          </w:p>
        </w:tc>
        <w:tc>
          <w:tcPr>
            <w:tcW w:type="dxa" w:w="1949"/>
          </w:tcPr>
          <w:p>
            <w:r/>
            <w:r>
              <w:rPr>
                <w:rFonts w:ascii="Calibri" w:hAnsi="Calibri"/>
                <w:color w:val="0F172A"/>
                <w:sz w:val="18"/>
              </w:rPr>
              <w:t>End of Week 10 (Friday)</w:t>
            </w:r>
          </w:p>
        </w:tc>
        <w:tc>
          <w:tcPr>
            <w:tcW w:type="dxa" w:w="1949"/>
          </w:tcPr>
          <w:p>
            <w:r/>
            <w:r>
              <w:rPr>
                <w:rFonts w:ascii="Calibri" w:hAnsi="Calibri"/>
                <w:color w:val="0F172A"/>
                <w:sz w:val="18"/>
              </w:rPr>
              <w:t>Approve controls for deployment, ratify AI agent scope</w:t>
            </w:r>
          </w:p>
        </w:tc>
        <w:tc>
          <w:tcPr>
            <w:tcW w:type="dxa" w:w="1949"/>
          </w:tcPr>
          <w:p>
            <w:r/>
            <w:r>
              <w:rPr>
                <w:rFonts w:ascii="Calibri" w:hAnsi="Calibri"/>
                <w:color w:val="0F172A"/>
                <w:sz w:val="18"/>
              </w:rPr>
              <w:t>End of Week 10 (Thursday)</w:t>
            </w:r>
          </w:p>
        </w:tc>
        <w:tc>
          <w:tcPr>
            <w:tcW w:type="dxa" w:w="1949"/>
          </w:tcPr>
          <w:p>
            <w:r/>
            <w:r>
              <w:rPr>
                <w:rFonts w:ascii="Calibri" w:hAnsi="Calibri"/>
                <w:color w:val="0F172A"/>
                <w:sz w:val="18"/>
              </w:rPr>
              <w:t>CISO + MBB + Track Leads + IT Security</w:t>
            </w:r>
          </w:p>
        </w:tc>
      </w:tr>
      <w:tr>
        <w:tc>
          <w:tcPr>
            <w:tcW w:type="dxa" w:w="1949"/>
          </w:tcPr>
          <w:p>
            <w:r/>
            <w:r>
              <w:rPr>
                <w:rFonts w:ascii="Calibri" w:hAnsi="Calibri"/>
                <w:b/>
                <w:color w:val="0F172A"/>
                <w:sz w:val="18"/>
              </w:rPr>
              <w:t>G5</w:t>
            </w:r>
          </w:p>
        </w:tc>
        <w:tc>
          <w:tcPr>
            <w:tcW w:type="dxa" w:w="1949"/>
          </w:tcPr>
          <w:p>
            <w:r/>
            <w:r>
              <w:rPr>
                <w:rFonts w:ascii="Calibri" w:hAnsi="Calibri"/>
                <w:color w:val="0F172A"/>
                <w:sz w:val="18"/>
              </w:rPr>
              <w:t>End of Week 12 (Friday)</w:t>
            </w:r>
          </w:p>
        </w:tc>
        <w:tc>
          <w:tcPr>
            <w:tcW w:type="dxa" w:w="1949"/>
          </w:tcPr>
          <w:p>
            <w:r/>
            <w:r>
              <w:rPr>
                <w:rFonts w:ascii="Calibri" w:hAnsi="Calibri"/>
                <w:color w:val="0F172A"/>
                <w:sz w:val="18"/>
              </w:rPr>
              <w:t>Approve control plan, authorise handover to Operations</w:t>
            </w:r>
          </w:p>
        </w:tc>
        <w:tc>
          <w:tcPr>
            <w:tcW w:type="dxa" w:w="1949"/>
          </w:tcPr>
          <w:p>
            <w:r/>
            <w:r>
              <w:rPr>
                <w:rFonts w:ascii="Calibri" w:hAnsi="Calibri"/>
                <w:color w:val="0F172A"/>
                <w:sz w:val="18"/>
              </w:rPr>
              <w:t>End of Week 12 (Thursday)</w:t>
            </w:r>
          </w:p>
        </w:tc>
        <w:tc>
          <w:tcPr>
            <w:tcW w:type="dxa" w:w="1949"/>
          </w:tcPr>
          <w:p>
            <w:r/>
            <w:r>
              <w:rPr>
                <w:rFonts w:ascii="Calibri" w:hAnsi="Calibri"/>
                <w:color w:val="0F172A"/>
                <w:sz w:val="18"/>
              </w:rPr>
              <w:t>CISO + MBB + Operations Director + IT Security</w:t>
            </w:r>
          </w:p>
        </w:tc>
      </w:tr>
    </w:tbl>
    <w:p/>
    <w:p>
      <w:r>
        <w:rPr>
          <w:rFonts w:ascii="Calibri" w:hAnsi="Calibri"/>
          <w:b/>
          <w:sz w:val="22"/>
        </w:rPr>
        <w:t>Tollgate discipline:</w:t>
      </w:r>
      <w:r>
        <w:rPr>
          <w:rFonts w:ascii="Calibri" w:hAnsi="Calibri"/>
          <w:sz w:val="22"/>
        </w:rPr>
        <w:t xml:space="preserve"> No phase advances without CISO sign-off. If CISO defers or rejects, MBB presents a recovery plan within 48 hours; engagement pauses until the recovery plan is approved.</w:t>
      </w:r>
    </w:p>
    <w:p>
      <w:r>
        <w:rPr>
          <w:rFonts w:ascii="Calibri" w:hAnsi="Calibri"/>
          <w:b/>
          <w:sz w:val="22"/>
        </w:rPr>
        <w:t>Pre-tollgate review:</w:t>
      </w:r>
      <w:r>
        <w:rPr>
          <w:rFonts w:ascii="Calibri" w:hAnsi="Calibri"/>
          <w:sz w:val="22"/>
        </w:rPr>
        <w:t xml:space="preserve"> MBB convenes all Track Leads 24 hours before the CISO tollgate to validate deliverables, rehearse the presentation, and identify any late-stage risks. Defects surface here, not in front of the CISO.</w:t>
      </w:r>
    </w:p>
    <w:p>
      <w:pPr>
        <w:pBdr>
          <w:bottom w:val="single" w:sz="6" w:space="1" w:color="CBD5E1"/>
        </w:pBdr>
      </w:pPr>
    </w:p>
    <w:p>
      <w:r>
        <w:rPr>
          <w:rFonts w:ascii="Calibri" w:hAnsi="Calibri"/>
          <w:b/>
          <w:color w:val="0F172A"/>
          <w:sz w:val="28"/>
        </w:rPr>
        <w:t>5.7 GB Utilisation</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shd w:val="clear" w:color="auto" w:fill="1E40AF"/>
          </w:tcPr>
          <w:p>
            <w:r/>
            <w:r>
              <w:rPr>
                <w:rFonts w:ascii="Calibri" w:hAnsi="Calibri"/>
                <w:b/>
                <w:color w:val="FFFFFF"/>
                <w:sz w:val="20"/>
              </w:rPr>
              <w:t>Track</w:t>
            </w:r>
          </w:p>
        </w:tc>
        <w:tc>
          <w:tcPr>
            <w:tcW w:type="dxa" w:w="1949"/>
            <w:shd w:val="clear" w:color="auto" w:fill="1E40AF"/>
          </w:tcPr>
          <w:p>
            <w:r/>
            <w:r>
              <w:rPr>
                <w:rFonts w:ascii="Calibri" w:hAnsi="Calibri"/>
                <w:b/>
                <w:color w:val="FFFFFF"/>
                <w:sz w:val="20"/>
              </w:rPr>
              <w:t>GBs</w:t>
            </w:r>
          </w:p>
        </w:tc>
        <w:tc>
          <w:tcPr>
            <w:tcW w:type="dxa" w:w="1949"/>
            <w:shd w:val="clear" w:color="auto" w:fill="1E40AF"/>
          </w:tcPr>
          <w:p>
            <w:r/>
            <w:r>
              <w:rPr>
                <w:rFonts w:ascii="Calibri" w:hAnsi="Calibri"/>
                <w:b/>
                <w:color w:val="FFFFFF"/>
                <w:sz w:val="20"/>
              </w:rPr>
              <w:t>Allocation per GB</w:t>
            </w:r>
          </w:p>
        </w:tc>
        <w:tc>
          <w:tcPr>
            <w:tcW w:type="dxa" w:w="1949"/>
            <w:shd w:val="clear" w:color="auto" w:fill="1E40AF"/>
          </w:tcPr>
          <w:p>
            <w:r/>
            <w:r>
              <w:rPr>
                <w:rFonts w:ascii="Calibri" w:hAnsi="Calibri"/>
                <w:b/>
                <w:color w:val="FFFFFF"/>
                <w:sz w:val="20"/>
              </w:rPr>
              <w:t>Effective FTE</w:t>
            </w:r>
          </w:p>
        </w:tc>
        <w:tc>
          <w:tcPr>
            <w:tcW w:type="dxa" w:w="1949"/>
            <w:shd w:val="clear" w:color="auto" w:fill="1E40AF"/>
          </w:tcPr>
          <w:p>
            <w:r/>
            <w:r>
              <w:rPr>
                <w:rFonts w:ascii="Calibri" w:hAnsi="Calibri"/>
                <w:b/>
                <w:color w:val="FFFFFF"/>
                <w:sz w:val="20"/>
              </w:rPr>
              <w:t>GB-weeks over 12</w:t>
            </w:r>
          </w:p>
        </w:tc>
      </w:tr>
      <w:tr>
        <w:tc>
          <w:tcPr>
            <w:tcW w:type="dxa" w:w="1949"/>
          </w:tcPr>
          <w:p>
            <w:r/>
            <w:r>
              <w:rPr>
                <w:rFonts w:ascii="Calibri" w:hAnsi="Calibri"/>
                <w:color w:val="0F172A"/>
                <w:sz w:val="18"/>
              </w:rPr>
              <w:t>Track A</w:t>
            </w:r>
          </w:p>
        </w:tc>
        <w:tc>
          <w:tcPr>
            <w:tcW w:type="dxa" w:w="1949"/>
          </w:tcPr>
          <w:p>
            <w:r/>
            <w:r>
              <w:rPr>
                <w:rFonts w:ascii="Calibri" w:hAnsi="Calibri"/>
                <w:color w:val="0F172A"/>
                <w:sz w:val="18"/>
              </w:rPr>
              <w:t>6</w:t>
            </w:r>
          </w:p>
        </w:tc>
        <w:tc>
          <w:tcPr>
            <w:tcW w:type="dxa" w:w="1949"/>
          </w:tcPr>
          <w:p>
            <w:r/>
            <w:r>
              <w:rPr>
                <w:rFonts w:ascii="Calibri" w:hAnsi="Calibri"/>
                <w:color w:val="0F172A"/>
                <w:sz w:val="18"/>
              </w:rPr>
              <w:t>10%</w:t>
            </w:r>
          </w:p>
        </w:tc>
        <w:tc>
          <w:tcPr>
            <w:tcW w:type="dxa" w:w="1949"/>
          </w:tcPr>
          <w:p>
            <w:r/>
            <w:r>
              <w:rPr>
                <w:rFonts w:ascii="Calibri" w:hAnsi="Calibri"/>
                <w:color w:val="0F172A"/>
                <w:sz w:val="18"/>
              </w:rPr>
              <w:t>0.6 FTE</w:t>
            </w:r>
          </w:p>
        </w:tc>
        <w:tc>
          <w:tcPr>
            <w:tcW w:type="dxa" w:w="1949"/>
          </w:tcPr>
          <w:p>
            <w:r/>
            <w:r>
              <w:rPr>
                <w:rFonts w:ascii="Calibri" w:hAnsi="Calibri"/>
                <w:color w:val="0F172A"/>
                <w:sz w:val="18"/>
              </w:rPr>
              <w:t>7.2</w:t>
            </w:r>
          </w:p>
        </w:tc>
      </w:tr>
      <w:tr>
        <w:tc>
          <w:tcPr>
            <w:tcW w:type="dxa" w:w="1949"/>
          </w:tcPr>
          <w:p>
            <w:r/>
            <w:r>
              <w:rPr>
                <w:rFonts w:ascii="Calibri" w:hAnsi="Calibri"/>
                <w:color w:val="0F172A"/>
                <w:sz w:val="18"/>
              </w:rPr>
              <w:t>Track B</w:t>
            </w:r>
          </w:p>
        </w:tc>
        <w:tc>
          <w:tcPr>
            <w:tcW w:type="dxa" w:w="1949"/>
          </w:tcPr>
          <w:p>
            <w:r/>
            <w:r>
              <w:rPr>
                <w:rFonts w:ascii="Calibri" w:hAnsi="Calibri"/>
                <w:color w:val="0F172A"/>
                <w:sz w:val="18"/>
              </w:rPr>
              <w:t>7</w:t>
            </w:r>
          </w:p>
        </w:tc>
        <w:tc>
          <w:tcPr>
            <w:tcW w:type="dxa" w:w="1949"/>
          </w:tcPr>
          <w:p>
            <w:r/>
            <w:r>
              <w:rPr>
                <w:rFonts w:ascii="Calibri" w:hAnsi="Calibri"/>
                <w:color w:val="0F172A"/>
                <w:sz w:val="18"/>
              </w:rPr>
              <w:t>10%</w:t>
            </w:r>
          </w:p>
        </w:tc>
        <w:tc>
          <w:tcPr>
            <w:tcW w:type="dxa" w:w="1949"/>
          </w:tcPr>
          <w:p>
            <w:r/>
            <w:r>
              <w:rPr>
                <w:rFonts w:ascii="Calibri" w:hAnsi="Calibri"/>
                <w:color w:val="0F172A"/>
                <w:sz w:val="18"/>
              </w:rPr>
              <w:t>0.7 FTE</w:t>
            </w:r>
          </w:p>
        </w:tc>
        <w:tc>
          <w:tcPr>
            <w:tcW w:type="dxa" w:w="1949"/>
          </w:tcPr>
          <w:p>
            <w:r/>
            <w:r>
              <w:rPr>
                <w:rFonts w:ascii="Calibri" w:hAnsi="Calibri"/>
                <w:color w:val="0F172A"/>
                <w:sz w:val="18"/>
              </w:rPr>
              <w:t>8.4</w:t>
            </w:r>
          </w:p>
        </w:tc>
      </w:tr>
      <w:tr>
        <w:tc>
          <w:tcPr>
            <w:tcW w:type="dxa" w:w="1949"/>
          </w:tcPr>
          <w:p>
            <w:r/>
            <w:r>
              <w:rPr>
                <w:rFonts w:ascii="Calibri" w:hAnsi="Calibri"/>
                <w:color w:val="0F172A"/>
                <w:sz w:val="18"/>
              </w:rPr>
              <w:t>Track C</w:t>
            </w:r>
          </w:p>
        </w:tc>
        <w:tc>
          <w:tcPr>
            <w:tcW w:type="dxa" w:w="1949"/>
          </w:tcPr>
          <w:p>
            <w:r/>
            <w:r>
              <w:rPr>
                <w:rFonts w:ascii="Calibri" w:hAnsi="Calibri"/>
                <w:color w:val="0F172A"/>
                <w:sz w:val="18"/>
              </w:rPr>
              <w:t>6</w:t>
            </w:r>
          </w:p>
        </w:tc>
        <w:tc>
          <w:tcPr>
            <w:tcW w:type="dxa" w:w="1949"/>
          </w:tcPr>
          <w:p>
            <w:r/>
            <w:r>
              <w:rPr>
                <w:rFonts w:ascii="Calibri" w:hAnsi="Calibri"/>
                <w:color w:val="0F172A"/>
                <w:sz w:val="18"/>
              </w:rPr>
              <w:t>10%</w:t>
            </w:r>
          </w:p>
        </w:tc>
        <w:tc>
          <w:tcPr>
            <w:tcW w:type="dxa" w:w="1949"/>
          </w:tcPr>
          <w:p>
            <w:r/>
            <w:r>
              <w:rPr>
                <w:rFonts w:ascii="Calibri" w:hAnsi="Calibri"/>
                <w:color w:val="0F172A"/>
                <w:sz w:val="18"/>
              </w:rPr>
              <w:t>0.6 FTE</w:t>
            </w:r>
          </w:p>
        </w:tc>
        <w:tc>
          <w:tcPr>
            <w:tcW w:type="dxa" w:w="1949"/>
          </w:tcPr>
          <w:p>
            <w:r/>
            <w:r>
              <w:rPr>
                <w:rFonts w:ascii="Calibri" w:hAnsi="Calibri"/>
                <w:color w:val="0F172A"/>
                <w:sz w:val="18"/>
              </w:rPr>
              <w:t>7.2</w:t>
            </w:r>
          </w:p>
        </w:tc>
      </w:tr>
      <w:tr>
        <w:tc>
          <w:tcPr>
            <w:tcW w:type="dxa" w:w="1949"/>
          </w:tcPr>
          <w:p>
            <w:r/>
            <w:r>
              <w:rPr>
                <w:rFonts w:ascii="Calibri" w:hAnsi="Calibri"/>
                <w:b/>
                <w:color w:val="0F172A"/>
                <w:sz w:val="18"/>
              </w:rPr>
              <w:t>GB total</w:t>
            </w:r>
          </w:p>
        </w:tc>
        <w:tc>
          <w:tcPr>
            <w:tcW w:type="dxa" w:w="1949"/>
          </w:tcPr>
          <w:p>
            <w:r/>
            <w:r>
              <w:rPr>
                <w:rFonts w:ascii="Calibri" w:hAnsi="Calibri"/>
                <w:b/>
                <w:color w:val="0F172A"/>
                <w:sz w:val="18"/>
              </w:rPr>
              <w:t>19</w:t>
            </w:r>
          </w:p>
        </w:tc>
        <w:tc>
          <w:tcPr>
            <w:tcW w:type="dxa" w:w="1949"/>
          </w:tcPr>
          <w:p>
            <w:r/>
            <w:r>
              <w:rPr>
                <w:rFonts w:ascii="Calibri" w:hAnsi="Calibri"/>
                <w:b/>
                <w:color w:val="0F172A"/>
                <w:sz w:val="18"/>
              </w:rPr>
              <w:t>10%</w:t>
            </w:r>
          </w:p>
        </w:tc>
        <w:tc>
          <w:tcPr>
            <w:tcW w:type="dxa" w:w="1949"/>
          </w:tcPr>
          <w:p>
            <w:r/>
            <w:r>
              <w:rPr>
                <w:rFonts w:ascii="Calibri" w:hAnsi="Calibri"/>
                <w:b/>
                <w:color w:val="0F172A"/>
                <w:sz w:val="18"/>
              </w:rPr>
              <w:t>1.9 FTE</w:t>
            </w:r>
          </w:p>
        </w:tc>
        <w:tc>
          <w:tcPr>
            <w:tcW w:type="dxa" w:w="1949"/>
          </w:tcPr>
          <w:p>
            <w:r/>
            <w:r>
              <w:rPr>
                <w:rFonts w:ascii="Calibri" w:hAnsi="Calibri"/>
                <w:b/>
                <w:color w:val="0F172A"/>
                <w:sz w:val="18"/>
              </w:rPr>
              <w:t>22.8</w:t>
            </w:r>
          </w:p>
        </w:tc>
      </w:tr>
      <w:tr>
        <w:tc>
          <w:tcPr>
            <w:tcW w:type="dxa" w:w="1949"/>
          </w:tcPr>
          <w:p>
            <w:r/>
            <w:r>
              <w:rPr>
                <w:rFonts w:ascii="Calibri" w:hAnsi="Calibri"/>
                <w:color w:val="0F172A"/>
                <w:sz w:val="18"/>
              </w:rPr>
              <w:t>MBB</w:t>
            </w:r>
          </w:p>
        </w:tc>
        <w:tc>
          <w:tcPr>
            <w:tcW w:type="dxa" w:w="1949"/>
          </w:tcPr>
          <w:p>
            <w:r/>
            <w:r>
              <w:rPr>
                <w:rFonts w:ascii="Calibri" w:hAnsi="Calibri"/>
                <w:color w:val="0F172A"/>
                <w:sz w:val="18"/>
              </w:rPr>
              <w:t>1</w:t>
            </w:r>
          </w:p>
        </w:tc>
        <w:tc>
          <w:tcPr>
            <w:tcW w:type="dxa" w:w="1949"/>
          </w:tcPr>
          <w:p>
            <w:r/>
            <w:r>
              <w:rPr>
                <w:rFonts w:ascii="Calibri" w:hAnsi="Calibri"/>
                <w:color w:val="0F172A"/>
                <w:sz w:val="18"/>
              </w:rPr>
              <w:t>100%</w:t>
            </w:r>
          </w:p>
        </w:tc>
        <w:tc>
          <w:tcPr>
            <w:tcW w:type="dxa" w:w="1949"/>
          </w:tcPr>
          <w:p>
            <w:r/>
            <w:r>
              <w:rPr>
                <w:rFonts w:ascii="Calibri" w:hAnsi="Calibri"/>
                <w:color w:val="0F172A"/>
                <w:sz w:val="18"/>
              </w:rPr>
              <w:t>1.0 FTE</w:t>
            </w:r>
          </w:p>
        </w:tc>
        <w:tc>
          <w:tcPr>
            <w:tcW w:type="dxa" w:w="1949"/>
          </w:tcPr>
          <w:p>
            <w:r/>
            <w:r>
              <w:rPr>
                <w:rFonts w:ascii="Calibri" w:hAnsi="Calibri"/>
                <w:color w:val="0F172A"/>
                <w:sz w:val="18"/>
              </w:rPr>
              <w:t>12.0</w:t>
            </w:r>
          </w:p>
        </w:tc>
      </w:tr>
      <w:tr>
        <w:tc>
          <w:tcPr>
            <w:tcW w:type="dxa" w:w="1949"/>
          </w:tcPr>
          <w:p>
            <w:r/>
            <w:r>
              <w:rPr>
                <w:rFonts w:ascii="Calibri" w:hAnsi="Calibri"/>
                <w:color w:val="0F172A"/>
                <w:sz w:val="18"/>
              </w:rPr>
              <w:t>CISO oversight</w:t>
            </w:r>
          </w:p>
        </w:tc>
        <w:tc>
          <w:tcPr>
            <w:tcW w:type="dxa" w:w="1949"/>
          </w:tcPr>
          <w:p>
            <w:r/>
            <w:r>
              <w:rPr>
                <w:rFonts w:ascii="Calibri" w:hAnsi="Calibri"/>
                <w:color w:val="0F172A"/>
                <w:sz w:val="18"/>
              </w:rPr>
              <w:t>1</w:t>
            </w:r>
          </w:p>
        </w:tc>
        <w:tc>
          <w:tcPr>
            <w:tcW w:type="dxa" w:w="1949"/>
          </w:tcPr>
          <w:p>
            <w:r/>
            <w:r>
              <w:rPr>
                <w:rFonts w:ascii="Calibri" w:hAnsi="Calibri"/>
                <w:color w:val="0F172A"/>
                <w:sz w:val="18"/>
              </w:rPr>
              <w:t>5%</w:t>
            </w:r>
          </w:p>
        </w:tc>
        <w:tc>
          <w:tcPr>
            <w:tcW w:type="dxa" w:w="1949"/>
          </w:tcPr>
          <w:p>
            <w:r/>
            <w:r>
              <w:rPr>
                <w:rFonts w:ascii="Calibri" w:hAnsi="Calibri"/>
                <w:color w:val="0F172A"/>
                <w:sz w:val="18"/>
              </w:rPr>
              <w:t>0.05 FTE</w:t>
            </w:r>
          </w:p>
        </w:tc>
        <w:tc>
          <w:tcPr>
            <w:tcW w:type="dxa" w:w="1949"/>
          </w:tcPr>
          <w:p>
            <w:r/>
            <w:r>
              <w:rPr>
                <w:rFonts w:ascii="Calibri" w:hAnsi="Calibri"/>
                <w:color w:val="0F172A"/>
                <w:sz w:val="18"/>
              </w:rPr>
              <w:t>0.6</w:t>
            </w:r>
          </w:p>
        </w:tc>
      </w:tr>
      <w:tr>
        <w:tc>
          <w:tcPr>
            <w:tcW w:type="dxa" w:w="1949"/>
          </w:tcPr>
          <w:p>
            <w:r/>
            <w:r>
              <w:rPr>
                <w:rFonts w:ascii="Calibri" w:hAnsi="Calibri"/>
                <w:b/>
                <w:color w:val="0F172A"/>
                <w:sz w:val="18"/>
              </w:rPr>
              <w:t>Engagement total</w:t>
            </w:r>
          </w:p>
        </w:tc>
        <w:tc>
          <w:tcPr>
            <w:tcW w:type="dxa" w:w="1949"/>
          </w:tcPr>
          <w:p>
            <w:r/>
            <w:r>
              <w:rPr>
                <w:rFonts w:ascii="Calibri" w:hAnsi="Calibri"/>
                <w:b/>
                <w:color w:val="0F172A"/>
                <w:sz w:val="18"/>
              </w:rPr>
              <w:t>21</w:t>
            </w:r>
          </w:p>
        </w:tc>
        <w:tc>
          <w:tcPr>
            <w:tcW w:type="dxa" w:w="1949"/>
          </w:tcPr>
          <w:p>
            <w:r/>
            <w:r>
              <w:rPr>
                <w:rFonts w:ascii="Calibri" w:hAnsi="Calibri"/>
                <w:color w:val="0F172A"/>
                <w:sz w:val="18"/>
              </w:rPr>
              <w:t>—</w:t>
            </w:r>
          </w:p>
        </w:tc>
        <w:tc>
          <w:tcPr>
            <w:tcW w:type="dxa" w:w="1949"/>
          </w:tcPr>
          <w:p>
            <w:r/>
            <w:r>
              <w:rPr>
                <w:rFonts w:ascii="Calibri" w:hAnsi="Calibri"/>
                <w:b/>
                <w:color w:val="0F172A"/>
                <w:sz w:val="18"/>
              </w:rPr>
              <w:t>~2.95 FTE</w:t>
            </w:r>
          </w:p>
        </w:tc>
        <w:tc>
          <w:tcPr>
            <w:tcW w:type="dxa" w:w="1949"/>
          </w:tcPr>
          <w:p>
            <w:r/>
            <w:r>
              <w:rPr>
                <w:rFonts w:ascii="Calibri" w:hAnsi="Calibri"/>
                <w:b/>
                <w:color w:val="0F172A"/>
                <w:sz w:val="18"/>
              </w:rPr>
              <w:t>35.4</w:t>
            </w:r>
          </w:p>
        </w:tc>
      </w:tr>
    </w:tbl>
    <w:p/>
    <w:p>
      <w:r>
        <w:rPr>
          <w:rFonts w:ascii="Calibri" w:hAnsi="Calibri"/>
          <w:b/>
          <w:sz w:val="22"/>
        </w:rPr>
        <w:t>GB utilisation profile over 12 weeks:</w:t>
      </w:r>
    </w:p>
    <w:tbl>
      <w:tblPr>
        <w:tblStyle w:val="LightGrid-Accent1"/>
        <w:tblW w:type="auto" w:w="0"/>
        <w:tblLook w:firstColumn="1" w:firstRow="1" w:lastColumn="0" w:lastRow="0" w:noHBand="0" w:noVBand="1" w:val="04A0"/>
      </w:tblPr>
      <w:tblGrid>
        <w:gridCol w:w="750"/>
        <w:gridCol w:w="750"/>
        <w:gridCol w:w="750"/>
        <w:gridCol w:w="750"/>
        <w:gridCol w:w="750"/>
        <w:gridCol w:w="750"/>
        <w:gridCol w:w="750"/>
        <w:gridCol w:w="750"/>
        <w:gridCol w:w="750"/>
        <w:gridCol w:w="750"/>
        <w:gridCol w:w="750"/>
        <w:gridCol w:w="750"/>
        <w:gridCol w:w="750"/>
      </w:tblGrid>
      <w:tr>
        <w:tc>
          <w:tcPr>
            <w:tcW w:type="dxa" w:w="750"/>
            <w:shd w:val="clear" w:color="auto" w:fill="1E40AF"/>
          </w:tcPr>
          <w:p>
            <w:r/>
            <w:r>
              <w:rPr>
                <w:rFonts w:ascii="Calibri" w:hAnsi="Calibri"/>
                <w:b/>
                <w:color w:val="FFFFFF"/>
                <w:sz w:val="20"/>
              </w:rPr>
              <w:t>Week</w:t>
            </w:r>
          </w:p>
        </w:tc>
        <w:tc>
          <w:tcPr>
            <w:tcW w:type="dxa" w:w="750"/>
            <w:shd w:val="clear" w:color="auto" w:fill="1E40AF"/>
          </w:tcPr>
          <w:p>
            <w:r/>
            <w:r>
              <w:rPr>
                <w:rFonts w:ascii="Calibri" w:hAnsi="Calibri"/>
                <w:b/>
                <w:color w:val="FFFFFF"/>
                <w:sz w:val="20"/>
              </w:rPr>
              <w:t>1</w:t>
            </w:r>
          </w:p>
        </w:tc>
        <w:tc>
          <w:tcPr>
            <w:tcW w:type="dxa" w:w="750"/>
            <w:shd w:val="clear" w:color="auto" w:fill="1E40AF"/>
          </w:tcPr>
          <w:p>
            <w:r/>
            <w:r>
              <w:rPr>
                <w:rFonts w:ascii="Calibri" w:hAnsi="Calibri"/>
                <w:b/>
                <w:color w:val="FFFFFF"/>
                <w:sz w:val="20"/>
              </w:rPr>
              <w:t>2</w:t>
            </w:r>
          </w:p>
        </w:tc>
        <w:tc>
          <w:tcPr>
            <w:tcW w:type="dxa" w:w="750"/>
            <w:shd w:val="clear" w:color="auto" w:fill="1E40AF"/>
          </w:tcPr>
          <w:p>
            <w:r/>
            <w:r>
              <w:rPr>
                <w:rFonts w:ascii="Calibri" w:hAnsi="Calibri"/>
                <w:b/>
                <w:color w:val="FFFFFF"/>
                <w:sz w:val="20"/>
              </w:rPr>
              <w:t>3</w:t>
            </w:r>
          </w:p>
        </w:tc>
        <w:tc>
          <w:tcPr>
            <w:tcW w:type="dxa" w:w="750"/>
            <w:shd w:val="clear" w:color="auto" w:fill="1E40AF"/>
          </w:tcPr>
          <w:p>
            <w:r/>
            <w:r>
              <w:rPr>
                <w:rFonts w:ascii="Calibri" w:hAnsi="Calibri"/>
                <w:b/>
                <w:color w:val="FFFFFF"/>
                <w:sz w:val="20"/>
              </w:rPr>
              <w:t>4</w:t>
            </w:r>
          </w:p>
        </w:tc>
        <w:tc>
          <w:tcPr>
            <w:tcW w:type="dxa" w:w="750"/>
            <w:shd w:val="clear" w:color="auto" w:fill="1E40AF"/>
          </w:tcPr>
          <w:p>
            <w:r/>
            <w:r>
              <w:rPr>
                <w:rFonts w:ascii="Calibri" w:hAnsi="Calibri"/>
                <w:b/>
                <w:color w:val="FFFFFF"/>
                <w:sz w:val="20"/>
              </w:rPr>
              <w:t>5</w:t>
            </w:r>
          </w:p>
        </w:tc>
        <w:tc>
          <w:tcPr>
            <w:tcW w:type="dxa" w:w="750"/>
            <w:shd w:val="clear" w:color="auto" w:fill="1E40AF"/>
          </w:tcPr>
          <w:p>
            <w:r/>
            <w:r>
              <w:rPr>
                <w:rFonts w:ascii="Calibri" w:hAnsi="Calibri"/>
                <w:b/>
                <w:color w:val="FFFFFF"/>
                <w:sz w:val="20"/>
              </w:rPr>
              <w:t>6</w:t>
            </w:r>
          </w:p>
        </w:tc>
        <w:tc>
          <w:tcPr>
            <w:tcW w:type="dxa" w:w="750"/>
            <w:shd w:val="clear" w:color="auto" w:fill="1E40AF"/>
          </w:tcPr>
          <w:p>
            <w:r/>
            <w:r>
              <w:rPr>
                <w:rFonts w:ascii="Calibri" w:hAnsi="Calibri"/>
                <w:b/>
                <w:color w:val="FFFFFF"/>
                <w:sz w:val="20"/>
              </w:rPr>
              <w:t>7</w:t>
            </w:r>
          </w:p>
        </w:tc>
        <w:tc>
          <w:tcPr>
            <w:tcW w:type="dxa" w:w="750"/>
            <w:shd w:val="clear" w:color="auto" w:fill="1E40AF"/>
          </w:tcPr>
          <w:p>
            <w:r/>
            <w:r>
              <w:rPr>
                <w:rFonts w:ascii="Calibri" w:hAnsi="Calibri"/>
                <w:b/>
                <w:color w:val="FFFFFF"/>
                <w:sz w:val="20"/>
              </w:rPr>
              <w:t>8</w:t>
            </w:r>
          </w:p>
        </w:tc>
        <w:tc>
          <w:tcPr>
            <w:tcW w:type="dxa" w:w="750"/>
            <w:shd w:val="clear" w:color="auto" w:fill="1E40AF"/>
          </w:tcPr>
          <w:p>
            <w:r/>
            <w:r>
              <w:rPr>
                <w:rFonts w:ascii="Calibri" w:hAnsi="Calibri"/>
                <w:b/>
                <w:color w:val="FFFFFF"/>
                <w:sz w:val="20"/>
              </w:rPr>
              <w:t>9</w:t>
            </w:r>
          </w:p>
        </w:tc>
        <w:tc>
          <w:tcPr>
            <w:tcW w:type="dxa" w:w="750"/>
            <w:shd w:val="clear" w:color="auto" w:fill="1E40AF"/>
          </w:tcPr>
          <w:p>
            <w:r/>
            <w:r>
              <w:rPr>
                <w:rFonts w:ascii="Calibri" w:hAnsi="Calibri"/>
                <w:b/>
                <w:color w:val="FFFFFF"/>
                <w:sz w:val="20"/>
              </w:rPr>
              <w:t>10</w:t>
            </w:r>
          </w:p>
        </w:tc>
        <w:tc>
          <w:tcPr>
            <w:tcW w:type="dxa" w:w="750"/>
            <w:shd w:val="clear" w:color="auto" w:fill="1E40AF"/>
          </w:tcPr>
          <w:p>
            <w:r/>
            <w:r>
              <w:rPr>
                <w:rFonts w:ascii="Calibri" w:hAnsi="Calibri"/>
                <w:b/>
                <w:color w:val="FFFFFF"/>
                <w:sz w:val="20"/>
              </w:rPr>
              <w:t>11</w:t>
            </w:r>
          </w:p>
        </w:tc>
        <w:tc>
          <w:tcPr>
            <w:tcW w:type="dxa" w:w="750"/>
            <w:shd w:val="clear" w:color="auto" w:fill="1E40AF"/>
          </w:tcPr>
          <w:p>
            <w:r/>
            <w:r>
              <w:rPr>
                <w:rFonts w:ascii="Calibri" w:hAnsi="Calibri"/>
                <w:b/>
                <w:color w:val="FFFFFF"/>
                <w:sz w:val="20"/>
              </w:rPr>
              <w:t>12</w:t>
            </w:r>
          </w:p>
        </w:tc>
      </w:tr>
      <w:tr>
        <w:tc>
          <w:tcPr>
            <w:tcW w:type="dxa" w:w="750"/>
          </w:tcPr>
          <w:p>
            <w:r/>
            <w:r>
              <w:rPr>
                <w:rFonts w:ascii="Calibri" w:hAnsi="Calibri"/>
                <w:color w:val="0F172A"/>
                <w:sz w:val="18"/>
              </w:rPr>
              <w:t>Track A load</w:t>
            </w:r>
          </w:p>
        </w:tc>
        <w:tc>
          <w:tcPr>
            <w:tcW w:type="dxa" w:w="750"/>
          </w:tcPr>
          <w:p>
            <w:r/>
            <w:r>
              <w:rPr>
                <w:rFonts w:ascii="Calibri" w:hAnsi="Calibri"/>
                <w:color w:val="0F172A"/>
                <w:sz w:val="18"/>
              </w:rPr>
              <w:t>80%</w:t>
            </w:r>
          </w:p>
        </w:tc>
        <w:tc>
          <w:tcPr>
            <w:tcW w:type="dxa" w:w="750"/>
          </w:tcPr>
          <w:p>
            <w:r/>
            <w:r>
              <w:rPr>
                <w:rFonts w:ascii="Calibri" w:hAnsi="Calibri"/>
                <w:color w:val="0F172A"/>
                <w:sz w:val="18"/>
              </w:rPr>
              <w:t>90%</w:t>
            </w:r>
          </w:p>
        </w:tc>
        <w:tc>
          <w:tcPr>
            <w:tcW w:type="dxa" w:w="750"/>
          </w:tcPr>
          <w:p>
            <w:r/>
            <w:r>
              <w:rPr>
                <w:rFonts w:ascii="Calibri" w:hAnsi="Calibri"/>
                <w:color w:val="0F172A"/>
                <w:sz w:val="18"/>
              </w:rPr>
              <w:t>100%</w:t>
            </w:r>
          </w:p>
        </w:tc>
        <w:tc>
          <w:tcPr>
            <w:tcW w:type="dxa" w:w="750"/>
          </w:tcPr>
          <w:p>
            <w:r/>
            <w:r>
              <w:rPr>
                <w:rFonts w:ascii="Calibri" w:hAnsi="Calibri"/>
                <w:color w:val="0F172A"/>
                <w:sz w:val="18"/>
              </w:rPr>
              <w:t>100%</w:t>
            </w:r>
          </w:p>
        </w:tc>
        <w:tc>
          <w:tcPr>
            <w:tcW w:type="dxa" w:w="750"/>
          </w:tcPr>
          <w:p>
            <w:r/>
            <w:r>
              <w:rPr>
                <w:rFonts w:ascii="Calibri" w:hAnsi="Calibri"/>
                <w:color w:val="0F172A"/>
                <w:sz w:val="18"/>
              </w:rPr>
              <w:t>100%</w:t>
            </w:r>
          </w:p>
        </w:tc>
        <w:tc>
          <w:tcPr>
            <w:tcW w:type="dxa" w:w="750"/>
          </w:tcPr>
          <w:p>
            <w:r/>
            <w:r>
              <w:rPr>
                <w:rFonts w:ascii="Calibri" w:hAnsi="Calibri"/>
                <w:color w:val="0F172A"/>
                <w:sz w:val="18"/>
              </w:rPr>
              <w:t>100%</w:t>
            </w:r>
          </w:p>
        </w:tc>
        <w:tc>
          <w:tcPr>
            <w:tcW w:type="dxa" w:w="750"/>
          </w:tcPr>
          <w:p>
            <w:r/>
            <w:r>
              <w:rPr>
                <w:rFonts w:ascii="Calibri" w:hAnsi="Calibri"/>
                <w:color w:val="0F172A"/>
                <w:sz w:val="18"/>
              </w:rPr>
              <w:t>100%</w:t>
            </w:r>
          </w:p>
        </w:tc>
        <w:tc>
          <w:tcPr>
            <w:tcW w:type="dxa" w:w="750"/>
          </w:tcPr>
          <w:p>
            <w:r/>
            <w:r>
              <w:rPr>
                <w:rFonts w:ascii="Calibri" w:hAnsi="Calibri"/>
                <w:color w:val="0F172A"/>
                <w:sz w:val="18"/>
              </w:rPr>
              <w:t>100%</w:t>
            </w:r>
          </w:p>
        </w:tc>
        <w:tc>
          <w:tcPr>
            <w:tcW w:type="dxa" w:w="750"/>
          </w:tcPr>
          <w:p>
            <w:r/>
            <w:r>
              <w:rPr>
                <w:rFonts w:ascii="Calibri" w:hAnsi="Calibri"/>
                <w:color w:val="0F172A"/>
                <w:sz w:val="18"/>
              </w:rPr>
              <w:t>100%</w:t>
            </w:r>
          </w:p>
        </w:tc>
        <w:tc>
          <w:tcPr>
            <w:tcW w:type="dxa" w:w="750"/>
          </w:tcPr>
          <w:p>
            <w:r/>
            <w:r>
              <w:rPr>
                <w:rFonts w:ascii="Calibri" w:hAnsi="Calibri"/>
                <w:color w:val="0F172A"/>
                <w:sz w:val="18"/>
              </w:rPr>
              <w:t>100%</w:t>
            </w:r>
          </w:p>
        </w:tc>
        <w:tc>
          <w:tcPr>
            <w:tcW w:type="dxa" w:w="750"/>
          </w:tcPr>
          <w:p>
            <w:r/>
            <w:r>
              <w:rPr>
                <w:rFonts w:ascii="Calibri" w:hAnsi="Calibri"/>
                <w:color w:val="0F172A"/>
                <w:sz w:val="18"/>
              </w:rPr>
              <w:t>80%</w:t>
            </w:r>
          </w:p>
        </w:tc>
        <w:tc>
          <w:tcPr>
            <w:tcW w:type="dxa" w:w="750"/>
          </w:tcPr>
          <w:p>
            <w:r/>
            <w:r>
              <w:rPr>
                <w:rFonts w:ascii="Calibri" w:hAnsi="Calibri"/>
                <w:color w:val="0F172A"/>
                <w:sz w:val="18"/>
              </w:rPr>
              <w:t>60%</w:t>
            </w:r>
          </w:p>
        </w:tc>
      </w:tr>
      <w:tr>
        <w:tc>
          <w:tcPr>
            <w:tcW w:type="dxa" w:w="750"/>
          </w:tcPr>
          <w:p>
            <w:r/>
            <w:r>
              <w:rPr>
                <w:rFonts w:ascii="Calibri" w:hAnsi="Calibri"/>
                <w:color w:val="0F172A"/>
                <w:sz w:val="18"/>
              </w:rPr>
              <w:t>Track B load</w:t>
            </w:r>
          </w:p>
        </w:tc>
        <w:tc>
          <w:tcPr>
            <w:tcW w:type="dxa" w:w="750"/>
          </w:tcPr>
          <w:p>
            <w:r/>
            <w:r>
              <w:rPr>
                <w:rFonts w:ascii="Calibri" w:hAnsi="Calibri"/>
                <w:color w:val="0F172A"/>
                <w:sz w:val="18"/>
              </w:rPr>
              <w:t>80%</w:t>
            </w:r>
          </w:p>
        </w:tc>
        <w:tc>
          <w:tcPr>
            <w:tcW w:type="dxa" w:w="750"/>
          </w:tcPr>
          <w:p>
            <w:r/>
            <w:r>
              <w:rPr>
                <w:rFonts w:ascii="Calibri" w:hAnsi="Calibri"/>
                <w:color w:val="0F172A"/>
                <w:sz w:val="18"/>
              </w:rPr>
              <w:t>90%</w:t>
            </w:r>
          </w:p>
        </w:tc>
        <w:tc>
          <w:tcPr>
            <w:tcW w:type="dxa" w:w="750"/>
          </w:tcPr>
          <w:p>
            <w:r/>
            <w:r>
              <w:rPr>
                <w:rFonts w:ascii="Calibri" w:hAnsi="Calibri"/>
                <w:color w:val="0F172A"/>
                <w:sz w:val="18"/>
              </w:rPr>
              <w:t>100%</w:t>
            </w:r>
          </w:p>
        </w:tc>
        <w:tc>
          <w:tcPr>
            <w:tcW w:type="dxa" w:w="750"/>
          </w:tcPr>
          <w:p>
            <w:r/>
            <w:r>
              <w:rPr>
                <w:rFonts w:ascii="Calibri" w:hAnsi="Calibri"/>
                <w:color w:val="0F172A"/>
                <w:sz w:val="18"/>
              </w:rPr>
              <w:t>100%</w:t>
            </w:r>
          </w:p>
        </w:tc>
        <w:tc>
          <w:tcPr>
            <w:tcW w:type="dxa" w:w="750"/>
          </w:tcPr>
          <w:p>
            <w:r/>
            <w:r>
              <w:rPr>
                <w:rFonts w:ascii="Calibri" w:hAnsi="Calibri"/>
                <w:color w:val="0F172A"/>
                <w:sz w:val="18"/>
              </w:rPr>
              <w:t>100%</w:t>
            </w:r>
          </w:p>
        </w:tc>
        <w:tc>
          <w:tcPr>
            <w:tcW w:type="dxa" w:w="750"/>
          </w:tcPr>
          <w:p>
            <w:r/>
            <w:r>
              <w:rPr>
                <w:rFonts w:ascii="Calibri" w:hAnsi="Calibri"/>
                <w:color w:val="0F172A"/>
                <w:sz w:val="18"/>
              </w:rPr>
              <w:t>100%</w:t>
            </w:r>
          </w:p>
        </w:tc>
        <w:tc>
          <w:tcPr>
            <w:tcW w:type="dxa" w:w="750"/>
          </w:tcPr>
          <w:p>
            <w:r/>
            <w:r>
              <w:rPr>
                <w:rFonts w:ascii="Calibri" w:hAnsi="Calibri"/>
                <w:color w:val="0F172A"/>
                <w:sz w:val="18"/>
              </w:rPr>
              <w:t>100%</w:t>
            </w:r>
          </w:p>
        </w:tc>
        <w:tc>
          <w:tcPr>
            <w:tcW w:type="dxa" w:w="750"/>
          </w:tcPr>
          <w:p>
            <w:r/>
            <w:r>
              <w:rPr>
                <w:rFonts w:ascii="Calibri" w:hAnsi="Calibri"/>
                <w:color w:val="0F172A"/>
                <w:sz w:val="18"/>
              </w:rPr>
              <w:t>80%</w:t>
            </w:r>
          </w:p>
        </w:tc>
        <w:tc>
          <w:tcPr>
            <w:tcW w:type="dxa" w:w="750"/>
          </w:tcPr>
          <w:p>
            <w:r/>
            <w:r>
              <w:rPr>
                <w:rFonts w:ascii="Calibri" w:hAnsi="Calibri"/>
                <w:color w:val="0F172A"/>
                <w:sz w:val="18"/>
              </w:rPr>
              <w:t>80%</w:t>
            </w:r>
          </w:p>
        </w:tc>
        <w:tc>
          <w:tcPr>
            <w:tcW w:type="dxa" w:w="750"/>
          </w:tcPr>
          <w:p>
            <w:r/>
            <w:r>
              <w:rPr>
                <w:rFonts w:ascii="Calibri" w:hAnsi="Calibri"/>
                <w:color w:val="0F172A"/>
                <w:sz w:val="18"/>
              </w:rPr>
              <w:t>80%</w:t>
            </w:r>
          </w:p>
        </w:tc>
        <w:tc>
          <w:tcPr>
            <w:tcW w:type="dxa" w:w="750"/>
          </w:tcPr>
          <w:p>
            <w:r/>
            <w:r>
              <w:rPr>
                <w:rFonts w:ascii="Calibri" w:hAnsi="Calibri"/>
                <w:color w:val="0F172A"/>
                <w:sz w:val="18"/>
              </w:rPr>
              <w:t>100%</w:t>
            </w:r>
          </w:p>
        </w:tc>
        <w:tc>
          <w:tcPr>
            <w:tcW w:type="dxa" w:w="750"/>
          </w:tcPr>
          <w:p>
            <w:r/>
            <w:r>
              <w:rPr>
                <w:rFonts w:ascii="Calibri" w:hAnsi="Calibri"/>
                <w:color w:val="0F172A"/>
                <w:sz w:val="18"/>
              </w:rPr>
              <w:t>100%</w:t>
            </w:r>
          </w:p>
        </w:tc>
      </w:tr>
      <w:tr>
        <w:tc>
          <w:tcPr>
            <w:tcW w:type="dxa" w:w="750"/>
          </w:tcPr>
          <w:p>
            <w:r/>
            <w:r>
              <w:rPr>
                <w:rFonts w:ascii="Calibri" w:hAnsi="Calibri"/>
                <w:color w:val="0F172A"/>
                <w:sz w:val="18"/>
              </w:rPr>
              <w:t>Track C load</w:t>
            </w:r>
          </w:p>
        </w:tc>
        <w:tc>
          <w:tcPr>
            <w:tcW w:type="dxa" w:w="750"/>
          </w:tcPr>
          <w:p>
            <w:r/>
            <w:r>
              <w:rPr>
                <w:rFonts w:ascii="Calibri" w:hAnsi="Calibri"/>
                <w:color w:val="0F172A"/>
                <w:sz w:val="18"/>
              </w:rPr>
              <w:t>80%</w:t>
            </w:r>
          </w:p>
        </w:tc>
        <w:tc>
          <w:tcPr>
            <w:tcW w:type="dxa" w:w="750"/>
          </w:tcPr>
          <w:p>
            <w:r/>
            <w:r>
              <w:rPr>
                <w:rFonts w:ascii="Calibri" w:hAnsi="Calibri"/>
                <w:color w:val="0F172A"/>
                <w:sz w:val="18"/>
              </w:rPr>
              <w:t>90%</w:t>
            </w:r>
          </w:p>
        </w:tc>
        <w:tc>
          <w:tcPr>
            <w:tcW w:type="dxa" w:w="750"/>
          </w:tcPr>
          <w:p>
            <w:r/>
            <w:r>
              <w:rPr>
                <w:rFonts w:ascii="Calibri" w:hAnsi="Calibri"/>
                <w:color w:val="0F172A"/>
                <w:sz w:val="18"/>
              </w:rPr>
              <w:t>100%</w:t>
            </w:r>
          </w:p>
        </w:tc>
        <w:tc>
          <w:tcPr>
            <w:tcW w:type="dxa" w:w="750"/>
          </w:tcPr>
          <w:p>
            <w:r/>
            <w:r>
              <w:rPr>
                <w:rFonts w:ascii="Calibri" w:hAnsi="Calibri"/>
                <w:color w:val="0F172A"/>
                <w:sz w:val="18"/>
              </w:rPr>
              <w:t>90%</w:t>
            </w:r>
          </w:p>
        </w:tc>
        <w:tc>
          <w:tcPr>
            <w:tcW w:type="dxa" w:w="750"/>
          </w:tcPr>
          <w:p>
            <w:r/>
            <w:r>
              <w:rPr>
                <w:rFonts w:ascii="Calibri" w:hAnsi="Calibri"/>
                <w:color w:val="0F172A"/>
                <w:sz w:val="18"/>
              </w:rPr>
              <w:t>90%</w:t>
            </w:r>
          </w:p>
        </w:tc>
        <w:tc>
          <w:tcPr>
            <w:tcW w:type="dxa" w:w="750"/>
          </w:tcPr>
          <w:p>
            <w:r/>
            <w:r>
              <w:rPr>
                <w:rFonts w:ascii="Calibri" w:hAnsi="Calibri"/>
                <w:color w:val="0F172A"/>
                <w:sz w:val="18"/>
              </w:rPr>
              <w:t>100%</w:t>
            </w:r>
          </w:p>
        </w:tc>
        <w:tc>
          <w:tcPr>
            <w:tcW w:type="dxa" w:w="750"/>
          </w:tcPr>
          <w:p>
            <w:r/>
            <w:r>
              <w:rPr>
                <w:rFonts w:ascii="Calibri" w:hAnsi="Calibri"/>
                <w:color w:val="0F172A"/>
                <w:sz w:val="18"/>
              </w:rPr>
              <w:t>100%</w:t>
            </w:r>
          </w:p>
        </w:tc>
        <w:tc>
          <w:tcPr>
            <w:tcW w:type="dxa" w:w="750"/>
          </w:tcPr>
          <w:p>
            <w:r/>
            <w:r>
              <w:rPr>
                <w:rFonts w:ascii="Calibri" w:hAnsi="Calibri"/>
                <w:color w:val="0F172A"/>
                <w:sz w:val="18"/>
              </w:rPr>
              <w:t>100%</w:t>
            </w:r>
          </w:p>
        </w:tc>
        <w:tc>
          <w:tcPr>
            <w:tcW w:type="dxa" w:w="750"/>
          </w:tcPr>
          <w:p>
            <w:r/>
            <w:r>
              <w:rPr>
                <w:rFonts w:ascii="Calibri" w:hAnsi="Calibri"/>
                <w:color w:val="0F172A"/>
                <w:sz w:val="18"/>
              </w:rPr>
              <w:t>100%</w:t>
            </w:r>
          </w:p>
        </w:tc>
        <w:tc>
          <w:tcPr>
            <w:tcW w:type="dxa" w:w="750"/>
          </w:tcPr>
          <w:p>
            <w:r/>
            <w:r>
              <w:rPr>
                <w:rFonts w:ascii="Calibri" w:hAnsi="Calibri"/>
                <w:color w:val="0F172A"/>
                <w:sz w:val="18"/>
              </w:rPr>
              <w:t>100%</w:t>
            </w:r>
          </w:p>
        </w:tc>
        <w:tc>
          <w:tcPr>
            <w:tcW w:type="dxa" w:w="750"/>
          </w:tcPr>
          <w:p>
            <w:r/>
            <w:r>
              <w:rPr>
                <w:rFonts w:ascii="Calibri" w:hAnsi="Calibri"/>
                <w:color w:val="0F172A"/>
                <w:sz w:val="18"/>
              </w:rPr>
              <w:t>80%</w:t>
            </w:r>
          </w:p>
        </w:tc>
        <w:tc>
          <w:tcPr>
            <w:tcW w:type="dxa" w:w="750"/>
          </w:tcPr>
          <w:p>
            <w:r/>
            <w:r>
              <w:rPr>
                <w:rFonts w:ascii="Calibri" w:hAnsi="Calibri"/>
                <w:color w:val="0F172A"/>
                <w:sz w:val="18"/>
              </w:rPr>
              <w:t>60%</w:t>
            </w:r>
          </w:p>
        </w:tc>
      </w:tr>
    </w:tbl>
    <w:p/>
    <w:p>
      <w:r>
        <w:rPr>
          <w:rFonts w:ascii="Calibri" w:hAnsi="Calibri"/>
          <w:b/>
          <w:sz w:val="22"/>
        </w:rPr>
        <w:t>Peak load</w:t>
      </w:r>
      <w:r>
        <w:rPr>
          <w:rFonts w:ascii="Calibri" w:hAnsi="Calibri"/>
          <w:sz w:val="22"/>
        </w:rPr>
        <w:t xml:space="preserve"> is in the Analyse and Improve phases (Weeks 6–10), where all three tracks are at 100% of their 10% allocation. The MBB monitors GB load via the engagement's anomaly log; sustained over-allocation (&gt;12% per GB) triggers a Tier 2 escalation and a re-baselining of scope.</w:t>
      </w:r>
    </w:p>
    <w:p>
      <w:pPr>
        <w:pBdr>
          <w:bottom w:val="single" w:sz="6" w:space="1" w:color="CBD5E1"/>
        </w:pBdr>
      </w:pPr>
    </w:p>
    <w:p>
      <w:r>
        <w:rPr>
          <w:rFonts w:ascii="Calibri" w:hAnsi="Calibri"/>
          <w:b/>
          <w:color w:val="0F172A"/>
          <w:sz w:val="28"/>
        </w:rPr>
        <w:t>5.8 Risk-Based Decision Points</w:t>
      </w:r>
    </w:p>
    <w:p>
      <w:r>
        <w:rPr>
          <w:rFonts w:ascii="Calibri" w:hAnsi="Calibri"/>
          <w:sz w:val="22"/>
        </w:rPr>
        <w:t>The engagement has four pre-defined risk-based decision points where a go/no-go decision may be required without waiting for the next scheduled tollgate.</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shd w:val="clear" w:color="auto" w:fill="1E40AF"/>
          </w:tcPr>
          <w:p>
            <w:r/>
            <w:r>
              <w:rPr>
                <w:rFonts w:ascii="Calibri" w:hAnsi="Calibri"/>
                <w:b/>
                <w:color w:val="FFFFFF"/>
                <w:sz w:val="20"/>
              </w:rPr>
              <w:t>Decision Point</w:t>
            </w:r>
          </w:p>
        </w:tc>
        <w:tc>
          <w:tcPr>
            <w:tcW w:type="dxa" w:w="1949"/>
            <w:shd w:val="clear" w:color="auto" w:fill="1E40AF"/>
          </w:tcPr>
          <w:p>
            <w:r/>
            <w:r>
              <w:rPr>
                <w:rFonts w:ascii="Calibri" w:hAnsi="Calibri"/>
                <w:b/>
                <w:color w:val="FFFFFF"/>
                <w:sz w:val="20"/>
              </w:rPr>
              <w:t>Week</w:t>
            </w:r>
          </w:p>
        </w:tc>
        <w:tc>
          <w:tcPr>
            <w:tcW w:type="dxa" w:w="1949"/>
            <w:shd w:val="clear" w:color="auto" w:fill="1E40AF"/>
          </w:tcPr>
          <w:p>
            <w:r/>
            <w:r>
              <w:rPr>
                <w:rFonts w:ascii="Calibri" w:hAnsi="Calibri"/>
                <w:b/>
                <w:color w:val="FFFFFF"/>
                <w:sz w:val="20"/>
              </w:rPr>
              <w:t>Trigger</w:t>
            </w:r>
          </w:p>
        </w:tc>
        <w:tc>
          <w:tcPr>
            <w:tcW w:type="dxa" w:w="1949"/>
            <w:shd w:val="clear" w:color="auto" w:fill="1E40AF"/>
          </w:tcPr>
          <w:p>
            <w:r/>
            <w:r>
              <w:rPr>
                <w:rFonts w:ascii="Calibri" w:hAnsi="Calibri"/>
                <w:b/>
                <w:color w:val="FFFFFF"/>
                <w:sz w:val="20"/>
              </w:rPr>
              <w:t>Go/No-Go Authority</w:t>
            </w:r>
          </w:p>
        </w:tc>
        <w:tc>
          <w:tcPr>
            <w:tcW w:type="dxa" w:w="1949"/>
            <w:shd w:val="clear" w:color="auto" w:fill="1E40AF"/>
          </w:tcPr>
          <w:p>
            <w:r/>
            <w:r>
              <w:rPr>
                <w:rFonts w:ascii="Calibri" w:hAnsi="Calibri"/>
                <w:b/>
                <w:color w:val="FFFFFF"/>
                <w:sz w:val="20"/>
              </w:rPr>
              <w:t>Recovery Action if No-Go</w:t>
            </w:r>
          </w:p>
        </w:tc>
      </w:tr>
      <w:tr>
        <w:tc>
          <w:tcPr>
            <w:tcW w:type="dxa" w:w="1949"/>
          </w:tcPr>
          <w:p>
            <w:r/>
            <w:r>
              <w:rPr>
                <w:rFonts w:ascii="Calibri" w:hAnsi="Calibri"/>
                <w:b/>
                <w:color w:val="0F172A"/>
                <w:sz w:val="18"/>
              </w:rPr>
              <w:t>DP-1: Data Lake Feasibility</w:t>
            </w:r>
          </w:p>
        </w:tc>
        <w:tc>
          <w:tcPr>
            <w:tcW w:type="dxa" w:w="1949"/>
          </w:tcPr>
          <w:p>
            <w:r/>
            <w:r>
              <w:rPr>
                <w:rFonts w:ascii="Calibri" w:hAnsi="Calibri"/>
                <w:color w:val="0F172A"/>
                <w:sz w:val="18"/>
              </w:rPr>
              <w:t>4 (mid-Measure)</w:t>
            </w:r>
          </w:p>
        </w:tc>
        <w:tc>
          <w:tcPr>
            <w:tcW w:type="dxa" w:w="1949"/>
          </w:tcPr>
          <w:p>
            <w:r/>
            <w:r>
              <w:rPr>
                <w:rFonts w:ascii="Calibri" w:hAnsi="Calibri"/>
                <w:color w:val="0F172A"/>
                <w:sz w:val="18"/>
              </w:rPr>
              <w:t>Data lake deployment blocked by CISO team resource constraints or by anonymisation pipeline technical issues</w:t>
            </w:r>
          </w:p>
        </w:tc>
        <w:tc>
          <w:tcPr>
            <w:tcW w:type="dxa" w:w="1949"/>
          </w:tcPr>
          <w:p>
            <w:r/>
            <w:r>
              <w:rPr>
                <w:rFonts w:ascii="Calibri" w:hAnsi="Calibri"/>
                <w:color w:val="0F172A"/>
                <w:sz w:val="18"/>
              </w:rPr>
              <w:t>MBB + CISO</w:t>
            </w:r>
          </w:p>
        </w:tc>
        <w:tc>
          <w:tcPr>
            <w:tcW w:type="dxa" w:w="1949"/>
          </w:tcPr>
          <w:p>
            <w:r/>
            <w:r>
              <w:rPr>
                <w:rFonts w:ascii="Calibri" w:hAnsi="Calibri"/>
                <w:color w:val="0F172A"/>
                <w:sz w:val="18"/>
              </w:rPr>
              <w:t>Defer Track C AI agent build by 2 weeks; engagement timeline extended to 14 weeks; budget re-baselined</w:t>
            </w:r>
          </w:p>
        </w:tc>
      </w:tr>
      <w:tr>
        <w:tc>
          <w:tcPr>
            <w:tcW w:type="dxa" w:w="1949"/>
          </w:tcPr>
          <w:p>
            <w:r/>
            <w:r>
              <w:rPr>
                <w:rFonts w:ascii="Calibri" w:hAnsi="Calibri"/>
                <w:b/>
                <w:color w:val="0F172A"/>
                <w:sz w:val="18"/>
              </w:rPr>
              <w:t>DP-2: Baseline Insufficient</w:t>
            </w:r>
          </w:p>
        </w:tc>
        <w:tc>
          <w:tcPr>
            <w:tcW w:type="dxa" w:w="1949"/>
          </w:tcPr>
          <w:p>
            <w:r/>
            <w:r>
              <w:rPr>
                <w:rFonts w:ascii="Calibri" w:hAnsi="Calibri"/>
                <w:color w:val="0F172A"/>
                <w:sz w:val="18"/>
              </w:rPr>
              <w:t>5 (G2)</w:t>
            </w:r>
          </w:p>
        </w:tc>
        <w:tc>
          <w:tcPr>
            <w:tcW w:type="dxa" w:w="1949"/>
          </w:tcPr>
          <w:p>
            <w:r/>
            <w:r>
              <w:rPr>
                <w:rFonts w:ascii="Calibri" w:hAnsi="Calibri"/>
                <w:color w:val="0F172A"/>
                <w:sz w:val="18"/>
              </w:rPr>
              <w:t>Anonymised baseline measurement produces distributions with insufficient Gage R&amp;R (&lt;30% variance) or insufficient sample size for Cpk calculation</w:t>
            </w:r>
          </w:p>
        </w:tc>
        <w:tc>
          <w:tcPr>
            <w:tcW w:type="dxa" w:w="1949"/>
          </w:tcPr>
          <w:p>
            <w:r/>
            <w:r>
              <w:rPr>
                <w:rFonts w:ascii="Calibri" w:hAnsi="Calibri"/>
                <w:color w:val="0F172A"/>
                <w:sz w:val="18"/>
              </w:rPr>
              <w:t>CISO + MBB</w:t>
            </w:r>
          </w:p>
        </w:tc>
        <w:tc>
          <w:tcPr>
            <w:tcW w:type="dxa" w:w="1949"/>
          </w:tcPr>
          <w:p>
            <w:r/>
            <w:r>
              <w:rPr>
                <w:rFonts w:ascii="Calibri" w:hAnsi="Calibri"/>
                <w:color w:val="0F172A"/>
                <w:sz w:val="18"/>
              </w:rPr>
              <w:t>Extend Measure phase by 1 week; re-baseline; re-validate at G2.1</w:t>
            </w:r>
          </w:p>
        </w:tc>
      </w:tr>
      <w:tr>
        <w:tc>
          <w:tcPr>
            <w:tcW w:type="dxa" w:w="1949"/>
          </w:tcPr>
          <w:p>
            <w:r/>
            <w:r>
              <w:rPr>
                <w:rFonts w:ascii="Calibri" w:hAnsi="Calibri"/>
                <w:b/>
                <w:color w:val="0F172A"/>
                <w:sz w:val="18"/>
              </w:rPr>
              <w:t>DP-3: AI Agent Build/Buy</w:t>
            </w:r>
          </w:p>
        </w:tc>
        <w:tc>
          <w:tcPr>
            <w:tcW w:type="dxa" w:w="1949"/>
          </w:tcPr>
          <w:p>
            <w:r/>
            <w:r>
              <w:rPr>
                <w:rFonts w:ascii="Calibri" w:hAnsi="Calibri"/>
                <w:color w:val="0F172A"/>
                <w:sz w:val="18"/>
              </w:rPr>
              <w:t>5 (end-Measure)</w:t>
            </w:r>
          </w:p>
        </w:tc>
        <w:tc>
          <w:tcPr>
            <w:tcW w:type="dxa" w:w="1949"/>
          </w:tcPr>
          <w:p>
            <w:r/>
            <w:r>
              <w:rPr>
                <w:rFonts w:ascii="Calibri" w:hAnsi="Calibri"/>
                <w:color w:val="0F172A"/>
                <w:sz w:val="18"/>
              </w:rPr>
              <w:t>AI agent feasibility decision is "buy" (commercial product) but CISO procurement blocks or delays it</w:t>
            </w:r>
          </w:p>
        </w:tc>
        <w:tc>
          <w:tcPr>
            <w:tcW w:type="dxa" w:w="1949"/>
          </w:tcPr>
          <w:p>
            <w:r/>
            <w:r>
              <w:rPr>
                <w:rFonts w:ascii="Calibri" w:hAnsi="Calibri"/>
                <w:color w:val="0F172A"/>
                <w:sz w:val="18"/>
              </w:rPr>
              <w:t>CISO + MBB</w:t>
            </w:r>
          </w:p>
        </w:tc>
        <w:tc>
          <w:tcPr>
            <w:tcW w:type="dxa" w:w="1949"/>
          </w:tcPr>
          <w:p>
            <w:r/>
            <w:r>
              <w:rPr>
                <w:rFonts w:ascii="Calibri" w:hAnsi="Calibri"/>
                <w:color w:val="0F172A"/>
                <w:sz w:val="18"/>
              </w:rPr>
              <w:t>Fall back to "build" with Track C allocation adjustment; engage external AI engineering support; timeline +2 weeks</w:t>
            </w:r>
          </w:p>
        </w:tc>
      </w:tr>
      <w:tr>
        <w:tc>
          <w:tcPr>
            <w:tcW w:type="dxa" w:w="1949"/>
          </w:tcPr>
          <w:p>
            <w:r/>
            <w:r>
              <w:rPr>
                <w:rFonts w:ascii="Calibri" w:hAnsi="Calibri"/>
                <w:b/>
                <w:color w:val="0F172A"/>
                <w:sz w:val="18"/>
              </w:rPr>
              <w:t>DP-4: G4 Acceptance</w:t>
            </w:r>
          </w:p>
        </w:tc>
        <w:tc>
          <w:tcPr>
            <w:tcW w:type="dxa" w:w="1949"/>
          </w:tcPr>
          <w:p>
            <w:r/>
            <w:r>
              <w:rPr>
                <w:rFonts w:ascii="Calibri" w:hAnsi="Calibri"/>
                <w:color w:val="0F172A"/>
                <w:sz w:val="18"/>
              </w:rPr>
              <w:t>10 (G4)</w:t>
            </w:r>
          </w:p>
        </w:tc>
        <w:tc>
          <w:tcPr>
            <w:tcW w:type="dxa" w:w="1949"/>
          </w:tcPr>
          <w:p>
            <w:r/>
            <w:r>
              <w:rPr>
                <w:rFonts w:ascii="Calibri" w:hAnsi="Calibri"/>
                <w:color w:val="0F172A"/>
                <w:sz w:val="18"/>
              </w:rPr>
              <w:t>CISO rejects G4 deliverable (Poka-Yoke / SMED / AI agents not operational)</w:t>
            </w:r>
          </w:p>
        </w:tc>
        <w:tc>
          <w:tcPr>
            <w:tcW w:type="dxa" w:w="1949"/>
          </w:tcPr>
          <w:p>
            <w:r/>
            <w:r>
              <w:rPr>
                <w:rFonts w:ascii="Calibri" w:hAnsi="Calibri"/>
                <w:color w:val="0F172A"/>
                <w:sz w:val="18"/>
              </w:rPr>
              <w:t>CISO + MBB</w:t>
            </w:r>
          </w:p>
        </w:tc>
        <w:tc>
          <w:tcPr>
            <w:tcW w:type="dxa" w:w="1949"/>
          </w:tcPr>
          <w:p>
            <w:r/>
            <w:r>
              <w:rPr>
                <w:rFonts w:ascii="Calibri" w:hAnsi="Calibri"/>
                <w:color w:val="0F172A"/>
                <w:sz w:val="18"/>
              </w:rPr>
              <w:t>Extend Improve phase by 1–2 weeks; re-test; re-present at G4.1</w:t>
            </w:r>
          </w:p>
        </w:tc>
      </w:tr>
    </w:tbl>
    <w:p/>
    <w:p>
      <w:r>
        <w:rPr>
          <w:rFonts w:ascii="Calibri" w:hAnsi="Calibri"/>
          <w:b/>
          <w:sz w:val="22"/>
        </w:rPr>
        <w:t>Trigger discipline:</w:t>
      </w:r>
      <w:r>
        <w:rPr>
          <w:rFonts w:ascii="Calibri" w:hAnsi="Calibri"/>
          <w:sz w:val="22"/>
        </w:rPr>
        <w:t xml:space="preserve"> Decision points are monitored weekly. If a trigger is identified, the MBB convenes the appropriate authority within 24 hours. No decision point triggers silently.</w:t>
      </w:r>
    </w:p>
    <w:p>
      <w:pPr>
        <w:pBdr>
          <w:bottom w:val="single" w:sz="6" w:space="1" w:color="CBD5E1"/>
        </w:pBdr>
      </w:pPr>
    </w:p>
    <w:p>
      <w:r>
        <w:rPr>
          <w:rFonts w:ascii="Calibri" w:hAnsi="Calibri"/>
          <w:b/>
          <w:color w:val="0F172A"/>
          <w:sz w:val="28"/>
        </w:rPr>
        <w:t>5.9 What Section 5 Does Not Cover</w:t>
      </w:r>
    </w:p>
    <w:p>
      <w:r>
        <w:rPr>
          <w:rFonts w:ascii="Calibri" w:hAnsi="Calibri"/>
          <w:sz w:val="22"/>
        </w:rPr>
        <w:t>Section 5 is the timeline and execution plan. Subsequent sections cover:</w:t>
      </w:r>
    </w:p>
    <w:p>
      <w:pPr>
        <w:pStyle w:val="ListBullet"/>
      </w:pPr>
      <w:r>
        <w:rPr>
          <w:rFonts w:ascii="Calibri" w:hAnsi="Calibri"/>
          <w:b/>
          <w:sz w:val="22"/>
        </w:rPr>
        <w:t>§6 Continuation &amp; Standard Work</w:t>
      </w:r>
      <w:r>
        <w:rPr>
          <w:rFonts w:ascii="Calibri" w:hAnsi="Calibri"/>
          <w:sz w:val="22"/>
        </w:rPr>
        <w:t xml:space="preserve"> — Green Belt routines, Kaizen triggers, what happens after G5</w:t>
      </w:r>
    </w:p>
    <w:p>
      <w:pPr>
        <w:pStyle w:val="ListBullet"/>
      </w:pPr>
      <w:r>
        <w:rPr>
          <w:rFonts w:ascii="Calibri" w:hAnsi="Calibri"/>
          <w:b/>
          <w:sz w:val="22"/>
        </w:rPr>
        <w:t>§7 CISO Governance Cycle</w:t>
      </w:r>
      <w:r>
        <w:rPr>
          <w:rFonts w:ascii="Calibri" w:hAnsi="Calibri"/>
          <w:sz w:val="22"/>
        </w:rPr>
        <w:t xml:space="preserve"> — bi-weekly briefings, bi-annual audits, executive dashboard</w:t>
      </w:r>
    </w:p>
    <w:p>
      <w:pPr>
        <w:pStyle w:val="ListBullet"/>
      </w:pPr>
      <w:r>
        <w:rPr>
          <w:rFonts w:ascii="Calibri" w:hAnsi="Calibri"/>
          <w:b/>
          <w:sz w:val="22"/>
        </w:rPr>
        <w:t>§8 Constraints &amp; Risks</w:t>
      </w:r>
      <w:r>
        <w:rPr>
          <w:rFonts w:ascii="Calibri" w:hAnsi="Calibri"/>
          <w:sz w:val="22"/>
        </w:rPr>
        <w:t xml:space="preserve"> — data-blind, confidentiality, vendor remote access, air-gap requirement</w:t>
      </w:r>
    </w:p>
    <w:p>
      <w:pPr>
        <w:pStyle w:val="ListBullet"/>
      </w:pPr>
      <w:r>
        <w:rPr>
          <w:rFonts w:ascii="Calibri" w:hAnsi="Calibri"/>
          <w:b/>
          <w:sz w:val="22"/>
        </w:rPr>
        <w:t>Appendix A — CISO Elevator Pitch</w:t>
      </w:r>
      <w:r>
        <w:rPr>
          <w:rFonts w:ascii="Calibri" w:hAnsi="Calibri"/>
          <w:sz w:val="22"/>
        </w:rPr>
        <w:t xml:space="preserve"> — standalone</w:t>
      </w:r>
    </w:p>
    <w:p>
      <w:pPr>
        <w:pStyle w:val="ListBullet"/>
      </w:pPr>
      <w:r>
        <w:rPr>
          <w:rFonts w:ascii="Calibri" w:hAnsi="Calibri"/>
          <w:b/>
          <w:sz w:val="22"/>
        </w:rPr>
        <w:t>Appendix B — CISO Executive Dashboard Mockup</w:t>
      </w:r>
      <w:r>
        <w:rPr>
          <w:rFonts w:ascii="Calibri" w:hAnsi="Calibri"/>
          <w:sz w:val="22"/>
        </w:rPr>
        <w:t xml:space="preserve"> — standalone</w:t>
      </w:r>
    </w:p>
    <w:p>
      <w:r>
        <w:br w:type="page"/>
      </w:r>
    </w:p>
    <w:p>
      <w:r>
        <w:rPr>
          <w:rFonts w:ascii="Calibri" w:hAnsi="Calibri"/>
          <w:b/>
          <w:color w:val="1E40AF"/>
          <w:sz w:val="40"/>
        </w:rPr>
        <w:t>Section 6 — Continuation &amp; Standard Work</w:t>
      </w:r>
    </w:p>
    <w:p>
      <w:pPr>
        <w:pBdr>
          <w:bottom w:val="single" w:sz="6" w:space="1" w:color="CBD5E1"/>
        </w:pBdr>
      </w:pPr>
    </w:p>
    <w:p/>
    <w:p>
      <w:r>
        <w:rPr>
          <w:rFonts w:ascii="Calibri" w:hAnsi="Calibri"/>
          <w:b/>
          <w:sz w:val="22"/>
        </w:rPr>
        <w:t>Section status:</w:t>
      </w:r>
      <w:r>
        <w:rPr>
          <w:rFonts w:ascii="Calibri" w:hAnsi="Calibri"/>
          <w:sz w:val="22"/>
        </w:rPr>
        <w:t xml:space="preserve"> Draft for review</w:t>
      </w:r>
    </w:p>
    <w:p>
      <w:r>
        <w:rPr>
          <w:rFonts w:ascii="Calibri" w:hAnsi="Calibri"/>
          <w:b/>
          <w:sz w:val="22"/>
        </w:rPr>
        <w:t>Reviewer:</w:t>
      </w:r>
      <w:r>
        <w:rPr>
          <w:rFonts w:ascii="Calibri" w:hAnsi="Calibri"/>
          <w:sz w:val="22"/>
        </w:rPr>
        <w:t xml:space="preserve"> Olivia Key (MBB)</w:t>
      </w:r>
    </w:p>
    <w:p>
      <w:r>
        <w:rPr>
          <w:rFonts w:ascii="Calibri" w:hAnsi="Calibri"/>
          <w:b/>
          <w:sz w:val="22"/>
        </w:rPr>
        <w:t>Source:</w:t>
      </w:r>
      <w:r>
        <w:rPr>
          <w:rFonts w:ascii="Calibri" w:hAnsi="Calibri"/>
          <w:sz w:val="22"/>
        </w:rPr>
        <w:t xml:space="preserve"> </w:t>
      </w:r>
      <w:r>
        <w:rPr>
          <w:rFonts w:ascii="Consolas" w:hAnsi="Consolas"/>
          <w:color w:val="334155"/>
          <w:sz w:val="20"/>
        </w:rPr>
        <w:t>context/00-original-input.md</w:t>
      </w:r>
      <w:r>
        <w:rPr>
          <w:rFonts w:ascii="Calibri" w:hAnsi="Calibri"/>
          <w:sz w:val="22"/>
        </w:rPr>
        <w:t xml:space="preserve"> §4 Implementation for Continuation, cross-referenced with §4.6 Control phase and §5.8 risk-based decision points</w:t>
      </w:r>
    </w:p>
    <w:p>
      <w:r>
        <w:rPr>
          <w:rFonts w:ascii="Calibri" w:hAnsi="Calibri"/>
          <w:b/>
          <w:sz w:val="22"/>
        </w:rPr>
        <w:t>Emphasis:</w:t>
      </w:r>
      <w:r>
        <w:rPr>
          <w:rFonts w:ascii="Calibri" w:hAnsi="Calibri"/>
          <w:sz w:val="22"/>
        </w:rPr>
        <w:t xml:space="preserve"> Standard Work that prevents project degradation after the 12-week push. Cyber-Kaizen triggers that initiate immediate response. Maturity scoring for sustained governance. Cross-site replication for the 5-site enterprise.</w:t>
      </w:r>
    </w:p>
    <w:p>
      <w:pPr>
        <w:pBdr>
          <w:bottom w:val="single" w:sz="6" w:space="1" w:color="CBD5E1"/>
        </w:pBdr>
      </w:pPr>
    </w:p>
    <w:p>
      <w:r>
        <w:rPr>
          <w:rFonts w:ascii="Calibri" w:hAnsi="Calibri"/>
          <w:b/>
          <w:color w:val="0F172A"/>
          <w:sz w:val="28"/>
        </w:rPr>
        <w:t>6.1 Continuation Philosophy</w:t>
      </w:r>
    </w:p>
    <w:p>
      <w:r>
        <w:rPr>
          <w:rFonts w:ascii="Calibri" w:hAnsi="Calibri"/>
          <w:sz w:val="22"/>
        </w:rPr>
        <w:t xml:space="preserve">The 12-week engagement (Weeks 1–12) is the </w:t>
      </w:r>
      <w:r>
        <w:rPr>
          <w:rFonts w:ascii="Calibri" w:hAnsi="Calibri"/>
          <w:b/>
          <w:sz w:val="22"/>
        </w:rPr>
        <w:t>initial structural push</w:t>
      </w:r>
      <w:r>
        <w:rPr>
          <w:rFonts w:ascii="Calibri" w:hAnsi="Calibri"/>
          <w:sz w:val="22"/>
        </w:rPr>
        <w:t xml:space="preserve">. The continuation phase (Week 13 onwards) is what makes the engagement </w:t>
      </w:r>
      <w:r>
        <w:rPr>
          <w:rFonts w:ascii="Calibri" w:hAnsi="Calibri"/>
          <w:b/>
          <w:sz w:val="22"/>
        </w:rPr>
        <w:t>operational infrastructure</w:t>
      </w:r>
      <w:r>
        <w:rPr>
          <w:rFonts w:ascii="Calibri" w:hAnsi="Calibri"/>
          <w:sz w:val="22"/>
        </w:rPr>
        <w:t xml:space="preserve"> rather than a one-time project. Without continuation, the engagement is vulnerable to entropy relapse — exactly the failure mode the OSI whitepaper's Layer 4 (Governance &amp; Entropy Defence) was designed to prevent.</w:t>
      </w:r>
    </w:p>
    <w:p>
      <w:r>
        <w:rPr>
          <w:rFonts w:ascii="Calibri" w:hAnsi="Calibri"/>
          <w:b/>
          <w:sz w:val="22"/>
        </w:rPr>
        <w:t>Three continuation disciplines:</w:t>
      </w:r>
    </w:p>
    <w:p>
      <w:pPr>
        <w:pStyle w:val="ListNumber"/>
      </w:pPr>
      <w:r>
        <w:rPr>
          <w:rFonts w:ascii="Calibri" w:hAnsi="Calibri"/>
          <w:b/>
          <w:sz w:val="22"/>
        </w:rPr>
        <w:t>Green Belt Standard Work</w:t>
      </w:r>
      <w:r>
        <w:rPr>
          <w:rFonts w:ascii="Calibri" w:hAnsi="Calibri"/>
          <w:sz w:val="22"/>
        </w:rPr>
        <w:t xml:space="preserve"> — embedded weekly / monthly / quarterly / annual routines that the 19 GBs execute at 10% weekly capacity</w:t>
      </w:r>
    </w:p>
    <w:p>
      <w:pPr>
        <w:pStyle w:val="ListNumber"/>
      </w:pPr>
      <w:r>
        <w:rPr>
          <w:rFonts w:ascii="Calibri" w:hAnsi="Calibri"/>
          <w:b/>
          <w:sz w:val="22"/>
        </w:rPr>
        <w:t>Cyber-Kaizen Triggers</w:t>
      </w:r>
      <w:r>
        <w:rPr>
          <w:rFonts w:ascii="Calibri" w:hAnsi="Calibri"/>
          <w:sz w:val="22"/>
        </w:rPr>
        <w:t xml:space="preserve"> — pre-defined conditions that initiate immediate improvement events without waiting for scheduled reviews</w:t>
      </w:r>
    </w:p>
    <w:p>
      <w:pPr>
        <w:pStyle w:val="ListNumber"/>
      </w:pPr>
      <w:r>
        <w:rPr>
          <w:rFonts w:ascii="Calibri" w:hAnsi="Calibri"/>
          <w:b/>
          <w:sz w:val="22"/>
        </w:rPr>
        <w:t>Maturity Scoring</w:t>
      </w:r>
      <w:r>
        <w:rPr>
          <w:rFonts w:ascii="Calibri" w:hAnsi="Calibri"/>
          <w:sz w:val="22"/>
        </w:rPr>
        <w:t xml:space="preserve"> — quarterly self-assessment against a 5-level model; capability regression triggers escalation</w:t>
      </w:r>
    </w:p>
    <w:p>
      <w:r>
        <w:rPr>
          <w:rFonts w:ascii="Calibri" w:hAnsi="Calibri"/>
          <w:sz w:val="22"/>
        </w:rPr>
        <w:t>The continuation phase is governed by §7 (CISO Governance Cycle) and protected by §8 (Constraints &amp; Risks).</w:t>
      </w:r>
    </w:p>
    <w:p>
      <w:pPr>
        <w:pBdr>
          <w:bottom w:val="single" w:sz="6" w:space="1" w:color="CBD5E1"/>
        </w:pBdr>
      </w:pPr>
    </w:p>
    <w:p>
      <w:r>
        <w:rPr>
          <w:rFonts w:ascii="Calibri" w:hAnsi="Calibri"/>
          <w:b/>
          <w:color w:val="0F172A"/>
          <w:sz w:val="28"/>
        </w:rPr>
        <w:t>6.2 Green Belt Standard Work</w:t>
      </w:r>
    </w:p>
    <w:p>
      <w:r>
        <w:rPr>
          <w:rFonts w:ascii="Calibri" w:hAnsi="Calibri"/>
          <w:sz w:val="22"/>
        </w:rPr>
        <w:t>The Standard Work is the operational backbone of the continuation phase. Each routine has explicit cadence, owner, activity, deliverable, time required, and escalation.</w:t>
      </w:r>
    </w:p>
    <w:p>
      <w:r>
        <w:rPr>
          <w:rFonts w:ascii="Calibri" w:hAnsi="Calibri"/>
          <w:b/>
          <w:color w:val="0F172A"/>
          <w:sz w:val="24"/>
        </w:rPr>
        <w:t>6.2.1 Weekly Routines (1–2 hours per GB)</w:t>
      </w:r>
    </w:p>
    <w:tbl>
      <w:tblPr>
        <w:tblStyle w:val="LightGrid-Accent1"/>
        <w:tblW w:type="auto" w:w="0"/>
        <w:tblLook w:firstColumn="1" w:firstRow="1" w:lastColumn="0" w:lastRow="0" w:noHBand="0" w:noVBand="1" w:val="04A0"/>
      </w:tblPr>
      <w:tblGrid>
        <w:gridCol w:w="1624"/>
        <w:gridCol w:w="1624"/>
        <w:gridCol w:w="1624"/>
        <w:gridCol w:w="1624"/>
        <w:gridCol w:w="1624"/>
        <w:gridCol w:w="1624"/>
      </w:tblGrid>
      <w:tr>
        <w:tc>
          <w:tcPr>
            <w:tcW w:type="dxa" w:w="1624"/>
            <w:shd w:val="clear" w:color="auto" w:fill="1E40AF"/>
          </w:tcPr>
          <w:p>
            <w:r/>
            <w:r>
              <w:rPr>
                <w:rFonts w:ascii="Calibri" w:hAnsi="Calibri"/>
                <w:b/>
                <w:color w:val="FFFFFF"/>
                <w:sz w:val="20"/>
              </w:rPr>
              <w:t>Routine</w:t>
            </w:r>
          </w:p>
        </w:tc>
        <w:tc>
          <w:tcPr>
            <w:tcW w:type="dxa" w:w="1624"/>
            <w:shd w:val="clear" w:color="auto" w:fill="1E40AF"/>
          </w:tcPr>
          <w:p>
            <w:r/>
            <w:r>
              <w:rPr>
                <w:rFonts w:ascii="Calibri" w:hAnsi="Calibri"/>
                <w:b/>
                <w:color w:val="FFFFFF"/>
                <w:sz w:val="20"/>
              </w:rPr>
              <w:t>Owner</w:t>
            </w:r>
          </w:p>
        </w:tc>
        <w:tc>
          <w:tcPr>
            <w:tcW w:type="dxa" w:w="1624"/>
            <w:shd w:val="clear" w:color="auto" w:fill="1E40AF"/>
          </w:tcPr>
          <w:p>
            <w:r/>
            <w:r>
              <w:rPr>
                <w:rFonts w:ascii="Calibri" w:hAnsi="Calibri"/>
                <w:b/>
                <w:color w:val="FFFFFF"/>
                <w:sz w:val="20"/>
              </w:rPr>
              <w:t>Activity</w:t>
            </w:r>
          </w:p>
        </w:tc>
        <w:tc>
          <w:tcPr>
            <w:tcW w:type="dxa" w:w="1624"/>
            <w:shd w:val="clear" w:color="auto" w:fill="1E40AF"/>
          </w:tcPr>
          <w:p>
            <w:r/>
            <w:r>
              <w:rPr>
                <w:rFonts w:ascii="Calibri" w:hAnsi="Calibri"/>
                <w:b/>
                <w:color w:val="FFFFFF"/>
                <w:sz w:val="20"/>
              </w:rPr>
              <w:t>Deliverable</w:t>
            </w:r>
          </w:p>
        </w:tc>
        <w:tc>
          <w:tcPr>
            <w:tcW w:type="dxa" w:w="1624"/>
            <w:shd w:val="clear" w:color="auto" w:fill="1E40AF"/>
          </w:tcPr>
          <w:p>
            <w:r/>
            <w:r>
              <w:rPr>
                <w:rFonts w:ascii="Calibri" w:hAnsi="Calibri"/>
                <w:b/>
                <w:color w:val="FFFFFF"/>
                <w:sz w:val="20"/>
              </w:rPr>
              <w:t>Time</w:t>
            </w:r>
          </w:p>
        </w:tc>
        <w:tc>
          <w:tcPr>
            <w:tcW w:type="dxa" w:w="1624"/>
            <w:shd w:val="clear" w:color="auto" w:fill="1E40AF"/>
          </w:tcPr>
          <w:p>
            <w:r/>
            <w:r>
              <w:rPr>
                <w:rFonts w:ascii="Calibri" w:hAnsi="Calibri"/>
                <w:b/>
                <w:color w:val="FFFFFF"/>
                <w:sz w:val="20"/>
              </w:rPr>
              <w:t>Escalation if missed</w:t>
            </w:r>
          </w:p>
        </w:tc>
      </w:tr>
      <w:tr>
        <w:tc>
          <w:tcPr>
            <w:tcW w:type="dxa" w:w="1624"/>
          </w:tcPr>
          <w:p>
            <w:r/>
            <w:r>
              <w:rPr>
                <w:rFonts w:ascii="Calibri" w:hAnsi="Calibri"/>
                <w:color w:val="0F172A"/>
                <w:sz w:val="18"/>
              </w:rPr>
              <w:t>SPC chart review</w:t>
            </w:r>
          </w:p>
        </w:tc>
        <w:tc>
          <w:tcPr>
            <w:tcW w:type="dxa" w:w="1624"/>
          </w:tcPr>
          <w:p>
            <w:r/>
            <w:r>
              <w:rPr>
                <w:rFonts w:ascii="Calibri" w:hAnsi="Calibri"/>
                <w:color w:val="0F172A"/>
                <w:sz w:val="18"/>
              </w:rPr>
              <w:t>Track B GBs (7)</w:t>
            </w:r>
          </w:p>
        </w:tc>
        <w:tc>
          <w:tcPr>
            <w:tcW w:type="dxa" w:w="1624"/>
          </w:tcPr>
          <w:p>
            <w:r/>
            <w:r>
              <w:rPr>
                <w:rFonts w:ascii="Calibri" w:hAnsi="Calibri"/>
                <w:color w:val="0F172A"/>
                <w:sz w:val="18"/>
              </w:rPr>
              <w:t>Review all deployed SPC charts; identify any points outside UCL</w:t>
            </w:r>
          </w:p>
        </w:tc>
        <w:tc>
          <w:tcPr>
            <w:tcW w:type="dxa" w:w="1624"/>
          </w:tcPr>
          <w:p>
            <w:r/>
            <w:r>
              <w:rPr>
                <w:rFonts w:ascii="Calibri" w:hAnsi="Calibri"/>
                <w:color w:val="0F172A"/>
                <w:sz w:val="18"/>
              </w:rPr>
              <w:t>Weekly SPC log entry; UCL breach investigation if applicable</w:t>
            </w:r>
          </w:p>
        </w:tc>
        <w:tc>
          <w:tcPr>
            <w:tcW w:type="dxa" w:w="1624"/>
          </w:tcPr>
          <w:p>
            <w:r/>
            <w:r>
              <w:rPr>
                <w:rFonts w:ascii="Calibri" w:hAnsi="Calibri"/>
                <w:color w:val="0F172A"/>
                <w:sz w:val="18"/>
              </w:rPr>
              <w:t>30 min</w:t>
            </w:r>
          </w:p>
        </w:tc>
        <w:tc>
          <w:tcPr>
            <w:tcW w:type="dxa" w:w="1624"/>
          </w:tcPr>
          <w:p>
            <w:r/>
            <w:r>
              <w:rPr>
                <w:rFonts w:ascii="Calibri" w:hAnsi="Calibri"/>
                <w:color w:val="0F172A"/>
                <w:sz w:val="18"/>
              </w:rPr>
              <w:t>Tier 1 to Track Lead within 24h</w:t>
            </w:r>
          </w:p>
        </w:tc>
      </w:tr>
      <w:tr>
        <w:tc>
          <w:tcPr>
            <w:tcW w:type="dxa" w:w="1624"/>
          </w:tcPr>
          <w:p>
            <w:r/>
            <w:r>
              <w:rPr>
                <w:rFonts w:ascii="Calibri" w:hAnsi="Calibri"/>
                <w:color w:val="0F172A"/>
                <w:sz w:val="18"/>
              </w:rPr>
              <w:t>5-Why on UCL breach</w:t>
            </w:r>
          </w:p>
        </w:tc>
        <w:tc>
          <w:tcPr>
            <w:tcW w:type="dxa" w:w="1624"/>
          </w:tcPr>
          <w:p>
            <w:r/>
            <w:r>
              <w:rPr>
                <w:rFonts w:ascii="Calibri" w:hAnsi="Calibri"/>
                <w:color w:val="0F172A"/>
                <w:sz w:val="18"/>
              </w:rPr>
              <w:t>Track B GB (assigned)</w:t>
            </w:r>
          </w:p>
        </w:tc>
        <w:tc>
          <w:tcPr>
            <w:tcW w:type="dxa" w:w="1624"/>
          </w:tcPr>
          <w:p>
            <w:r/>
            <w:r>
              <w:rPr>
                <w:rFonts w:ascii="Calibri" w:hAnsi="Calibri"/>
                <w:color w:val="0F172A"/>
                <w:sz w:val="18"/>
              </w:rPr>
              <w:t>If UCL breach detected: lead 5-Why analysis with Track Lead</w:t>
            </w:r>
          </w:p>
        </w:tc>
        <w:tc>
          <w:tcPr>
            <w:tcW w:type="dxa" w:w="1624"/>
          </w:tcPr>
          <w:p>
            <w:r/>
            <w:r>
              <w:rPr>
                <w:rFonts w:ascii="Calibri" w:hAnsi="Calibri"/>
                <w:color w:val="0F172A"/>
                <w:sz w:val="18"/>
              </w:rPr>
              <w:t>5-Why A3 document</w:t>
            </w:r>
          </w:p>
        </w:tc>
        <w:tc>
          <w:tcPr>
            <w:tcW w:type="dxa" w:w="1624"/>
          </w:tcPr>
          <w:p>
            <w:r/>
            <w:r>
              <w:rPr>
                <w:rFonts w:ascii="Calibri" w:hAnsi="Calibri"/>
                <w:color w:val="0F172A"/>
                <w:sz w:val="18"/>
              </w:rPr>
              <w:t>1–2 h</w:t>
            </w:r>
          </w:p>
        </w:tc>
        <w:tc>
          <w:tcPr>
            <w:tcW w:type="dxa" w:w="1624"/>
          </w:tcPr>
          <w:p>
            <w:r/>
            <w:r>
              <w:rPr>
                <w:rFonts w:ascii="Calibri" w:hAnsi="Calibri"/>
                <w:color w:val="0F172A"/>
                <w:sz w:val="18"/>
              </w:rPr>
              <w:t>Tier 2 to MBB if root cause is structural</w:t>
            </w:r>
          </w:p>
        </w:tc>
      </w:tr>
      <w:tr>
        <w:tc>
          <w:tcPr>
            <w:tcW w:type="dxa" w:w="1624"/>
          </w:tcPr>
          <w:p>
            <w:r/>
            <w:r>
              <w:rPr>
                <w:rFonts w:ascii="Calibri" w:hAnsi="Calibri"/>
                <w:color w:val="0F172A"/>
                <w:sz w:val="18"/>
              </w:rPr>
              <w:t>Access log review</w:t>
            </w:r>
          </w:p>
        </w:tc>
        <w:tc>
          <w:tcPr>
            <w:tcW w:type="dxa" w:w="1624"/>
          </w:tcPr>
          <w:p>
            <w:r/>
            <w:r>
              <w:rPr>
                <w:rFonts w:ascii="Calibri" w:hAnsi="Calibri"/>
                <w:color w:val="0F172A"/>
                <w:sz w:val="18"/>
              </w:rPr>
              <w:t>Track A GBs (6)</w:t>
            </w:r>
          </w:p>
        </w:tc>
        <w:tc>
          <w:tcPr>
            <w:tcW w:type="dxa" w:w="1624"/>
          </w:tcPr>
          <w:p>
            <w:r/>
            <w:r>
              <w:rPr>
                <w:rFonts w:ascii="Calibri" w:hAnsi="Calibri"/>
                <w:color w:val="0F172A"/>
                <w:sz w:val="18"/>
              </w:rPr>
              <w:t>Review anonymised access logs; flag any anomalous query pattern</w:t>
            </w:r>
          </w:p>
        </w:tc>
        <w:tc>
          <w:tcPr>
            <w:tcW w:type="dxa" w:w="1624"/>
          </w:tcPr>
          <w:p>
            <w:r/>
            <w:r>
              <w:rPr>
                <w:rFonts w:ascii="Calibri" w:hAnsi="Calibri"/>
                <w:color w:val="0F172A"/>
                <w:sz w:val="18"/>
              </w:rPr>
              <w:t>Weekly access review note</w:t>
            </w:r>
          </w:p>
        </w:tc>
        <w:tc>
          <w:tcPr>
            <w:tcW w:type="dxa" w:w="1624"/>
          </w:tcPr>
          <w:p>
            <w:r/>
            <w:r>
              <w:rPr>
                <w:rFonts w:ascii="Calibri" w:hAnsi="Calibri"/>
                <w:color w:val="0F172A"/>
                <w:sz w:val="18"/>
              </w:rPr>
              <w:t>30 min</w:t>
            </w:r>
          </w:p>
        </w:tc>
        <w:tc>
          <w:tcPr>
            <w:tcW w:type="dxa" w:w="1624"/>
          </w:tcPr>
          <w:p>
            <w:r/>
            <w:r>
              <w:rPr>
                <w:rFonts w:ascii="Calibri" w:hAnsi="Calibri"/>
                <w:color w:val="0F172A"/>
                <w:sz w:val="18"/>
              </w:rPr>
              <w:t>Tier 1 to Track Lead; Tier 4 if data-access breach suspected</w:t>
            </w:r>
          </w:p>
        </w:tc>
      </w:tr>
      <w:tr>
        <w:tc>
          <w:tcPr>
            <w:tcW w:type="dxa" w:w="1624"/>
          </w:tcPr>
          <w:p>
            <w:r/>
            <w:r>
              <w:rPr>
                <w:rFonts w:ascii="Calibri" w:hAnsi="Calibri"/>
                <w:color w:val="0F172A"/>
                <w:sz w:val="18"/>
              </w:rPr>
              <w:t>AI agent log review</w:t>
            </w:r>
          </w:p>
        </w:tc>
        <w:tc>
          <w:tcPr>
            <w:tcW w:type="dxa" w:w="1624"/>
          </w:tcPr>
          <w:p>
            <w:r/>
            <w:r>
              <w:rPr>
                <w:rFonts w:ascii="Calibri" w:hAnsi="Calibri"/>
                <w:color w:val="0F172A"/>
                <w:sz w:val="18"/>
              </w:rPr>
              <w:t>Track C GBs (6)</w:t>
            </w:r>
          </w:p>
        </w:tc>
        <w:tc>
          <w:tcPr>
            <w:tcW w:type="dxa" w:w="1624"/>
          </w:tcPr>
          <w:p>
            <w:r/>
            <w:r>
              <w:rPr>
                <w:rFonts w:ascii="Calibri" w:hAnsi="Calibri"/>
                <w:color w:val="0F172A"/>
                <w:sz w:val="18"/>
              </w:rPr>
              <w:t>Review AI agent decision logs; flag any agent decision outside training distribution</w:t>
            </w:r>
          </w:p>
        </w:tc>
        <w:tc>
          <w:tcPr>
            <w:tcW w:type="dxa" w:w="1624"/>
          </w:tcPr>
          <w:p>
            <w:r/>
            <w:r>
              <w:rPr>
                <w:rFonts w:ascii="Calibri" w:hAnsi="Calibri"/>
                <w:color w:val="0F172A"/>
                <w:sz w:val="18"/>
              </w:rPr>
              <w:t>Weekly agent log review; kill-switch trigger if needed</w:t>
            </w:r>
          </w:p>
        </w:tc>
        <w:tc>
          <w:tcPr>
            <w:tcW w:type="dxa" w:w="1624"/>
          </w:tcPr>
          <w:p>
            <w:r/>
            <w:r>
              <w:rPr>
                <w:rFonts w:ascii="Calibri" w:hAnsi="Calibri"/>
                <w:color w:val="0F172A"/>
                <w:sz w:val="18"/>
              </w:rPr>
              <w:t>30 min</w:t>
            </w:r>
          </w:p>
        </w:tc>
        <w:tc>
          <w:tcPr>
            <w:tcW w:type="dxa" w:w="1624"/>
          </w:tcPr>
          <w:p>
            <w:r/>
            <w:r>
              <w:rPr>
                <w:rFonts w:ascii="Calibri" w:hAnsi="Calibri"/>
                <w:color w:val="0F172A"/>
                <w:sz w:val="18"/>
              </w:rPr>
              <w:t>Tier 2 to MBB if agent drift detected</w:t>
            </w:r>
          </w:p>
        </w:tc>
      </w:tr>
      <w:tr>
        <w:tc>
          <w:tcPr>
            <w:tcW w:type="dxa" w:w="1624"/>
          </w:tcPr>
          <w:p>
            <w:r/>
            <w:r>
              <w:rPr>
                <w:rFonts w:ascii="Calibri" w:hAnsi="Calibri"/>
                <w:color w:val="0F172A"/>
                <w:sz w:val="18"/>
              </w:rPr>
              <w:t>Track Lead weekly sync</w:t>
            </w:r>
          </w:p>
        </w:tc>
        <w:tc>
          <w:tcPr>
            <w:tcW w:type="dxa" w:w="1624"/>
          </w:tcPr>
          <w:p>
            <w:r/>
            <w:r>
              <w:rPr>
                <w:rFonts w:ascii="Calibri" w:hAnsi="Calibri"/>
                <w:color w:val="0F172A"/>
                <w:sz w:val="18"/>
              </w:rPr>
              <w:t>All GBs + Track Leads</w:t>
            </w:r>
          </w:p>
        </w:tc>
        <w:tc>
          <w:tcPr>
            <w:tcW w:type="dxa" w:w="1624"/>
          </w:tcPr>
          <w:p>
            <w:r/>
            <w:r>
              <w:rPr>
                <w:rFonts w:ascii="Calibri" w:hAnsi="Calibri"/>
                <w:color w:val="0F172A"/>
                <w:sz w:val="18"/>
              </w:rPr>
              <w:t>30-min standup: progress, blockers, anomalies</w:t>
            </w:r>
          </w:p>
        </w:tc>
        <w:tc>
          <w:tcPr>
            <w:tcW w:type="dxa" w:w="1624"/>
          </w:tcPr>
          <w:p>
            <w:r/>
            <w:r>
              <w:rPr>
                <w:rFonts w:ascii="Calibri" w:hAnsi="Calibri"/>
                <w:color w:val="0F172A"/>
                <w:sz w:val="18"/>
              </w:rPr>
              <w:t>Meeting notes in engagement log</w:t>
            </w:r>
          </w:p>
        </w:tc>
        <w:tc>
          <w:tcPr>
            <w:tcW w:type="dxa" w:w="1624"/>
          </w:tcPr>
          <w:p>
            <w:r/>
            <w:r>
              <w:rPr>
                <w:rFonts w:ascii="Calibri" w:hAnsi="Calibri"/>
                <w:color w:val="0F172A"/>
                <w:sz w:val="18"/>
              </w:rPr>
              <w:t>30 min/week/GB</w:t>
            </w:r>
          </w:p>
        </w:tc>
        <w:tc>
          <w:tcPr>
            <w:tcW w:type="dxa" w:w="1624"/>
          </w:tcPr>
          <w:p>
            <w:r/>
            <w:r>
              <w:rPr>
                <w:rFonts w:ascii="Calibri" w:hAnsi="Calibri"/>
                <w:color w:val="0F172A"/>
                <w:sz w:val="18"/>
              </w:rPr>
              <w:t>None (mandatory)</w:t>
            </w:r>
          </w:p>
        </w:tc>
      </w:tr>
    </w:tbl>
    <w:p/>
    <w:p>
      <w:r>
        <w:rPr>
          <w:rFonts w:ascii="Calibri" w:hAnsi="Calibri"/>
          <w:b/>
          <w:sz w:val="22"/>
        </w:rPr>
        <w:t>Weekly total per GB:</w:t>
      </w:r>
      <w:r>
        <w:rPr>
          <w:rFonts w:ascii="Calibri" w:hAnsi="Calibri"/>
          <w:sz w:val="22"/>
        </w:rPr>
        <w:t xml:space="preserve"> ~1.5–2 hours (within 10% allocation of a 40-hour week)</w:t>
      </w:r>
    </w:p>
    <w:p>
      <w:r>
        <w:rPr>
          <w:rFonts w:ascii="Calibri" w:hAnsi="Calibri"/>
          <w:b/>
          <w:color w:val="0F172A"/>
          <w:sz w:val="24"/>
        </w:rPr>
        <w:t>6.2.2 Monthly Routines (4–8 hours per GB)</w:t>
      </w:r>
    </w:p>
    <w:tbl>
      <w:tblPr>
        <w:tblStyle w:val="LightGrid-Accent1"/>
        <w:tblW w:type="auto" w:w="0"/>
        <w:tblLook w:firstColumn="1" w:firstRow="1" w:lastColumn="0" w:lastRow="0" w:noHBand="0" w:noVBand="1" w:val="04A0"/>
      </w:tblPr>
      <w:tblGrid>
        <w:gridCol w:w="1624"/>
        <w:gridCol w:w="1624"/>
        <w:gridCol w:w="1624"/>
        <w:gridCol w:w="1624"/>
        <w:gridCol w:w="1624"/>
        <w:gridCol w:w="1624"/>
      </w:tblGrid>
      <w:tr>
        <w:tc>
          <w:tcPr>
            <w:tcW w:type="dxa" w:w="1624"/>
            <w:shd w:val="clear" w:color="auto" w:fill="1E40AF"/>
          </w:tcPr>
          <w:p>
            <w:r/>
            <w:r>
              <w:rPr>
                <w:rFonts w:ascii="Calibri" w:hAnsi="Calibri"/>
                <w:b/>
                <w:color w:val="FFFFFF"/>
                <w:sz w:val="20"/>
              </w:rPr>
              <w:t>Routine</w:t>
            </w:r>
          </w:p>
        </w:tc>
        <w:tc>
          <w:tcPr>
            <w:tcW w:type="dxa" w:w="1624"/>
            <w:shd w:val="clear" w:color="auto" w:fill="1E40AF"/>
          </w:tcPr>
          <w:p>
            <w:r/>
            <w:r>
              <w:rPr>
                <w:rFonts w:ascii="Calibri" w:hAnsi="Calibri"/>
                <w:b/>
                <w:color w:val="FFFFFF"/>
                <w:sz w:val="20"/>
              </w:rPr>
              <w:t>Owner</w:t>
            </w:r>
          </w:p>
        </w:tc>
        <w:tc>
          <w:tcPr>
            <w:tcW w:type="dxa" w:w="1624"/>
            <w:shd w:val="clear" w:color="auto" w:fill="1E40AF"/>
          </w:tcPr>
          <w:p>
            <w:r/>
            <w:r>
              <w:rPr>
                <w:rFonts w:ascii="Calibri" w:hAnsi="Calibri"/>
                <w:b/>
                <w:color w:val="FFFFFF"/>
                <w:sz w:val="20"/>
              </w:rPr>
              <w:t>Activity</w:t>
            </w:r>
          </w:p>
        </w:tc>
        <w:tc>
          <w:tcPr>
            <w:tcW w:type="dxa" w:w="1624"/>
            <w:shd w:val="clear" w:color="auto" w:fill="1E40AF"/>
          </w:tcPr>
          <w:p>
            <w:r/>
            <w:r>
              <w:rPr>
                <w:rFonts w:ascii="Calibri" w:hAnsi="Calibri"/>
                <w:b/>
                <w:color w:val="FFFFFF"/>
                <w:sz w:val="20"/>
              </w:rPr>
              <w:t>Deliverable</w:t>
            </w:r>
          </w:p>
        </w:tc>
        <w:tc>
          <w:tcPr>
            <w:tcW w:type="dxa" w:w="1624"/>
            <w:shd w:val="clear" w:color="auto" w:fill="1E40AF"/>
          </w:tcPr>
          <w:p>
            <w:r/>
            <w:r>
              <w:rPr>
                <w:rFonts w:ascii="Calibri" w:hAnsi="Calibri"/>
                <w:b/>
                <w:color w:val="FFFFFF"/>
                <w:sz w:val="20"/>
              </w:rPr>
              <w:t>Time</w:t>
            </w:r>
          </w:p>
        </w:tc>
        <w:tc>
          <w:tcPr>
            <w:tcW w:type="dxa" w:w="1624"/>
            <w:shd w:val="clear" w:color="auto" w:fill="1E40AF"/>
          </w:tcPr>
          <w:p>
            <w:r/>
            <w:r>
              <w:rPr>
                <w:rFonts w:ascii="Calibri" w:hAnsi="Calibri"/>
                <w:b/>
                <w:color w:val="FFFFFF"/>
                <w:sz w:val="20"/>
              </w:rPr>
              <w:t>Escalation if missed</w:t>
            </w:r>
          </w:p>
        </w:tc>
      </w:tr>
      <w:tr>
        <w:tc>
          <w:tcPr>
            <w:tcW w:type="dxa" w:w="1624"/>
          </w:tcPr>
          <w:p>
            <w:r/>
            <w:r>
              <w:rPr>
                <w:rFonts w:ascii="Calibri" w:hAnsi="Calibri"/>
                <w:color w:val="0F172A"/>
                <w:sz w:val="18"/>
              </w:rPr>
              <w:t>Cyber-attack drill</w:t>
            </w:r>
          </w:p>
        </w:tc>
        <w:tc>
          <w:tcPr>
            <w:tcW w:type="dxa" w:w="1624"/>
          </w:tcPr>
          <w:p>
            <w:r/>
            <w:r>
              <w:rPr>
                <w:rFonts w:ascii="Calibri" w:hAnsi="Calibri"/>
                <w:color w:val="0F172A"/>
                <w:sz w:val="18"/>
              </w:rPr>
              <w:t>Track C GBs (rotating)</w:t>
            </w:r>
          </w:p>
        </w:tc>
        <w:tc>
          <w:tcPr>
            <w:tcW w:type="dxa" w:w="1624"/>
          </w:tcPr>
          <w:p>
            <w:r/>
            <w:r>
              <w:rPr>
                <w:rFonts w:ascii="Calibri" w:hAnsi="Calibri"/>
                <w:color w:val="0F172A"/>
                <w:sz w:val="18"/>
              </w:rPr>
              <w:t>Execute simulated ransomware / parameter-tampering attack on isolated test bench</w:t>
            </w:r>
          </w:p>
        </w:tc>
        <w:tc>
          <w:tcPr>
            <w:tcW w:type="dxa" w:w="1624"/>
          </w:tcPr>
          <w:p>
            <w:r/>
            <w:r>
              <w:rPr>
                <w:rFonts w:ascii="Calibri" w:hAnsi="Calibri"/>
                <w:color w:val="0F172A"/>
                <w:sz w:val="18"/>
              </w:rPr>
              <w:t>Drill report: MTTD / MTTR achieved vs target</w:t>
            </w:r>
          </w:p>
        </w:tc>
        <w:tc>
          <w:tcPr>
            <w:tcW w:type="dxa" w:w="1624"/>
          </w:tcPr>
          <w:p>
            <w:r/>
            <w:r>
              <w:rPr>
                <w:rFonts w:ascii="Calibri" w:hAnsi="Calibri"/>
                <w:color w:val="0F172A"/>
                <w:sz w:val="18"/>
              </w:rPr>
              <w:t>4 h</w:t>
            </w:r>
          </w:p>
        </w:tc>
        <w:tc>
          <w:tcPr>
            <w:tcW w:type="dxa" w:w="1624"/>
          </w:tcPr>
          <w:p>
            <w:r/>
            <w:r>
              <w:rPr>
                <w:rFonts w:ascii="Calibri" w:hAnsi="Calibri"/>
                <w:color w:val="0F172A"/>
                <w:sz w:val="18"/>
              </w:rPr>
              <w:t>Tier 2 to MBB; control plan review if MTTR breach</w:t>
            </w:r>
          </w:p>
        </w:tc>
      </w:tr>
      <w:tr>
        <w:tc>
          <w:tcPr>
            <w:tcW w:type="dxa" w:w="1624"/>
          </w:tcPr>
          <w:p>
            <w:r/>
            <w:r>
              <w:rPr>
                <w:rFonts w:ascii="Calibri" w:hAnsi="Calibri"/>
                <w:color w:val="0F172A"/>
                <w:sz w:val="18"/>
              </w:rPr>
              <w:t>SMED recovery verification</w:t>
            </w:r>
          </w:p>
        </w:tc>
        <w:tc>
          <w:tcPr>
            <w:tcW w:type="dxa" w:w="1624"/>
          </w:tcPr>
          <w:p>
            <w:r/>
            <w:r>
              <w:rPr>
                <w:rFonts w:ascii="Calibri" w:hAnsi="Calibri"/>
                <w:color w:val="0F172A"/>
                <w:sz w:val="18"/>
              </w:rPr>
              <w:t>Track C GBs (rotating)</w:t>
            </w:r>
          </w:p>
        </w:tc>
        <w:tc>
          <w:tcPr>
            <w:tcW w:type="dxa" w:w="1624"/>
          </w:tcPr>
          <w:p>
            <w:r/>
            <w:r>
              <w:rPr>
                <w:rFonts w:ascii="Calibri" w:hAnsi="Calibri"/>
                <w:color w:val="0F172A"/>
                <w:sz w:val="18"/>
              </w:rPr>
              <w:t>Validate SMED recovery time remains &lt; 4h target for hard stop</w:t>
            </w:r>
          </w:p>
        </w:tc>
        <w:tc>
          <w:tcPr>
            <w:tcW w:type="dxa" w:w="1624"/>
          </w:tcPr>
          <w:p>
            <w:r/>
            <w:r>
              <w:rPr>
                <w:rFonts w:ascii="Calibri" w:hAnsi="Calibri"/>
                <w:color w:val="0F172A"/>
                <w:sz w:val="18"/>
              </w:rPr>
              <w:t>SMED validation log</w:t>
            </w:r>
          </w:p>
        </w:tc>
        <w:tc>
          <w:tcPr>
            <w:tcW w:type="dxa" w:w="1624"/>
          </w:tcPr>
          <w:p>
            <w:r/>
            <w:r>
              <w:rPr>
                <w:rFonts w:ascii="Calibri" w:hAnsi="Calibri"/>
                <w:color w:val="0F172A"/>
                <w:sz w:val="18"/>
              </w:rPr>
              <w:t>2 h</w:t>
            </w:r>
          </w:p>
        </w:tc>
        <w:tc>
          <w:tcPr>
            <w:tcW w:type="dxa" w:w="1624"/>
          </w:tcPr>
          <w:p>
            <w:r/>
            <w:r>
              <w:rPr>
                <w:rFonts w:ascii="Calibri" w:hAnsi="Calibri"/>
                <w:color w:val="0F172A"/>
                <w:sz w:val="18"/>
              </w:rPr>
              <w:t>Tier 2 if MTTR exceeds 4h</w:t>
            </w:r>
          </w:p>
        </w:tc>
      </w:tr>
      <w:tr>
        <w:tc>
          <w:tcPr>
            <w:tcW w:type="dxa" w:w="1624"/>
          </w:tcPr>
          <w:p>
            <w:r/>
            <w:r>
              <w:rPr>
                <w:rFonts w:ascii="Calibri" w:hAnsi="Calibri"/>
                <w:color w:val="0F172A"/>
                <w:sz w:val="18"/>
              </w:rPr>
              <w:t>Patch compliance review</w:t>
            </w:r>
          </w:p>
        </w:tc>
        <w:tc>
          <w:tcPr>
            <w:tcW w:type="dxa" w:w="1624"/>
          </w:tcPr>
          <w:p>
            <w:r/>
            <w:r>
              <w:rPr>
                <w:rFonts w:ascii="Calibri" w:hAnsi="Calibri"/>
                <w:color w:val="0F172A"/>
                <w:sz w:val="18"/>
              </w:rPr>
              <w:t>Track A GBs (6)</w:t>
            </w:r>
          </w:p>
        </w:tc>
        <w:tc>
          <w:tcPr>
            <w:tcW w:type="dxa" w:w="1624"/>
          </w:tcPr>
          <w:p>
            <w:r/>
            <w:r>
              <w:rPr>
                <w:rFonts w:ascii="Calibri" w:hAnsi="Calibri"/>
                <w:color w:val="0F172A"/>
                <w:sz w:val="18"/>
              </w:rPr>
              <w:t>Review patch compliance dashboard; flag any assets below 95%</w:t>
            </w:r>
          </w:p>
        </w:tc>
        <w:tc>
          <w:tcPr>
            <w:tcW w:type="dxa" w:w="1624"/>
          </w:tcPr>
          <w:p>
            <w:r/>
            <w:r>
              <w:rPr>
                <w:rFonts w:ascii="Calibri" w:hAnsi="Calibri"/>
                <w:color w:val="0F172A"/>
                <w:sz w:val="18"/>
              </w:rPr>
              <w:t>Patch compliance report</w:t>
            </w:r>
          </w:p>
        </w:tc>
        <w:tc>
          <w:tcPr>
            <w:tcW w:type="dxa" w:w="1624"/>
          </w:tcPr>
          <w:p>
            <w:r/>
            <w:r>
              <w:rPr>
                <w:rFonts w:ascii="Calibri" w:hAnsi="Calibri"/>
                <w:color w:val="0F172A"/>
                <w:sz w:val="18"/>
              </w:rPr>
              <w:t>2 h</w:t>
            </w:r>
          </w:p>
        </w:tc>
        <w:tc>
          <w:tcPr>
            <w:tcW w:type="dxa" w:w="1624"/>
          </w:tcPr>
          <w:p>
            <w:r/>
            <w:r>
              <w:rPr>
                <w:rFonts w:ascii="Calibri" w:hAnsi="Calibri"/>
                <w:color w:val="0F172A"/>
                <w:sz w:val="18"/>
              </w:rPr>
              <w:t>Tier 2 to MBB if compliance &lt; 90%</w:t>
            </w:r>
          </w:p>
        </w:tc>
      </w:tr>
      <w:tr>
        <w:tc>
          <w:tcPr>
            <w:tcW w:type="dxa" w:w="1624"/>
          </w:tcPr>
          <w:p>
            <w:r/>
            <w:r>
              <w:rPr>
                <w:rFonts w:ascii="Calibri" w:hAnsi="Calibri"/>
                <w:color w:val="0F172A"/>
                <w:sz w:val="18"/>
              </w:rPr>
              <w:t>Vendor remote-access review</w:t>
            </w:r>
          </w:p>
        </w:tc>
        <w:tc>
          <w:tcPr>
            <w:tcW w:type="dxa" w:w="1624"/>
          </w:tcPr>
          <w:p>
            <w:r/>
            <w:r>
              <w:rPr>
                <w:rFonts w:ascii="Calibri" w:hAnsi="Calibri"/>
                <w:color w:val="0F172A"/>
                <w:sz w:val="18"/>
              </w:rPr>
              <w:t>Track A GBs (6)</w:t>
            </w:r>
          </w:p>
        </w:tc>
        <w:tc>
          <w:tcPr>
            <w:tcW w:type="dxa" w:w="1624"/>
          </w:tcPr>
          <w:p>
            <w:r/>
            <w:r>
              <w:rPr>
                <w:rFonts w:ascii="Calibri" w:hAnsi="Calibri"/>
                <w:color w:val="0F172A"/>
                <w:sz w:val="18"/>
              </w:rPr>
              <w:t>Review vendor remote-access logs; flag anomalous sessions</w:t>
            </w:r>
          </w:p>
        </w:tc>
        <w:tc>
          <w:tcPr>
            <w:tcW w:type="dxa" w:w="1624"/>
          </w:tcPr>
          <w:p>
            <w:r/>
            <w:r>
              <w:rPr>
                <w:rFonts w:ascii="Calibri" w:hAnsi="Calibri"/>
                <w:color w:val="0F172A"/>
                <w:sz w:val="18"/>
              </w:rPr>
              <w:t>Vendor access audit log</w:t>
            </w:r>
          </w:p>
        </w:tc>
        <w:tc>
          <w:tcPr>
            <w:tcW w:type="dxa" w:w="1624"/>
          </w:tcPr>
          <w:p>
            <w:r/>
            <w:r>
              <w:rPr>
                <w:rFonts w:ascii="Calibri" w:hAnsi="Calibri"/>
                <w:color w:val="0F172A"/>
                <w:sz w:val="18"/>
              </w:rPr>
              <w:t>1 h</w:t>
            </w:r>
          </w:p>
        </w:tc>
        <w:tc>
          <w:tcPr>
            <w:tcW w:type="dxa" w:w="1624"/>
          </w:tcPr>
          <w:p>
            <w:r/>
            <w:r>
              <w:rPr>
                <w:rFonts w:ascii="Calibri" w:hAnsi="Calibri"/>
                <w:color w:val="0F172A"/>
                <w:sz w:val="18"/>
              </w:rPr>
              <w:t>Tier 4 if vendor access breach</w:t>
            </w:r>
          </w:p>
        </w:tc>
      </w:tr>
      <w:tr>
        <w:tc>
          <w:tcPr>
            <w:tcW w:type="dxa" w:w="1624"/>
          </w:tcPr>
          <w:p>
            <w:r/>
            <w:r>
              <w:rPr>
                <w:rFonts w:ascii="Calibri" w:hAnsi="Calibri"/>
                <w:color w:val="0F172A"/>
                <w:sz w:val="18"/>
              </w:rPr>
              <w:t>AI agent performance review</w:t>
            </w:r>
          </w:p>
        </w:tc>
        <w:tc>
          <w:tcPr>
            <w:tcW w:type="dxa" w:w="1624"/>
          </w:tcPr>
          <w:p>
            <w:r/>
            <w:r>
              <w:rPr>
                <w:rFonts w:ascii="Calibri" w:hAnsi="Calibri"/>
                <w:color w:val="0F172A"/>
                <w:sz w:val="18"/>
              </w:rPr>
              <w:t>Track C GBs (6)</w:t>
            </w:r>
          </w:p>
        </w:tc>
        <w:tc>
          <w:tcPr>
            <w:tcW w:type="dxa" w:w="1624"/>
          </w:tcPr>
          <w:p>
            <w:r/>
            <w:r>
              <w:rPr>
                <w:rFonts w:ascii="Calibri" w:hAnsi="Calibri"/>
                <w:color w:val="0F172A"/>
                <w:sz w:val="18"/>
              </w:rPr>
              <w:t>Review AI agent KPIs (precision, recall, false positive rate)</w:t>
            </w:r>
          </w:p>
        </w:tc>
        <w:tc>
          <w:tcPr>
            <w:tcW w:type="dxa" w:w="1624"/>
          </w:tcPr>
          <w:p>
            <w:r/>
            <w:r>
              <w:rPr>
                <w:rFonts w:ascii="Calibri" w:hAnsi="Calibri"/>
                <w:color w:val="0F172A"/>
                <w:sz w:val="18"/>
              </w:rPr>
              <w:t>Agent performance report</w:t>
            </w:r>
          </w:p>
        </w:tc>
        <w:tc>
          <w:tcPr>
            <w:tcW w:type="dxa" w:w="1624"/>
          </w:tcPr>
          <w:p>
            <w:r/>
            <w:r>
              <w:rPr>
                <w:rFonts w:ascii="Calibri" w:hAnsi="Calibri"/>
                <w:color w:val="0F172A"/>
                <w:sz w:val="18"/>
              </w:rPr>
              <w:t>2 h</w:t>
            </w:r>
          </w:p>
        </w:tc>
        <w:tc>
          <w:tcPr>
            <w:tcW w:type="dxa" w:w="1624"/>
          </w:tcPr>
          <w:p>
            <w:r/>
            <w:r>
              <w:rPr>
                <w:rFonts w:ascii="Calibri" w:hAnsi="Calibri"/>
                <w:color w:val="0F172A"/>
                <w:sz w:val="18"/>
              </w:rPr>
              <w:t>Tier 2 if any agent performance degrades &gt; 10% from baseline</w:t>
            </w:r>
          </w:p>
        </w:tc>
      </w:tr>
      <w:tr>
        <w:tc>
          <w:tcPr>
            <w:tcW w:type="dxa" w:w="1624"/>
          </w:tcPr>
          <w:p>
            <w:r/>
            <w:r>
              <w:rPr>
                <w:rFonts w:ascii="Calibri" w:hAnsi="Calibri"/>
                <w:color w:val="0F172A"/>
                <w:sz w:val="18"/>
              </w:rPr>
              <w:t>Cross-track coordination</w:t>
            </w:r>
          </w:p>
        </w:tc>
        <w:tc>
          <w:tcPr>
            <w:tcW w:type="dxa" w:w="1624"/>
          </w:tcPr>
          <w:p>
            <w:r/>
            <w:r>
              <w:rPr>
                <w:rFonts w:ascii="Calibri" w:hAnsi="Calibri"/>
                <w:color w:val="0F172A"/>
                <w:sz w:val="18"/>
              </w:rPr>
              <w:t>MBB + Track Leads</w:t>
            </w:r>
          </w:p>
        </w:tc>
        <w:tc>
          <w:tcPr>
            <w:tcW w:type="dxa" w:w="1624"/>
          </w:tcPr>
          <w:p>
            <w:r/>
            <w:r>
              <w:rPr>
                <w:rFonts w:ascii="Calibri" w:hAnsi="Calibri"/>
                <w:color w:val="0F172A"/>
                <w:sz w:val="18"/>
              </w:rPr>
              <w:t>60-min monthly review: cross-track dependencies, risk register, resource allocation</w:t>
            </w:r>
          </w:p>
        </w:tc>
        <w:tc>
          <w:tcPr>
            <w:tcW w:type="dxa" w:w="1624"/>
          </w:tcPr>
          <w:p>
            <w:r/>
            <w:r>
              <w:rPr>
                <w:rFonts w:ascii="Calibri" w:hAnsi="Calibri"/>
                <w:color w:val="0F172A"/>
                <w:sz w:val="18"/>
              </w:rPr>
              <w:t>Meeting notes; risk register update</w:t>
            </w:r>
          </w:p>
        </w:tc>
        <w:tc>
          <w:tcPr>
            <w:tcW w:type="dxa" w:w="1624"/>
          </w:tcPr>
          <w:p>
            <w:r/>
            <w:r>
              <w:rPr>
                <w:rFonts w:ascii="Calibri" w:hAnsi="Calibri"/>
                <w:color w:val="0F172A"/>
                <w:sz w:val="18"/>
              </w:rPr>
              <w:t>1 h/lead</w:t>
            </w:r>
          </w:p>
        </w:tc>
        <w:tc>
          <w:tcPr>
            <w:tcW w:type="dxa" w:w="1624"/>
          </w:tcPr>
          <w:p>
            <w:r/>
            <w:r>
              <w:rPr>
                <w:rFonts w:ascii="Calibri" w:hAnsi="Calibri"/>
                <w:color w:val="0F172A"/>
                <w:sz w:val="18"/>
              </w:rPr>
              <w:t>None (mandatory)</w:t>
            </w:r>
          </w:p>
        </w:tc>
      </w:tr>
    </w:tbl>
    <w:p/>
    <w:p>
      <w:r>
        <w:rPr>
          <w:rFonts w:ascii="Calibri" w:hAnsi="Calibri"/>
          <w:b/>
          <w:sz w:val="22"/>
        </w:rPr>
        <w:t>Monthly total per GB:</w:t>
      </w:r>
      <w:r>
        <w:rPr>
          <w:rFonts w:ascii="Calibri" w:hAnsi="Calibri"/>
          <w:sz w:val="22"/>
        </w:rPr>
        <w:t xml:space="preserve"> ~4–8 hours, distributed across the month</w:t>
      </w:r>
    </w:p>
    <w:p>
      <w:r>
        <w:rPr>
          <w:rFonts w:ascii="Calibri" w:hAnsi="Calibri"/>
          <w:b/>
          <w:color w:val="0F172A"/>
          <w:sz w:val="24"/>
        </w:rPr>
        <w:t>6.2.3 Quarterly Routines (16–24 hours per GB; Track Lead-led)</w:t>
      </w:r>
    </w:p>
    <w:tbl>
      <w:tblPr>
        <w:tblStyle w:val="LightGrid-Accent1"/>
        <w:tblW w:type="auto" w:w="0"/>
        <w:tblLook w:firstColumn="1" w:firstRow="1" w:lastColumn="0" w:lastRow="0" w:noHBand="0" w:noVBand="1" w:val="04A0"/>
      </w:tblPr>
      <w:tblGrid>
        <w:gridCol w:w="1624"/>
        <w:gridCol w:w="1624"/>
        <w:gridCol w:w="1624"/>
        <w:gridCol w:w="1624"/>
        <w:gridCol w:w="1624"/>
        <w:gridCol w:w="1624"/>
      </w:tblGrid>
      <w:tr>
        <w:tc>
          <w:tcPr>
            <w:tcW w:type="dxa" w:w="1624"/>
            <w:shd w:val="clear" w:color="auto" w:fill="1E40AF"/>
          </w:tcPr>
          <w:p>
            <w:r/>
            <w:r>
              <w:rPr>
                <w:rFonts w:ascii="Calibri" w:hAnsi="Calibri"/>
                <w:b/>
                <w:color w:val="FFFFFF"/>
                <w:sz w:val="20"/>
              </w:rPr>
              <w:t>Routine</w:t>
            </w:r>
          </w:p>
        </w:tc>
        <w:tc>
          <w:tcPr>
            <w:tcW w:type="dxa" w:w="1624"/>
            <w:shd w:val="clear" w:color="auto" w:fill="1E40AF"/>
          </w:tcPr>
          <w:p>
            <w:r/>
            <w:r>
              <w:rPr>
                <w:rFonts w:ascii="Calibri" w:hAnsi="Calibri"/>
                <w:b/>
                <w:color w:val="FFFFFF"/>
                <w:sz w:val="20"/>
              </w:rPr>
              <w:t>Owner</w:t>
            </w:r>
          </w:p>
        </w:tc>
        <w:tc>
          <w:tcPr>
            <w:tcW w:type="dxa" w:w="1624"/>
            <w:shd w:val="clear" w:color="auto" w:fill="1E40AF"/>
          </w:tcPr>
          <w:p>
            <w:r/>
            <w:r>
              <w:rPr>
                <w:rFonts w:ascii="Calibri" w:hAnsi="Calibri"/>
                <w:b/>
                <w:color w:val="FFFFFF"/>
                <w:sz w:val="20"/>
              </w:rPr>
              <w:t>Activity</w:t>
            </w:r>
          </w:p>
        </w:tc>
        <w:tc>
          <w:tcPr>
            <w:tcW w:type="dxa" w:w="1624"/>
            <w:shd w:val="clear" w:color="auto" w:fill="1E40AF"/>
          </w:tcPr>
          <w:p>
            <w:r/>
            <w:r>
              <w:rPr>
                <w:rFonts w:ascii="Calibri" w:hAnsi="Calibri"/>
                <w:b/>
                <w:color w:val="FFFFFF"/>
                <w:sz w:val="20"/>
              </w:rPr>
              <w:t>Deliverable</w:t>
            </w:r>
          </w:p>
        </w:tc>
        <w:tc>
          <w:tcPr>
            <w:tcW w:type="dxa" w:w="1624"/>
            <w:shd w:val="clear" w:color="auto" w:fill="1E40AF"/>
          </w:tcPr>
          <w:p>
            <w:r/>
            <w:r>
              <w:rPr>
                <w:rFonts w:ascii="Calibri" w:hAnsi="Calibri"/>
                <w:b/>
                <w:color w:val="FFFFFF"/>
                <w:sz w:val="20"/>
              </w:rPr>
              <w:t>Time</w:t>
            </w:r>
          </w:p>
        </w:tc>
        <w:tc>
          <w:tcPr>
            <w:tcW w:type="dxa" w:w="1624"/>
            <w:shd w:val="clear" w:color="auto" w:fill="1E40AF"/>
          </w:tcPr>
          <w:p>
            <w:r/>
            <w:r>
              <w:rPr>
                <w:rFonts w:ascii="Calibri" w:hAnsi="Calibri"/>
                <w:b/>
                <w:color w:val="FFFFFF"/>
                <w:sz w:val="20"/>
              </w:rPr>
              <w:t>Escalation if missed</w:t>
            </w:r>
          </w:p>
        </w:tc>
      </w:tr>
      <w:tr>
        <w:tc>
          <w:tcPr>
            <w:tcW w:type="dxa" w:w="1624"/>
          </w:tcPr>
          <w:p>
            <w:r/>
            <w:r>
              <w:rPr>
                <w:rFonts w:ascii="Calibri" w:hAnsi="Calibri"/>
                <w:b/>
                <w:color w:val="0F172A"/>
                <w:sz w:val="18"/>
              </w:rPr>
              <w:t>FMEA refresh</w:t>
            </w:r>
          </w:p>
        </w:tc>
        <w:tc>
          <w:tcPr>
            <w:tcW w:type="dxa" w:w="1624"/>
          </w:tcPr>
          <w:p>
            <w:r/>
            <w:r>
              <w:rPr>
                <w:rFonts w:ascii="Calibri" w:hAnsi="Calibri"/>
                <w:color w:val="0F172A"/>
                <w:sz w:val="18"/>
              </w:rPr>
              <w:t>All tracks</w:t>
            </w:r>
          </w:p>
        </w:tc>
        <w:tc>
          <w:tcPr>
            <w:tcW w:type="dxa" w:w="1624"/>
          </w:tcPr>
          <w:p>
            <w:r/>
            <w:r>
              <w:rPr>
                <w:rFonts w:ascii="Calibri" w:hAnsi="Calibri"/>
                <w:color w:val="0F172A"/>
                <w:sz w:val="18"/>
              </w:rPr>
              <w:t>Review FMEA against new equipment, firmware updates, line software changes; recalculate RPN</w:t>
            </w:r>
          </w:p>
        </w:tc>
        <w:tc>
          <w:tcPr>
            <w:tcW w:type="dxa" w:w="1624"/>
          </w:tcPr>
          <w:p>
            <w:r/>
            <w:r>
              <w:rPr>
                <w:rFonts w:ascii="Calibri" w:hAnsi="Calibri"/>
                <w:color w:val="0F172A"/>
                <w:sz w:val="18"/>
              </w:rPr>
              <w:t>Updated FMEA matrix; new failure modes identified</w:t>
            </w:r>
          </w:p>
        </w:tc>
        <w:tc>
          <w:tcPr>
            <w:tcW w:type="dxa" w:w="1624"/>
          </w:tcPr>
          <w:p>
            <w:r/>
            <w:r>
              <w:rPr>
                <w:rFonts w:ascii="Calibri" w:hAnsi="Calibri"/>
                <w:color w:val="0F172A"/>
                <w:sz w:val="18"/>
              </w:rPr>
              <w:t>8 h/GB</w:t>
            </w:r>
          </w:p>
        </w:tc>
        <w:tc>
          <w:tcPr>
            <w:tcW w:type="dxa" w:w="1624"/>
          </w:tcPr>
          <w:p>
            <w:r/>
            <w:r>
              <w:rPr>
                <w:rFonts w:ascii="Calibri" w:hAnsi="Calibri"/>
                <w:color w:val="0F172A"/>
                <w:sz w:val="18"/>
              </w:rPr>
              <w:t>Tier 2 to MBB if RPN materially shifts</w:t>
            </w:r>
          </w:p>
        </w:tc>
      </w:tr>
      <w:tr>
        <w:tc>
          <w:tcPr>
            <w:tcW w:type="dxa" w:w="1624"/>
          </w:tcPr>
          <w:p>
            <w:r/>
            <w:r>
              <w:rPr>
                <w:rFonts w:ascii="Calibri" w:hAnsi="Calibri"/>
                <w:b/>
                <w:color w:val="0F172A"/>
                <w:sz w:val="18"/>
              </w:rPr>
              <w:t>Control plan review</w:t>
            </w:r>
          </w:p>
        </w:tc>
        <w:tc>
          <w:tcPr>
            <w:tcW w:type="dxa" w:w="1624"/>
          </w:tcPr>
          <w:p>
            <w:r/>
            <w:r>
              <w:rPr>
                <w:rFonts w:ascii="Calibri" w:hAnsi="Calibri"/>
                <w:color w:val="0F172A"/>
                <w:sz w:val="18"/>
              </w:rPr>
              <w:t>MBB + Track Leads</w:t>
            </w:r>
          </w:p>
        </w:tc>
        <w:tc>
          <w:tcPr>
            <w:tcW w:type="dxa" w:w="1624"/>
          </w:tcPr>
          <w:p>
            <w:r/>
            <w:r>
              <w:rPr>
                <w:rFonts w:ascii="Calibri" w:hAnsi="Calibri"/>
                <w:color w:val="0F172A"/>
                <w:sz w:val="18"/>
              </w:rPr>
              <w:t>Review control plan effectiveness; update SPC chart logic if needed</w:t>
            </w:r>
          </w:p>
        </w:tc>
        <w:tc>
          <w:tcPr>
            <w:tcW w:type="dxa" w:w="1624"/>
          </w:tcPr>
          <w:p>
            <w:r/>
            <w:r>
              <w:rPr>
                <w:rFonts w:ascii="Calibri" w:hAnsi="Calibri"/>
                <w:color w:val="0F172A"/>
                <w:sz w:val="18"/>
              </w:rPr>
              <w:t>Updated control plan</w:t>
            </w:r>
          </w:p>
        </w:tc>
        <w:tc>
          <w:tcPr>
            <w:tcW w:type="dxa" w:w="1624"/>
          </w:tcPr>
          <w:p>
            <w:r/>
            <w:r>
              <w:rPr>
                <w:rFonts w:ascii="Calibri" w:hAnsi="Calibri"/>
                <w:color w:val="0F172A"/>
                <w:sz w:val="18"/>
              </w:rPr>
              <w:t>4 h/lead</w:t>
            </w:r>
          </w:p>
        </w:tc>
        <w:tc>
          <w:tcPr>
            <w:tcW w:type="dxa" w:w="1624"/>
          </w:tcPr>
          <w:p>
            <w:r/>
            <w:r>
              <w:rPr>
                <w:rFonts w:ascii="Calibri" w:hAnsi="Calibri"/>
                <w:color w:val="0F172A"/>
                <w:sz w:val="18"/>
              </w:rPr>
              <w:t>Tier 3 to CISO if control plan structurally inadequate</w:t>
            </w:r>
          </w:p>
        </w:tc>
      </w:tr>
      <w:tr>
        <w:tc>
          <w:tcPr>
            <w:tcW w:type="dxa" w:w="1624"/>
          </w:tcPr>
          <w:p>
            <w:r/>
            <w:r>
              <w:rPr>
                <w:rFonts w:ascii="Calibri" w:hAnsi="Calibri"/>
                <w:b/>
                <w:color w:val="0F172A"/>
                <w:sz w:val="18"/>
              </w:rPr>
              <w:t>Maturity score recalculation</w:t>
            </w:r>
          </w:p>
        </w:tc>
        <w:tc>
          <w:tcPr>
            <w:tcW w:type="dxa" w:w="1624"/>
          </w:tcPr>
          <w:p>
            <w:r/>
            <w:r>
              <w:rPr>
                <w:rFonts w:ascii="Calibri" w:hAnsi="Calibri"/>
                <w:color w:val="0F172A"/>
                <w:sz w:val="18"/>
              </w:rPr>
              <w:t>MBB</w:t>
            </w:r>
          </w:p>
        </w:tc>
        <w:tc>
          <w:tcPr>
            <w:tcW w:type="dxa" w:w="1624"/>
          </w:tcPr>
          <w:p>
            <w:r/>
            <w:r>
              <w:rPr>
                <w:rFonts w:ascii="Calibri" w:hAnsi="Calibri"/>
                <w:color w:val="0F172A"/>
                <w:sz w:val="18"/>
              </w:rPr>
              <w:t>Recalculate maturity score (§6.4); identify capability gaps</w:t>
            </w:r>
          </w:p>
        </w:tc>
        <w:tc>
          <w:tcPr>
            <w:tcW w:type="dxa" w:w="1624"/>
          </w:tcPr>
          <w:p>
            <w:r/>
            <w:r>
              <w:rPr>
                <w:rFonts w:ascii="Calibri" w:hAnsi="Calibri"/>
                <w:color w:val="0F172A"/>
                <w:sz w:val="18"/>
              </w:rPr>
              <w:t>Updated maturity score; gap remediation plan</w:t>
            </w:r>
          </w:p>
        </w:tc>
        <w:tc>
          <w:tcPr>
            <w:tcW w:type="dxa" w:w="1624"/>
          </w:tcPr>
          <w:p>
            <w:r/>
            <w:r>
              <w:rPr>
                <w:rFonts w:ascii="Calibri" w:hAnsi="Calibri"/>
                <w:color w:val="0F172A"/>
                <w:sz w:val="18"/>
              </w:rPr>
              <w:t>4 h/MBB</w:t>
            </w:r>
          </w:p>
        </w:tc>
        <w:tc>
          <w:tcPr>
            <w:tcW w:type="dxa" w:w="1624"/>
          </w:tcPr>
          <w:p>
            <w:r/>
            <w:r>
              <w:rPr>
                <w:rFonts w:ascii="Calibri" w:hAnsi="Calibri"/>
                <w:color w:val="0F172A"/>
                <w:sz w:val="18"/>
              </w:rPr>
              <w:t>Tier 3 to CISO if maturity score drops</w:t>
            </w:r>
          </w:p>
        </w:tc>
      </w:tr>
      <w:tr>
        <w:tc>
          <w:tcPr>
            <w:tcW w:type="dxa" w:w="1624"/>
          </w:tcPr>
          <w:p>
            <w:r/>
            <w:r>
              <w:rPr>
                <w:rFonts w:ascii="Calibri" w:hAnsi="Calibri"/>
                <w:b/>
                <w:color w:val="0F172A"/>
                <w:sz w:val="18"/>
              </w:rPr>
              <w:t>Cross-site knowledge transfer</w:t>
            </w:r>
          </w:p>
        </w:tc>
        <w:tc>
          <w:tcPr>
            <w:tcW w:type="dxa" w:w="1624"/>
          </w:tcPr>
          <w:p>
            <w:r/>
            <w:r>
              <w:rPr>
                <w:rFonts w:ascii="Calibri" w:hAnsi="Calibri"/>
                <w:color w:val="0F172A"/>
                <w:sz w:val="18"/>
              </w:rPr>
              <w:t>MBB + GBs (rotating)</w:t>
            </w:r>
          </w:p>
        </w:tc>
        <w:tc>
          <w:tcPr>
            <w:tcW w:type="dxa" w:w="1624"/>
          </w:tcPr>
          <w:p>
            <w:r/>
            <w:r>
              <w:rPr>
                <w:rFonts w:ascii="Calibri" w:hAnsi="Calibri"/>
                <w:color w:val="0F172A"/>
                <w:sz w:val="18"/>
              </w:rPr>
              <w:t>Transfer lessons learned, control plan updates, FMEA changes to other sites</w:t>
            </w:r>
          </w:p>
        </w:tc>
        <w:tc>
          <w:tcPr>
            <w:tcW w:type="dxa" w:w="1624"/>
          </w:tcPr>
          <w:p>
            <w:r/>
            <w:r>
              <w:rPr>
                <w:rFonts w:ascii="Calibri" w:hAnsi="Calibri"/>
                <w:color w:val="0F172A"/>
                <w:sz w:val="18"/>
              </w:rPr>
              <w:t>Knowledge transfer log; site adoption confirmation</w:t>
            </w:r>
          </w:p>
        </w:tc>
        <w:tc>
          <w:tcPr>
            <w:tcW w:type="dxa" w:w="1624"/>
          </w:tcPr>
          <w:p>
            <w:r/>
            <w:r>
              <w:rPr>
                <w:rFonts w:ascii="Calibri" w:hAnsi="Calibri"/>
                <w:color w:val="0F172A"/>
                <w:sz w:val="18"/>
              </w:rPr>
              <w:t>8 h/GB</w:t>
            </w:r>
          </w:p>
        </w:tc>
        <w:tc>
          <w:tcPr>
            <w:tcW w:type="dxa" w:w="1624"/>
          </w:tcPr>
          <w:p>
            <w:r/>
            <w:r>
              <w:rPr>
                <w:rFonts w:ascii="Calibri" w:hAnsi="Calibri"/>
                <w:color w:val="0F172A"/>
                <w:sz w:val="18"/>
              </w:rPr>
              <w:t>Tier 3 to CISO if site adoption fails</w:t>
            </w:r>
          </w:p>
        </w:tc>
      </w:tr>
      <w:tr>
        <w:tc>
          <w:tcPr>
            <w:tcW w:type="dxa" w:w="1624"/>
          </w:tcPr>
          <w:p>
            <w:r/>
            <w:r>
              <w:rPr>
                <w:rFonts w:ascii="Calibri" w:hAnsi="Calibri"/>
                <w:b/>
                <w:color w:val="0F172A"/>
                <w:sz w:val="18"/>
              </w:rPr>
              <w:t>Threat landscape review</w:t>
            </w:r>
          </w:p>
        </w:tc>
        <w:tc>
          <w:tcPr>
            <w:tcW w:type="dxa" w:w="1624"/>
          </w:tcPr>
          <w:p>
            <w:r/>
            <w:r>
              <w:rPr>
                <w:rFonts w:ascii="Calibri" w:hAnsi="Calibri"/>
                <w:color w:val="0F172A"/>
                <w:sz w:val="18"/>
              </w:rPr>
              <w:t>Track C GBs (6) + IT Security</w:t>
            </w:r>
          </w:p>
        </w:tc>
        <w:tc>
          <w:tcPr>
            <w:tcW w:type="dxa" w:w="1624"/>
          </w:tcPr>
          <w:p>
            <w:r/>
            <w:r>
              <w:rPr>
                <w:rFonts w:ascii="Calibri" w:hAnsi="Calibri"/>
                <w:color w:val="0F172A"/>
                <w:sz w:val="18"/>
              </w:rPr>
              <w:t>Review emerging threats, APT campaigns, regulatory changes</w:t>
            </w:r>
          </w:p>
        </w:tc>
        <w:tc>
          <w:tcPr>
            <w:tcW w:type="dxa" w:w="1624"/>
          </w:tcPr>
          <w:p>
            <w:r/>
            <w:r>
              <w:rPr>
                <w:rFonts w:ascii="Calibri" w:hAnsi="Calibri"/>
                <w:color w:val="0F172A"/>
                <w:sz w:val="18"/>
              </w:rPr>
              <w:t>Threat landscape brief; control plan update if needed</w:t>
            </w:r>
          </w:p>
        </w:tc>
        <w:tc>
          <w:tcPr>
            <w:tcW w:type="dxa" w:w="1624"/>
          </w:tcPr>
          <w:p>
            <w:r/>
            <w:r>
              <w:rPr>
                <w:rFonts w:ascii="Calibri" w:hAnsi="Calibri"/>
                <w:color w:val="0F172A"/>
                <w:sz w:val="18"/>
              </w:rPr>
              <w:t>4 h/GB</w:t>
            </w:r>
          </w:p>
        </w:tc>
        <w:tc>
          <w:tcPr>
            <w:tcW w:type="dxa" w:w="1624"/>
          </w:tcPr>
          <w:p>
            <w:r/>
            <w:r>
              <w:rPr>
                <w:rFonts w:ascii="Calibri" w:hAnsi="Calibri"/>
                <w:color w:val="0F172A"/>
                <w:sz w:val="18"/>
              </w:rPr>
              <w:t>Tier 3 if new high-RPN failure mode identified</w:t>
            </w:r>
          </w:p>
        </w:tc>
      </w:tr>
      <w:tr>
        <w:tc>
          <w:tcPr>
            <w:tcW w:type="dxa" w:w="1624"/>
          </w:tcPr>
          <w:p>
            <w:r/>
            <w:r>
              <w:rPr>
                <w:rFonts w:ascii="Calibri" w:hAnsi="Calibri"/>
                <w:b/>
                <w:color w:val="0F172A"/>
                <w:sz w:val="18"/>
              </w:rPr>
              <w:t>AI agent retraining</w:t>
            </w:r>
          </w:p>
        </w:tc>
        <w:tc>
          <w:tcPr>
            <w:tcW w:type="dxa" w:w="1624"/>
          </w:tcPr>
          <w:p>
            <w:r/>
            <w:r>
              <w:rPr>
                <w:rFonts w:ascii="Calibri" w:hAnsi="Calibri"/>
                <w:color w:val="0F172A"/>
                <w:sz w:val="18"/>
              </w:rPr>
              <w:t>Track C GBs (6)</w:t>
            </w:r>
          </w:p>
        </w:tc>
        <w:tc>
          <w:tcPr>
            <w:tcW w:type="dxa" w:w="1624"/>
          </w:tcPr>
          <w:p>
            <w:r/>
            <w:r>
              <w:rPr>
                <w:rFonts w:ascii="Calibri" w:hAnsi="Calibri"/>
                <w:color w:val="0F172A"/>
                <w:sz w:val="18"/>
              </w:rPr>
              <w:t>Retrain AI agents on updated baseline; validate performance post-retraining</w:t>
            </w:r>
          </w:p>
        </w:tc>
        <w:tc>
          <w:tcPr>
            <w:tcW w:type="dxa" w:w="1624"/>
          </w:tcPr>
          <w:p>
            <w:r/>
            <w:r>
              <w:rPr>
                <w:rFonts w:ascii="Calibri" w:hAnsi="Calibri"/>
                <w:color w:val="0F172A"/>
                <w:sz w:val="18"/>
              </w:rPr>
              <w:t>Retrained agents; performance report</w:t>
            </w:r>
          </w:p>
        </w:tc>
        <w:tc>
          <w:tcPr>
            <w:tcW w:type="dxa" w:w="1624"/>
          </w:tcPr>
          <w:p>
            <w:r/>
            <w:r>
              <w:rPr>
                <w:rFonts w:ascii="Calibri" w:hAnsi="Calibri"/>
                <w:color w:val="0F172A"/>
                <w:sz w:val="18"/>
              </w:rPr>
              <w:t>8 h/GB</w:t>
            </w:r>
          </w:p>
        </w:tc>
        <w:tc>
          <w:tcPr>
            <w:tcW w:type="dxa" w:w="1624"/>
          </w:tcPr>
          <w:p>
            <w:r/>
            <w:r>
              <w:rPr>
                <w:rFonts w:ascii="Calibri" w:hAnsi="Calibri"/>
                <w:color w:val="0F172A"/>
                <w:sz w:val="18"/>
              </w:rPr>
              <w:t>Tier 2 if retraining fails to recover baseline performance</w:t>
            </w:r>
          </w:p>
        </w:tc>
      </w:tr>
      <w:tr>
        <w:tc>
          <w:tcPr>
            <w:tcW w:type="dxa" w:w="1624"/>
          </w:tcPr>
          <w:p>
            <w:r/>
            <w:r>
              <w:rPr>
                <w:rFonts w:ascii="Calibri" w:hAnsi="Calibri"/>
                <w:b/>
                <w:color w:val="0F172A"/>
                <w:sz w:val="18"/>
              </w:rPr>
              <w:t>Tabletop exercise</w:t>
            </w:r>
          </w:p>
        </w:tc>
        <w:tc>
          <w:tcPr>
            <w:tcW w:type="dxa" w:w="1624"/>
          </w:tcPr>
          <w:p>
            <w:r/>
            <w:r>
              <w:rPr>
                <w:rFonts w:ascii="Calibri" w:hAnsi="Calibri"/>
                <w:color w:val="0F172A"/>
                <w:sz w:val="18"/>
              </w:rPr>
              <w:t>All tracks + IT Security + Operations</w:t>
            </w:r>
          </w:p>
        </w:tc>
        <w:tc>
          <w:tcPr>
            <w:tcW w:type="dxa" w:w="1624"/>
          </w:tcPr>
          <w:p>
            <w:r/>
            <w:r>
              <w:rPr>
                <w:rFonts w:ascii="Calibri" w:hAnsi="Calibri"/>
                <w:color w:val="0F172A"/>
                <w:sz w:val="18"/>
              </w:rPr>
              <w:t>Cross-functional tabletop: simulated OT compromise, IR cycle execution, lessons learned</w:t>
            </w:r>
          </w:p>
        </w:tc>
        <w:tc>
          <w:tcPr>
            <w:tcW w:type="dxa" w:w="1624"/>
          </w:tcPr>
          <w:p>
            <w:r/>
            <w:r>
              <w:rPr>
                <w:rFonts w:ascii="Calibri" w:hAnsi="Calibri"/>
                <w:color w:val="0F172A"/>
                <w:sz w:val="18"/>
              </w:rPr>
              <w:t>Tabletop A3; control plan updates</w:t>
            </w:r>
          </w:p>
        </w:tc>
        <w:tc>
          <w:tcPr>
            <w:tcW w:type="dxa" w:w="1624"/>
          </w:tcPr>
          <w:p>
            <w:r/>
            <w:r>
              <w:rPr>
                <w:rFonts w:ascii="Calibri" w:hAnsi="Calibri"/>
                <w:color w:val="0F172A"/>
                <w:sz w:val="18"/>
              </w:rPr>
              <w:t>4 h/GB</w:t>
            </w:r>
          </w:p>
        </w:tc>
        <w:tc>
          <w:tcPr>
            <w:tcW w:type="dxa" w:w="1624"/>
          </w:tcPr>
          <w:p>
            <w:r/>
            <w:r>
              <w:rPr>
                <w:rFonts w:ascii="Calibri" w:hAnsi="Calibri"/>
                <w:color w:val="0F172A"/>
                <w:sz w:val="18"/>
              </w:rPr>
              <w:t>Tier 2 to MBB; CISO briefed at next bi-weekly</w:t>
            </w:r>
          </w:p>
        </w:tc>
      </w:tr>
    </w:tbl>
    <w:p/>
    <w:p>
      <w:r>
        <w:rPr>
          <w:rFonts w:ascii="Calibri" w:hAnsi="Calibri"/>
          <w:b/>
          <w:sz w:val="22"/>
        </w:rPr>
        <w:t>Quarterly total per GB:</w:t>
      </w:r>
      <w:r>
        <w:rPr>
          <w:rFonts w:ascii="Calibri" w:hAnsi="Calibri"/>
          <w:sz w:val="22"/>
        </w:rPr>
        <w:t xml:space="preserve"> ~16–24 hours, distributed across the quarter (3 months × ~6–8 h/month)</w:t>
      </w:r>
    </w:p>
    <w:p>
      <w:r>
        <w:rPr>
          <w:rFonts w:ascii="Calibri" w:hAnsi="Calibri"/>
          <w:b/>
          <w:color w:val="0F172A"/>
          <w:sz w:val="24"/>
        </w:rPr>
        <w:t>6.2.4 Annual Routines (40–80 hours per GB; Track Lead + MBB)</w:t>
      </w:r>
    </w:p>
    <w:tbl>
      <w:tblPr>
        <w:tblStyle w:val="LightGrid-Accent1"/>
        <w:tblW w:type="auto" w:w="0"/>
        <w:tblLook w:firstColumn="1" w:firstRow="1" w:lastColumn="0" w:lastRow="0" w:noHBand="0" w:noVBand="1" w:val="04A0"/>
      </w:tblPr>
      <w:tblGrid>
        <w:gridCol w:w="1624"/>
        <w:gridCol w:w="1624"/>
        <w:gridCol w:w="1624"/>
        <w:gridCol w:w="1624"/>
        <w:gridCol w:w="1624"/>
        <w:gridCol w:w="1624"/>
      </w:tblGrid>
      <w:tr>
        <w:tc>
          <w:tcPr>
            <w:tcW w:type="dxa" w:w="1624"/>
            <w:shd w:val="clear" w:color="auto" w:fill="1E40AF"/>
          </w:tcPr>
          <w:p>
            <w:r/>
            <w:r>
              <w:rPr>
                <w:rFonts w:ascii="Calibri" w:hAnsi="Calibri"/>
                <w:b/>
                <w:color w:val="FFFFFF"/>
                <w:sz w:val="20"/>
              </w:rPr>
              <w:t>Routine</w:t>
            </w:r>
          </w:p>
        </w:tc>
        <w:tc>
          <w:tcPr>
            <w:tcW w:type="dxa" w:w="1624"/>
            <w:shd w:val="clear" w:color="auto" w:fill="1E40AF"/>
          </w:tcPr>
          <w:p>
            <w:r/>
            <w:r>
              <w:rPr>
                <w:rFonts w:ascii="Calibri" w:hAnsi="Calibri"/>
                <w:b/>
                <w:color w:val="FFFFFF"/>
                <w:sz w:val="20"/>
              </w:rPr>
              <w:t>Owner</w:t>
            </w:r>
          </w:p>
        </w:tc>
        <w:tc>
          <w:tcPr>
            <w:tcW w:type="dxa" w:w="1624"/>
            <w:shd w:val="clear" w:color="auto" w:fill="1E40AF"/>
          </w:tcPr>
          <w:p>
            <w:r/>
            <w:r>
              <w:rPr>
                <w:rFonts w:ascii="Calibri" w:hAnsi="Calibri"/>
                <w:b/>
                <w:color w:val="FFFFFF"/>
                <w:sz w:val="20"/>
              </w:rPr>
              <w:t>Activity</w:t>
            </w:r>
          </w:p>
        </w:tc>
        <w:tc>
          <w:tcPr>
            <w:tcW w:type="dxa" w:w="1624"/>
            <w:shd w:val="clear" w:color="auto" w:fill="1E40AF"/>
          </w:tcPr>
          <w:p>
            <w:r/>
            <w:r>
              <w:rPr>
                <w:rFonts w:ascii="Calibri" w:hAnsi="Calibri"/>
                <w:b/>
                <w:color w:val="FFFFFF"/>
                <w:sz w:val="20"/>
              </w:rPr>
              <w:t>Deliverable</w:t>
            </w:r>
          </w:p>
        </w:tc>
        <w:tc>
          <w:tcPr>
            <w:tcW w:type="dxa" w:w="1624"/>
            <w:shd w:val="clear" w:color="auto" w:fill="1E40AF"/>
          </w:tcPr>
          <w:p>
            <w:r/>
            <w:r>
              <w:rPr>
                <w:rFonts w:ascii="Calibri" w:hAnsi="Calibri"/>
                <w:b/>
                <w:color w:val="FFFFFF"/>
                <w:sz w:val="20"/>
              </w:rPr>
              <w:t>Time</w:t>
            </w:r>
          </w:p>
        </w:tc>
        <w:tc>
          <w:tcPr>
            <w:tcW w:type="dxa" w:w="1624"/>
            <w:shd w:val="clear" w:color="auto" w:fill="1E40AF"/>
          </w:tcPr>
          <w:p>
            <w:r/>
            <w:r>
              <w:rPr>
                <w:rFonts w:ascii="Calibri" w:hAnsi="Calibri"/>
                <w:b/>
                <w:color w:val="FFFFFF"/>
                <w:sz w:val="20"/>
              </w:rPr>
              <w:t>Escalation if missed</w:t>
            </w:r>
          </w:p>
        </w:tc>
      </w:tr>
      <w:tr>
        <w:tc>
          <w:tcPr>
            <w:tcW w:type="dxa" w:w="1624"/>
          </w:tcPr>
          <w:p>
            <w:r/>
            <w:r>
              <w:rPr>
                <w:rFonts w:ascii="Calibri" w:hAnsi="Calibri"/>
                <w:b/>
                <w:color w:val="0F172A"/>
                <w:sz w:val="18"/>
              </w:rPr>
              <w:t>Full control plan audit</w:t>
            </w:r>
          </w:p>
        </w:tc>
        <w:tc>
          <w:tcPr>
            <w:tcW w:type="dxa" w:w="1624"/>
          </w:tcPr>
          <w:p>
            <w:r/>
            <w:r>
              <w:rPr>
                <w:rFonts w:ascii="Calibri" w:hAnsi="Calibri"/>
                <w:color w:val="0F172A"/>
                <w:sz w:val="18"/>
              </w:rPr>
              <w:t>MBB + Track Leads + external</w:t>
            </w:r>
          </w:p>
        </w:tc>
        <w:tc>
          <w:tcPr>
            <w:tcW w:type="dxa" w:w="1624"/>
          </w:tcPr>
          <w:p>
            <w:r/>
            <w:r>
              <w:rPr>
                <w:rFonts w:ascii="Calibri" w:hAnsi="Calibri"/>
                <w:color w:val="0F172A"/>
                <w:sz w:val="18"/>
              </w:rPr>
              <w:t>Comprehensive audit of all controls, SPC charts, Poka-Yoke enforcement, AI agent governance</w:t>
            </w:r>
          </w:p>
        </w:tc>
        <w:tc>
          <w:tcPr>
            <w:tcW w:type="dxa" w:w="1624"/>
          </w:tcPr>
          <w:p>
            <w:r/>
            <w:r>
              <w:rPr>
                <w:rFonts w:ascii="Calibri" w:hAnsi="Calibri"/>
                <w:color w:val="0F172A"/>
                <w:sz w:val="18"/>
              </w:rPr>
              <w:t>Audit report; remediation plan</w:t>
            </w:r>
          </w:p>
        </w:tc>
        <w:tc>
          <w:tcPr>
            <w:tcW w:type="dxa" w:w="1624"/>
          </w:tcPr>
          <w:p>
            <w:r/>
            <w:r>
              <w:rPr>
                <w:rFonts w:ascii="Calibri" w:hAnsi="Calibri"/>
                <w:color w:val="0F172A"/>
                <w:sz w:val="18"/>
              </w:rPr>
              <w:t>40 h/GB + 80 h/lead</w:t>
            </w:r>
          </w:p>
        </w:tc>
        <w:tc>
          <w:tcPr>
            <w:tcW w:type="dxa" w:w="1624"/>
          </w:tcPr>
          <w:p>
            <w:r/>
            <w:r>
              <w:rPr>
                <w:rFonts w:ascii="Calibri" w:hAnsi="Calibri"/>
                <w:color w:val="0F172A"/>
                <w:sz w:val="18"/>
              </w:rPr>
              <w:t>Tier 3 to CISO; CISO + executive committee if material gaps</w:t>
            </w:r>
          </w:p>
        </w:tc>
      </w:tr>
      <w:tr>
        <w:tc>
          <w:tcPr>
            <w:tcW w:type="dxa" w:w="1624"/>
          </w:tcPr>
          <w:p>
            <w:r/>
            <w:r>
              <w:rPr>
                <w:rFonts w:ascii="Calibri" w:hAnsi="Calibri"/>
                <w:b/>
                <w:color w:val="0F172A"/>
                <w:sz w:val="18"/>
              </w:rPr>
              <w:t>Third-party security assessment</w:t>
            </w:r>
          </w:p>
        </w:tc>
        <w:tc>
          <w:tcPr>
            <w:tcW w:type="dxa" w:w="1624"/>
          </w:tcPr>
          <w:p>
            <w:r/>
            <w:r>
              <w:rPr>
                <w:rFonts w:ascii="Calibri" w:hAnsi="Calibri"/>
                <w:color w:val="0F172A"/>
                <w:sz w:val="18"/>
              </w:rPr>
              <w:t>External assessor</w:t>
            </w:r>
          </w:p>
        </w:tc>
        <w:tc>
          <w:tcPr>
            <w:tcW w:type="dxa" w:w="1624"/>
          </w:tcPr>
          <w:p>
            <w:r/>
            <w:r>
              <w:rPr>
                <w:rFonts w:ascii="Calibri" w:hAnsi="Calibri"/>
                <w:color w:val="0F172A"/>
                <w:sz w:val="18"/>
              </w:rPr>
              <w:t>Independent security assessment (red team, penetration test, configuration review)</w:t>
            </w:r>
          </w:p>
        </w:tc>
        <w:tc>
          <w:tcPr>
            <w:tcW w:type="dxa" w:w="1624"/>
          </w:tcPr>
          <w:p>
            <w:r/>
            <w:r>
              <w:rPr>
                <w:rFonts w:ascii="Calibri" w:hAnsi="Calibri"/>
                <w:color w:val="0F172A"/>
                <w:sz w:val="18"/>
              </w:rPr>
              <w:t>Third-party assessment report</w:t>
            </w:r>
          </w:p>
        </w:tc>
        <w:tc>
          <w:tcPr>
            <w:tcW w:type="dxa" w:w="1624"/>
          </w:tcPr>
          <w:p>
            <w:r/>
            <w:r>
              <w:rPr>
                <w:rFonts w:ascii="Calibri" w:hAnsi="Calibri"/>
                <w:color w:val="0F172A"/>
                <w:sz w:val="18"/>
              </w:rPr>
              <w:t>40 h coordination</w:t>
            </w:r>
          </w:p>
        </w:tc>
        <w:tc>
          <w:tcPr>
            <w:tcW w:type="dxa" w:w="1624"/>
          </w:tcPr>
          <w:p>
            <w:r/>
            <w:r>
              <w:rPr>
                <w:rFonts w:ascii="Calibri" w:hAnsi="Calibri"/>
                <w:color w:val="0F172A"/>
                <w:sz w:val="18"/>
              </w:rPr>
              <w:t>Tier 3 to CISO; engagement scope review</w:t>
            </w:r>
          </w:p>
        </w:tc>
      </w:tr>
      <w:tr>
        <w:tc>
          <w:tcPr>
            <w:tcW w:type="dxa" w:w="1624"/>
          </w:tcPr>
          <w:p>
            <w:r/>
            <w:r>
              <w:rPr>
                <w:rFonts w:ascii="Calibri" w:hAnsi="Calibri"/>
                <w:b/>
                <w:color w:val="0F172A"/>
                <w:sz w:val="18"/>
              </w:rPr>
              <w:t>Regulatory compliance audit</w:t>
            </w:r>
          </w:p>
        </w:tc>
        <w:tc>
          <w:tcPr>
            <w:tcW w:type="dxa" w:w="1624"/>
          </w:tcPr>
          <w:p>
            <w:r/>
            <w:r>
              <w:rPr>
                <w:rFonts w:ascii="Calibri" w:hAnsi="Calibri"/>
                <w:color w:val="0F172A"/>
                <w:sz w:val="18"/>
              </w:rPr>
              <w:t>MBB + Legal/Compliance</w:t>
            </w:r>
          </w:p>
        </w:tc>
        <w:tc>
          <w:tcPr>
            <w:tcW w:type="dxa" w:w="1624"/>
          </w:tcPr>
          <w:p>
            <w:r/>
            <w:r>
              <w:rPr>
                <w:rFonts w:ascii="Calibri" w:hAnsi="Calibri"/>
                <w:color w:val="0F172A"/>
                <w:sz w:val="18"/>
              </w:rPr>
              <w:t>NIS2, IEC 62443, OEM cyber attestation audit</w:t>
            </w:r>
          </w:p>
        </w:tc>
        <w:tc>
          <w:tcPr>
            <w:tcW w:type="dxa" w:w="1624"/>
          </w:tcPr>
          <w:p>
            <w:r/>
            <w:r>
              <w:rPr>
                <w:rFonts w:ascii="Calibri" w:hAnsi="Calibri"/>
                <w:color w:val="0F172A"/>
                <w:sz w:val="18"/>
              </w:rPr>
              <w:t>Compliance attestation</w:t>
            </w:r>
          </w:p>
        </w:tc>
        <w:tc>
          <w:tcPr>
            <w:tcW w:type="dxa" w:w="1624"/>
          </w:tcPr>
          <w:p>
            <w:r/>
            <w:r>
              <w:rPr>
                <w:rFonts w:ascii="Calibri" w:hAnsi="Calibri"/>
                <w:color w:val="0F172A"/>
                <w:sz w:val="18"/>
              </w:rPr>
              <w:t>20 h/MBB</w:t>
            </w:r>
          </w:p>
        </w:tc>
        <w:tc>
          <w:tcPr>
            <w:tcW w:type="dxa" w:w="1624"/>
          </w:tcPr>
          <w:p>
            <w:r/>
            <w:r>
              <w:rPr>
                <w:rFonts w:ascii="Calibri" w:hAnsi="Calibri"/>
                <w:color w:val="0F172A"/>
                <w:sz w:val="18"/>
              </w:rPr>
              <w:t>Tier 4 if any non-compliance finding</w:t>
            </w:r>
          </w:p>
        </w:tc>
      </w:tr>
      <w:tr>
        <w:tc>
          <w:tcPr>
            <w:tcW w:type="dxa" w:w="1624"/>
          </w:tcPr>
          <w:p>
            <w:r/>
            <w:r>
              <w:rPr>
                <w:rFonts w:ascii="Calibri" w:hAnsi="Calibri"/>
                <w:b/>
                <w:color w:val="0F172A"/>
                <w:sz w:val="18"/>
              </w:rPr>
              <w:t>Bi-annual CISO audit</w:t>
            </w:r>
          </w:p>
        </w:tc>
        <w:tc>
          <w:tcPr>
            <w:tcW w:type="dxa" w:w="1624"/>
          </w:tcPr>
          <w:p>
            <w:r/>
            <w:r>
              <w:rPr>
                <w:rFonts w:ascii="Calibri" w:hAnsi="Calibri"/>
                <w:color w:val="0F172A"/>
                <w:sz w:val="18"/>
              </w:rPr>
              <w:t>CISO + MBB</w:t>
            </w:r>
          </w:p>
        </w:tc>
        <w:tc>
          <w:tcPr>
            <w:tcW w:type="dxa" w:w="1624"/>
          </w:tcPr>
          <w:p>
            <w:r/>
            <w:r>
              <w:rPr>
                <w:rFonts w:ascii="Calibri" w:hAnsi="Calibri"/>
                <w:color w:val="0F172A"/>
                <w:sz w:val="18"/>
              </w:rPr>
              <w:t>Joint audit of engagement performance, control plan, maturity score, COPQ protected value</w:t>
            </w:r>
          </w:p>
        </w:tc>
        <w:tc>
          <w:tcPr>
            <w:tcW w:type="dxa" w:w="1624"/>
          </w:tcPr>
          <w:p>
            <w:r/>
            <w:r>
              <w:rPr>
                <w:rFonts w:ascii="Calibri" w:hAnsi="Calibri"/>
                <w:color w:val="0F172A"/>
                <w:sz w:val="18"/>
              </w:rPr>
              <w:t>CISO audit report</w:t>
            </w:r>
          </w:p>
        </w:tc>
        <w:tc>
          <w:tcPr>
            <w:tcW w:type="dxa" w:w="1624"/>
          </w:tcPr>
          <w:p>
            <w:r/>
            <w:r>
              <w:rPr>
                <w:rFonts w:ascii="Calibri" w:hAnsi="Calibri"/>
                <w:color w:val="0F172A"/>
                <w:sz w:val="18"/>
              </w:rPr>
              <w:t>8 h/MBB + 4 h/CISO</w:t>
            </w:r>
          </w:p>
        </w:tc>
        <w:tc>
          <w:tcPr>
            <w:tcW w:type="dxa" w:w="1624"/>
          </w:tcPr>
          <w:p>
            <w:r/>
            <w:r>
              <w:rPr>
                <w:rFonts w:ascii="Calibri" w:hAnsi="Calibri"/>
                <w:color w:val="0F172A"/>
                <w:sz w:val="18"/>
              </w:rPr>
              <w:t>Executive committee briefing if material gaps</w:t>
            </w:r>
          </w:p>
        </w:tc>
      </w:tr>
      <w:tr>
        <w:tc>
          <w:tcPr>
            <w:tcW w:type="dxa" w:w="1624"/>
          </w:tcPr>
          <w:p>
            <w:r/>
            <w:r>
              <w:rPr>
                <w:rFonts w:ascii="Calibri" w:hAnsi="Calibri"/>
                <w:b/>
                <w:color w:val="0F172A"/>
                <w:sz w:val="18"/>
              </w:rPr>
              <w:t>Insurance review</w:t>
            </w:r>
          </w:p>
        </w:tc>
        <w:tc>
          <w:tcPr>
            <w:tcW w:type="dxa" w:w="1624"/>
          </w:tcPr>
          <w:p>
            <w:r/>
            <w:r>
              <w:rPr>
                <w:rFonts w:ascii="Calibri" w:hAnsi="Calibri"/>
                <w:color w:val="0F172A"/>
                <w:sz w:val="18"/>
              </w:rPr>
              <w:t>MBB + Legal/Compliance + Finance</w:t>
            </w:r>
          </w:p>
        </w:tc>
        <w:tc>
          <w:tcPr>
            <w:tcW w:type="dxa" w:w="1624"/>
          </w:tcPr>
          <w:p>
            <w:r/>
            <w:r>
              <w:rPr>
                <w:rFonts w:ascii="Calibri" w:hAnsi="Calibri"/>
                <w:color w:val="0F172A"/>
                <w:sz w:val="18"/>
              </w:rPr>
              <w:t>Review cyber insurance coverage against current exposure band</w:t>
            </w:r>
          </w:p>
        </w:tc>
        <w:tc>
          <w:tcPr>
            <w:tcW w:type="dxa" w:w="1624"/>
          </w:tcPr>
          <w:p>
            <w:r/>
            <w:r>
              <w:rPr>
                <w:rFonts w:ascii="Calibri" w:hAnsi="Calibri"/>
                <w:color w:val="0F172A"/>
                <w:sz w:val="18"/>
              </w:rPr>
              <w:t>Insurance review note</w:t>
            </w:r>
          </w:p>
        </w:tc>
        <w:tc>
          <w:tcPr>
            <w:tcW w:type="dxa" w:w="1624"/>
          </w:tcPr>
          <w:p>
            <w:r/>
            <w:r>
              <w:rPr>
                <w:rFonts w:ascii="Calibri" w:hAnsi="Calibri"/>
                <w:color w:val="0F172A"/>
                <w:sz w:val="18"/>
              </w:rPr>
              <w:t>8 h/MBB</w:t>
            </w:r>
          </w:p>
        </w:tc>
        <w:tc>
          <w:tcPr>
            <w:tcW w:type="dxa" w:w="1624"/>
          </w:tcPr>
          <w:p>
            <w:r/>
            <w:r>
              <w:rPr>
                <w:rFonts w:ascii="Calibri" w:hAnsi="Calibri"/>
                <w:color w:val="0F172A"/>
                <w:sz w:val="18"/>
              </w:rPr>
              <w:t>Tier 3 if coverage materially inadequate</w:t>
            </w:r>
          </w:p>
        </w:tc>
      </w:tr>
      <w:tr>
        <w:tc>
          <w:tcPr>
            <w:tcW w:type="dxa" w:w="1624"/>
          </w:tcPr>
          <w:p>
            <w:r/>
            <w:r>
              <w:rPr>
                <w:rFonts w:ascii="Calibri" w:hAnsi="Calibri"/>
                <w:b/>
                <w:color w:val="0F172A"/>
                <w:sz w:val="18"/>
              </w:rPr>
              <w:t>Strategic threat landscape review</w:t>
            </w:r>
          </w:p>
        </w:tc>
        <w:tc>
          <w:tcPr>
            <w:tcW w:type="dxa" w:w="1624"/>
          </w:tcPr>
          <w:p>
            <w:r/>
            <w:r>
              <w:rPr>
                <w:rFonts w:ascii="Calibri" w:hAnsi="Calibri"/>
                <w:color w:val="0F172A"/>
                <w:sz w:val="18"/>
              </w:rPr>
              <w:t>MBB + CISO + IT Security</w:t>
            </w:r>
          </w:p>
        </w:tc>
        <w:tc>
          <w:tcPr>
            <w:tcW w:type="dxa" w:w="1624"/>
          </w:tcPr>
          <w:p>
            <w:r/>
            <w:r>
              <w:rPr>
                <w:rFonts w:ascii="Calibri" w:hAnsi="Calibri"/>
                <w:color w:val="0F172A"/>
                <w:sz w:val="18"/>
              </w:rPr>
              <w:t>Forward-looking review of threat landscape, regulatory direction, technology shifts</w:t>
            </w:r>
          </w:p>
        </w:tc>
        <w:tc>
          <w:tcPr>
            <w:tcW w:type="dxa" w:w="1624"/>
          </w:tcPr>
          <w:p>
            <w:r/>
            <w:r>
              <w:rPr>
                <w:rFonts w:ascii="Calibri" w:hAnsi="Calibri"/>
                <w:color w:val="0F172A"/>
                <w:sz w:val="18"/>
              </w:rPr>
              <w:t>Strategic threat brief; engagement re-scoping if needed</w:t>
            </w:r>
          </w:p>
        </w:tc>
        <w:tc>
          <w:tcPr>
            <w:tcW w:type="dxa" w:w="1624"/>
          </w:tcPr>
          <w:p>
            <w:r/>
            <w:r>
              <w:rPr>
                <w:rFonts w:ascii="Calibri" w:hAnsi="Calibri"/>
                <w:color w:val="0F172A"/>
                <w:sz w:val="18"/>
              </w:rPr>
              <w:t>16 h/MBB</w:t>
            </w:r>
          </w:p>
        </w:tc>
        <w:tc>
          <w:tcPr>
            <w:tcW w:type="dxa" w:w="1624"/>
          </w:tcPr>
          <w:p>
            <w:r/>
            <w:r>
              <w:rPr>
                <w:rFonts w:ascii="Calibri" w:hAnsi="Calibri"/>
                <w:color w:val="0F172A"/>
                <w:sz w:val="18"/>
              </w:rPr>
              <w:t>CISO decision on engagement continuation/scope</w:t>
            </w:r>
          </w:p>
        </w:tc>
      </w:tr>
      <w:tr>
        <w:tc>
          <w:tcPr>
            <w:tcW w:type="dxa" w:w="1624"/>
          </w:tcPr>
          <w:p>
            <w:r/>
            <w:r>
              <w:rPr>
                <w:rFonts w:ascii="Calibri" w:hAnsi="Calibri"/>
                <w:b/>
                <w:color w:val="0F172A"/>
                <w:sz w:val="18"/>
              </w:rPr>
              <w:t>Maturity score external validation</w:t>
            </w:r>
          </w:p>
        </w:tc>
        <w:tc>
          <w:tcPr>
            <w:tcW w:type="dxa" w:w="1624"/>
          </w:tcPr>
          <w:p>
            <w:r/>
            <w:r>
              <w:rPr>
                <w:rFonts w:ascii="Calibri" w:hAnsi="Calibri"/>
                <w:color w:val="0F172A"/>
                <w:sz w:val="18"/>
              </w:rPr>
              <w:t>External assessor</w:t>
            </w:r>
          </w:p>
        </w:tc>
        <w:tc>
          <w:tcPr>
            <w:tcW w:type="dxa" w:w="1624"/>
          </w:tcPr>
          <w:p>
            <w:r/>
            <w:r>
              <w:rPr>
                <w:rFonts w:ascii="Calibri" w:hAnsi="Calibri"/>
                <w:color w:val="0F172A"/>
                <w:sz w:val="18"/>
              </w:rPr>
              <w:t>Third-party validation of maturity score calculation and evidence</w:t>
            </w:r>
          </w:p>
        </w:tc>
        <w:tc>
          <w:tcPr>
            <w:tcW w:type="dxa" w:w="1624"/>
          </w:tcPr>
          <w:p>
            <w:r/>
            <w:r>
              <w:rPr>
                <w:rFonts w:ascii="Calibri" w:hAnsi="Calibri"/>
                <w:color w:val="0F172A"/>
                <w:sz w:val="18"/>
              </w:rPr>
              <w:t>External validation report</w:t>
            </w:r>
          </w:p>
        </w:tc>
        <w:tc>
          <w:tcPr>
            <w:tcW w:type="dxa" w:w="1624"/>
          </w:tcPr>
          <w:p>
            <w:r/>
            <w:r>
              <w:rPr>
                <w:rFonts w:ascii="Calibri" w:hAnsi="Calibri"/>
                <w:color w:val="0F172A"/>
                <w:sz w:val="18"/>
              </w:rPr>
              <w:t>16 h coordination</w:t>
            </w:r>
          </w:p>
        </w:tc>
        <w:tc>
          <w:tcPr>
            <w:tcW w:type="dxa" w:w="1624"/>
          </w:tcPr>
          <w:p>
            <w:r/>
            <w:r>
              <w:rPr>
                <w:rFonts w:ascii="Calibri" w:hAnsi="Calibri"/>
                <w:color w:val="0F172A"/>
                <w:sz w:val="18"/>
              </w:rPr>
              <w:t>Tier 3 if external validation materially diverges from internal score</w:t>
            </w:r>
          </w:p>
        </w:tc>
      </w:tr>
    </w:tbl>
    <w:p/>
    <w:p>
      <w:r>
        <w:rPr>
          <w:rFonts w:ascii="Calibri" w:hAnsi="Calibri"/>
          <w:b/>
          <w:sz w:val="22"/>
        </w:rPr>
        <w:t>Annual total per GB:</w:t>
      </w:r>
      <w:r>
        <w:rPr>
          <w:rFonts w:ascii="Calibri" w:hAnsi="Calibri"/>
          <w:sz w:val="22"/>
        </w:rPr>
        <w:t xml:space="preserve"> ~40–80 hours; concentrated in Q1 (full audit) and Q3 (regulatory + insurance + strategic)</w:t>
      </w:r>
    </w:p>
    <w:p>
      <w:r>
        <w:rPr>
          <w:rFonts w:ascii="Calibri" w:hAnsi="Calibri"/>
          <w:b/>
          <w:color w:val="0F172A"/>
          <w:sz w:val="24"/>
        </w:rPr>
        <w:t>6.2.5 Standard Work Compliance</w:t>
      </w:r>
    </w:p>
    <w:p>
      <w:r>
        <w:rPr>
          <w:rFonts w:ascii="Calibri" w:hAnsi="Calibri"/>
          <w:sz w:val="22"/>
        </w:rPr>
        <w:t>Standard Work compliance is itself a measurable KPI:</w:t>
      </w:r>
    </w:p>
    <w:p>
      <w:pPr>
        <w:pStyle w:val="ListBullet"/>
      </w:pPr>
      <w:r>
        <w:rPr>
          <w:rFonts w:ascii="Calibri" w:hAnsi="Calibri"/>
          <w:b/>
          <w:sz w:val="22"/>
        </w:rPr>
        <w:t>Target:</w:t>
      </w:r>
      <w:r>
        <w:rPr>
          <w:rFonts w:ascii="Calibri" w:hAnsi="Calibri"/>
          <w:sz w:val="22"/>
        </w:rPr>
        <w:t xml:space="preserve"> 100% of Green Belts complete 100% of weekly / monthly / quarterly routines</w:t>
      </w:r>
    </w:p>
    <w:p>
      <w:pPr>
        <w:pStyle w:val="ListBullet"/>
      </w:pPr>
      <w:r>
        <w:rPr>
          <w:rFonts w:ascii="Calibri" w:hAnsi="Calibri"/>
          <w:b/>
          <w:sz w:val="22"/>
        </w:rPr>
        <w:t>Measurement:</w:t>
      </w:r>
      <w:r>
        <w:rPr>
          <w:rFonts w:ascii="Calibri" w:hAnsi="Calibri"/>
          <w:sz w:val="22"/>
        </w:rPr>
        <w:t xml:space="preserve"> Track Lead audit; MBB review</w:t>
      </w:r>
    </w:p>
    <w:p>
      <w:pPr>
        <w:pStyle w:val="ListBullet"/>
      </w:pPr>
      <w:r>
        <w:rPr>
          <w:rFonts w:ascii="Calibri" w:hAnsi="Calibri"/>
          <w:b/>
          <w:sz w:val="22"/>
        </w:rPr>
        <w:t>Consequence of non-compliance:</w:t>
      </w:r>
      <w:r>
        <w:rPr>
          <w:rFonts w:ascii="Calibri" w:hAnsi="Calibri"/>
          <w:sz w:val="22"/>
        </w:rPr>
        <w:t xml:space="preserve"> Tier 2 escalation to MBB; if persistent, Tier 3 to CISO with re-allocation proposal</w:t>
      </w:r>
    </w:p>
    <w:p>
      <w:pPr>
        <w:pBdr>
          <w:bottom w:val="single" w:sz="6" w:space="1" w:color="CBD5E1"/>
        </w:pBdr>
      </w:pPr>
    </w:p>
    <w:p>
      <w:r>
        <w:rPr>
          <w:rFonts w:ascii="Calibri" w:hAnsi="Calibri"/>
          <w:b/>
          <w:color w:val="0F172A"/>
          <w:sz w:val="28"/>
        </w:rPr>
        <w:t>6.3 Cyber-Kaizen Triggers</w:t>
      </w:r>
    </w:p>
    <w:p>
      <w:r>
        <w:rPr>
          <w:rFonts w:ascii="Calibri" w:hAnsi="Calibri"/>
          <w:sz w:val="22"/>
        </w:rPr>
        <w:t>A Cyber-Kaizen event is initiated immediately if any of the following conditions are met. The trigger → response → close-out cycle is the same regardless of trigger type.</w:t>
      </w:r>
    </w:p>
    <w:p>
      <w:pPr>
        <w:shd w:val="clear" w:color="auto" w:fill="F1F5F9"/>
        <w:pBdr>
          <w:top w:val="single" w:sz="4" w:space="4" w:color="E2E8F0"/>
          <w:left w:val="single" w:sz="4" w:space="4" w:color="E2E8F0"/>
          <w:bottom w:val="single" w:sz="4" w:space="4" w:color="E2E8F0"/>
          <w:right w:val="single" w:sz="4" w:space="4" w:color="E2E8F0"/>
        </w:pBdr>
      </w:pPr>
      <w:r>
        <w:rPr>
          <w:rFonts w:ascii="Consolas" w:hAnsi="Consolas"/>
          <w:color w:val="334155"/>
          <w:sz w:val="18"/>
        </w:rPr>
        <w:t xml:space="preserve">                  ┌─────────────────────────────────────────┐</w:t>
        <w:br/>
      </w:r>
      <w:r>
        <w:rPr>
          <w:rFonts w:ascii="Consolas" w:hAnsi="Consolas"/>
          <w:color w:val="334155"/>
          <w:sz w:val="18"/>
        </w:rPr>
        <w:t xml:space="preserve">                  │      ANY OF THESE CONDITIONS MET?       │</w:t>
        <w:br/>
      </w:r>
      <w:r>
        <w:rPr>
          <w:rFonts w:ascii="Consolas" w:hAnsi="Consolas"/>
          <w:color w:val="334155"/>
          <w:sz w:val="18"/>
        </w:rPr>
        <w:t xml:space="preserve">                  └────────────────────┬────────────────────┘</w:t>
        <w:br/>
      </w:r>
      <w:r>
        <w:rPr>
          <w:rFonts w:ascii="Consolas" w:hAnsi="Consolas"/>
          <w:color w:val="334155"/>
          <w:sz w:val="18"/>
        </w:rPr>
        <w:t xml:space="preserve">                                       │</w:t>
        <w:br/>
      </w:r>
      <w:r>
        <w:rPr>
          <w:rFonts w:ascii="Consolas" w:hAnsi="Consolas"/>
          <w:color w:val="334155"/>
          <w:sz w:val="18"/>
        </w:rPr>
        <w:t xml:space="preserve">   ┌───────────────┬───────────────────┼───────────────────┬───────────────┬───────────────┐</w:t>
        <w:br/>
      </w:r>
      <w:r>
        <w:rPr>
          <w:rFonts w:ascii="Consolas" w:hAnsi="Consolas"/>
          <w:color w:val="334155"/>
          <w:sz w:val="18"/>
        </w:rPr>
        <w:t xml:space="preserve">   ▼               ▼                   ▼                   ▼               ▼               ▼</w:t>
        <w:br/>
      </w:r>
      <w:r>
        <w:rPr>
          <w:rFonts w:ascii="Consolas" w:hAnsi="Consolas"/>
          <w:color w:val="334155"/>
          <w:sz w:val="18"/>
        </w:rPr>
        <w:t>[SPC Anomaly]  [MTTR Breach]    [New Asset Ingress]  [Regulatory Δ] [Industry Event] [Personnel Δ]</w:t>
        <w:br/>
      </w:r>
      <w:r>
        <w:rPr>
          <w:rFonts w:ascii="Consolas" w:hAnsi="Consolas"/>
          <w:color w:val="334155"/>
          <w:sz w:val="18"/>
        </w:rPr>
        <w:t xml:space="preserve"> UCL breach     SMED &gt; target    New PLC / line tool  NIS2 amend.    Peer breach    Key GB departure</w:t>
        <w:br/>
      </w:r>
      <w:r>
        <w:rPr>
          <w:rFonts w:ascii="Consolas" w:hAnsi="Consolas"/>
          <w:color w:val="334155"/>
          <w:sz w:val="18"/>
        </w:rPr>
        <w:t xml:space="preserve">   │               │                   │                   │               │               │</w:t>
        <w:br/>
      </w:r>
      <w:r>
        <w:rPr>
          <w:rFonts w:ascii="Consolas" w:hAnsi="Consolas"/>
          <w:color w:val="334155"/>
          <w:sz w:val="18"/>
        </w:rPr>
        <w:t xml:space="preserve">   ├───────────────┴─────────┬─────────┴─────────┬─────────┴───────────────┴───────────────┤</w:t>
        <w:br/>
      </w:r>
      <w:r>
        <w:rPr>
          <w:rFonts w:ascii="Consolas" w:hAnsi="Consolas"/>
          <w:color w:val="334155"/>
          <w:sz w:val="18"/>
        </w:rPr>
        <w:t xml:space="preserve">                             │                   │                                          │</w:t>
        <w:br/>
      </w:r>
      <w:r>
        <w:rPr>
          <w:rFonts w:ascii="Consolas" w:hAnsi="Consolas"/>
          <w:color w:val="334155"/>
          <w:sz w:val="18"/>
        </w:rPr>
        <w:t xml:space="preserve">                             ▼                   ▼                                          ▼</w:t>
        <w:br/>
      </w:r>
      <w:r>
        <w:rPr>
          <w:rFonts w:ascii="Consolas" w:hAnsi="Consolas"/>
          <w:color w:val="334155"/>
          <w:sz w:val="18"/>
        </w:rPr>
        <w:t xml:space="preserve">              ┌─────────────────────────┐  ┌──────────────────────────┐  ┌──────────────────────────┐</w:t>
        <w:br/>
      </w:r>
      <w:r>
        <w:rPr>
          <w:rFonts w:ascii="Consolas" w:hAnsi="Consolas"/>
          <w:color w:val="334155"/>
          <w:sz w:val="18"/>
        </w:rPr>
        <w:t xml:space="preserve">              │  CYBER-KAIZEN EVENT     │  │  TIER 2/3 ESCALATION     │  │  STRUCTURAL CHANGE       │</w:t>
        <w:br/>
      </w:r>
      <w:r>
        <w:rPr>
          <w:rFonts w:ascii="Consolas" w:hAnsi="Consolas"/>
          <w:color w:val="334155"/>
          <w:sz w:val="18"/>
        </w:rPr>
        <w:t xml:space="preserve">              │  - 5-Why root cause     │  │  to MBB / CISO           │  │  Supply chain / M&amp;A /    │</w:t>
        <w:br/>
      </w:r>
      <w:r>
        <w:rPr>
          <w:rFonts w:ascii="Consolas" w:hAnsi="Consolas"/>
          <w:color w:val="334155"/>
          <w:sz w:val="18"/>
        </w:rPr>
        <w:t xml:space="preserve">              │  - A3 problem-solving  │  │  + standard Kaizen       │  │  IP licensing            │</w:t>
        <w:br/>
      </w:r>
      <w:r>
        <w:rPr>
          <w:rFonts w:ascii="Consolas" w:hAnsi="Consolas"/>
          <w:color w:val="334155"/>
          <w:sz w:val="18"/>
        </w:rPr>
        <w:t xml:space="preserve">              │  - Action items + owner│  │    response             │  │  → Tier 3 to CISO        │</w:t>
        <w:br/>
      </w:r>
      <w:r>
        <w:rPr>
          <w:rFonts w:ascii="Consolas" w:hAnsi="Consolas"/>
          <w:color w:val="334155"/>
          <w:sz w:val="18"/>
        </w:rPr>
        <w:t xml:space="preserve">              │  - Close-out within    │  │                          │  │  → MBB + Legal + IT Sec  │</w:t>
        <w:br/>
      </w:r>
      <w:r>
        <w:rPr>
          <w:rFonts w:ascii="Consolas" w:hAnsi="Consolas"/>
          <w:color w:val="334155"/>
          <w:sz w:val="18"/>
        </w:rPr>
        <w:t xml:space="preserve">              │    5 business days     │  │                          │  │  → FMEA + control plan   │</w:t>
        <w:br/>
      </w:r>
      <w:r>
        <w:rPr>
          <w:rFonts w:ascii="Consolas" w:hAnsi="Consolas"/>
          <w:color w:val="334155"/>
          <w:sz w:val="18"/>
        </w:rPr>
        <w:t xml:space="preserve">              └─────────────────────────┘  └──────────────────────────┘  │    + crypto signing      │</w:t>
        <w:br/>
      </w:r>
      <w:r>
        <w:rPr>
          <w:rFonts w:ascii="Consolas" w:hAnsi="Consolas"/>
          <w:color w:val="334155"/>
          <w:sz w:val="18"/>
        </w:rPr>
        <w:t xml:space="preserve">                                                                            │    + data residency      │</w:t>
        <w:br/>
      </w:r>
      <w:r>
        <w:rPr>
          <w:rFonts w:ascii="Consolas" w:hAnsi="Consolas"/>
          <w:color w:val="334155"/>
          <w:sz w:val="18"/>
        </w:rPr>
        <w:t xml:space="preserve">                                                                            │    + re-scope if needed  │</w:t>
        <w:br/>
      </w:r>
      <w:r>
        <w:rPr>
          <w:rFonts w:ascii="Consolas" w:hAnsi="Consolas"/>
          <w:color w:val="334155"/>
          <w:sz w:val="18"/>
        </w:rPr>
        <w:t xml:space="preserve">                                                                            └──────────────────────────┘</w:t>
      </w:r>
    </w:p>
    <w:p>
      <w:r>
        <w:rPr>
          <w:rFonts w:ascii="Calibri" w:hAnsi="Calibri"/>
          <w:b/>
          <w:color w:val="0F172A"/>
          <w:sz w:val="24"/>
        </w:rPr>
        <w:t>6.3.1 Trigger Catalogue</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shd w:val="clear" w:color="auto" w:fill="1E40AF"/>
          </w:tcPr>
          <w:p>
            <w:r/>
            <w:r>
              <w:rPr>
                <w:rFonts w:ascii="Calibri" w:hAnsi="Calibri"/>
                <w:b/>
                <w:color w:val="FFFFFF"/>
                <w:sz w:val="20"/>
              </w:rPr>
              <w:t>#</w:t>
            </w:r>
          </w:p>
        </w:tc>
        <w:tc>
          <w:tcPr>
            <w:tcW w:type="dxa" w:w="1949"/>
            <w:shd w:val="clear" w:color="auto" w:fill="1E40AF"/>
          </w:tcPr>
          <w:p>
            <w:r/>
            <w:r>
              <w:rPr>
                <w:rFonts w:ascii="Calibri" w:hAnsi="Calibri"/>
                <w:b/>
                <w:color w:val="FFFFFF"/>
                <w:sz w:val="20"/>
              </w:rPr>
              <w:t>Trigger</w:t>
            </w:r>
          </w:p>
        </w:tc>
        <w:tc>
          <w:tcPr>
            <w:tcW w:type="dxa" w:w="1949"/>
            <w:shd w:val="clear" w:color="auto" w:fill="1E40AF"/>
          </w:tcPr>
          <w:p>
            <w:r/>
            <w:r>
              <w:rPr>
                <w:rFonts w:ascii="Calibri" w:hAnsi="Calibri"/>
                <w:b/>
                <w:color w:val="FFFFFF"/>
                <w:sz w:val="20"/>
              </w:rPr>
              <w:t>Detection</w:t>
            </w:r>
          </w:p>
        </w:tc>
        <w:tc>
          <w:tcPr>
            <w:tcW w:type="dxa" w:w="1949"/>
            <w:shd w:val="clear" w:color="auto" w:fill="1E40AF"/>
          </w:tcPr>
          <w:p>
            <w:r/>
            <w:r>
              <w:rPr>
                <w:rFonts w:ascii="Calibri" w:hAnsi="Calibri"/>
                <w:b/>
                <w:color w:val="FFFFFF"/>
                <w:sz w:val="20"/>
              </w:rPr>
              <w:t>Response</w:t>
            </w:r>
          </w:p>
        </w:tc>
        <w:tc>
          <w:tcPr>
            <w:tcW w:type="dxa" w:w="1949"/>
            <w:shd w:val="clear" w:color="auto" w:fill="1E40AF"/>
          </w:tcPr>
          <w:p>
            <w:r/>
            <w:r>
              <w:rPr>
                <w:rFonts w:ascii="Calibri" w:hAnsi="Calibri"/>
                <w:b/>
                <w:color w:val="FFFFFF"/>
                <w:sz w:val="20"/>
              </w:rPr>
              <w:t>Close-out</w:t>
            </w:r>
          </w:p>
        </w:tc>
      </w:tr>
      <w:tr>
        <w:tc>
          <w:tcPr>
            <w:tcW w:type="dxa" w:w="1949"/>
          </w:tcPr>
          <w:p>
            <w:r/>
            <w:r>
              <w:rPr>
                <w:rFonts w:ascii="Calibri" w:hAnsi="Calibri"/>
                <w:color w:val="0F172A"/>
                <w:sz w:val="18"/>
              </w:rPr>
              <w:t>1</w:t>
            </w:r>
          </w:p>
        </w:tc>
        <w:tc>
          <w:tcPr>
            <w:tcW w:type="dxa" w:w="1949"/>
          </w:tcPr>
          <w:p>
            <w:r/>
            <w:r>
              <w:rPr>
                <w:rFonts w:ascii="Calibri" w:hAnsi="Calibri"/>
                <w:b/>
                <w:color w:val="0F172A"/>
                <w:sz w:val="18"/>
              </w:rPr>
              <w:t>SPC UCL breach</w:t>
            </w:r>
          </w:p>
        </w:tc>
        <w:tc>
          <w:tcPr>
            <w:tcW w:type="dxa" w:w="1949"/>
          </w:tcPr>
          <w:p>
            <w:r/>
            <w:r>
              <w:rPr>
                <w:rFonts w:ascii="Calibri" w:hAnsi="Calibri"/>
                <w:color w:val="0F172A"/>
                <w:sz w:val="18"/>
              </w:rPr>
              <w:t>SPC chart automation</w:t>
            </w:r>
          </w:p>
        </w:tc>
        <w:tc>
          <w:tcPr>
            <w:tcW w:type="dxa" w:w="1949"/>
          </w:tcPr>
          <w:p>
            <w:r/>
            <w:r>
              <w:rPr>
                <w:rFonts w:ascii="Calibri" w:hAnsi="Calibri"/>
                <w:color w:val="0F172A"/>
                <w:sz w:val="18"/>
              </w:rPr>
              <w:t>Track B GB investigates within 24h; 5-Why within 48h</w:t>
            </w:r>
          </w:p>
        </w:tc>
        <w:tc>
          <w:tcPr>
            <w:tcW w:type="dxa" w:w="1949"/>
          </w:tcPr>
          <w:p>
            <w:r/>
            <w:r>
              <w:rPr>
                <w:rFonts w:ascii="Calibri" w:hAnsi="Calibri"/>
                <w:color w:val="0F172A"/>
                <w:sz w:val="18"/>
              </w:rPr>
              <w:t>A3 within 5 business days</w:t>
            </w:r>
          </w:p>
        </w:tc>
      </w:tr>
      <w:tr>
        <w:tc>
          <w:tcPr>
            <w:tcW w:type="dxa" w:w="1949"/>
          </w:tcPr>
          <w:p>
            <w:r/>
            <w:r>
              <w:rPr>
                <w:rFonts w:ascii="Calibri" w:hAnsi="Calibri"/>
                <w:color w:val="0F172A"/>
                <w:sz w:val="18"/>
              </w:rPr>
              <w:t>2</w:t>
            </w:r>
          </w:p>
        </w:tc>
        <w:tc>
          <w:tcPr>
            <w:tcW w:type="dxa" w:w="1949"/>
          </w:tcPr>
          <w:p>
            <w:r/>
            <w:r>
              <w:rPr>
                <w:rFonts w:ascii="Calibri" w:hAnsi="Calibri"/>
                <w:b/>
                <w:color w:val="0F172A"/>
                <w:sz w:val="18"/>
              </w:rPr>
              <w:t>MTTR breach in drill</w:t>
            </w:r>
          </w:p>
        </w:tc>
        <w:tc>
          <w:tcPr>
            <w:tcW w:type="dxa" w:w="1949"/>
          </w:tcPr>
          <w:p>
            <w:r/>
            <w:r>
              <w:rPr>
                <w:rFonts w:ascii="Calibri" w:hAnsi="Calibri"/>
                <w:color w:val="0F172A"/>
                <w:sz w:val="18"/>
              </w:rPr>
              <w:t>Monthly drill report</w:t>
            </w:r>
          </w:p>
        </w:tc>
        <w:tc>
          <w:tcPr>
            <w:tcW w:type="dxa" w:w="1949"/>
          </w:tcPr>
          <w:p>
            <w:r/>
            <w:r>
              <w:rPr>
                <w:rFonts w:ascii="Calibri" w:hAnsi="Calibri"/>
                <w:color w:val="0F172A"/>
                <w:sz w:val="18"/>
              </w:rPr>
              <w:t>Track C re-tests; identify root cause</w:t>
            </w:r>
          </w:p>
        </w:tc>
        <w:tc>
          <w:tcPr>
            <w:tcW w:type="dxa" w:w="1949"/>
          </w:tcPr>
          <w:p>
            <w:r/>
            <w:r>
              <w:rPr>
                <w:rFonts w:ascii="Calibri" w:hAnsi="Calibri"/>
                <w:color w:val="0F172A"/>
                <w:sz w:val="18"/>
              </w:rPr>
              <w:t>A3 within 5 business days</w:t>
            </w:r>
          </w:p>
        </w:tc>
      </w:tr>
      <w:tr>
        <w:tc>
          <w:tcPr>
            <w:tcW w:type="dxa" w:w="1949"/>
          </w:tcPr>
          <w:p>
            <w:r/>
            <w:r>
              <w:rPr>
                <w:rFonts w:ascii="Calibri" w:hAnsi="Calibri"/>
                <w:color w:val="0F172A"/>
                <w:sz w:val="18"/>
              </w:rPr>
              <w:t>3</w:t>
            </w:r>
          </w:p>
        </w:tc>
        <w:tc>
          <w:tcPr>
            <w:tcW w:type="dxa" w:w="1949"/>
          </w:tcPr>
          <w:p>
            <w:r/>
            <w:r>
              <w:rPr>
                <w:rFonts w:ascii="Calibri" w:hAnsi="Calibri"/>
                <w:b/>
                <w:color w:val="0F172A"/>
                <w:sz w:val="18"/>
              </w:rPr>
              <w:t>New asset ingress</w:t>
            </w:r>
          </w:p>
        </w:tc>
        <w:tc>
          <w:tcPr>
            <w:tcW w:type="dxa" w:w="1949"/>
          </w:tcPr>
          <w:p>
            <w:r/>
            <w:r>
              <w:rPr>
                <w:rFonts w:ascii="Calibri" w:hAnsi="Calibri"/>
                <w:color w:val="0F172A"/>
                <w:sz w:val="18"/>
              </w:rPr>
              <w:t>Track A asset inventory</w:t>
            </w:r>
          </w:p>
        </w:tc>
        <w:tc>
          <w:tcPr>
            <w:tcW w:type="dxa" w:w="1949"/>
          </w:tcPr>
          <w:p>
            <w:r/>
            <w:r>
              <w:rPr>
                <w:rFonts w:ascii="Calibri" w:hAnsi="Calibri"/>
                <w:color w:val="0F172A"/>
                <w:sz w:val="18"/>
              </w:rPr>
              <w:t>New asset FMEA within 5 business days; cryptographic signing verification</w:t>
            </w:r>
          </w:p>
        </w:tc>
        <w:tc>
          <w:tcPr>
            <w:tcW w:type="dxa" w:w="1949"/>
          </w:tcPr>
          <w:p>
            <w:r/>
            <w:r>
              <w:rPr>
                <w:rFonts w:ascii="Calibri" w:hAnsi="Calibri"/>
                <w:color w:val="0F172A"/>
                <w:sz w:val="18"/>
              </w:rPr>
              <w:t>Updated FMEA + control plan</w:t>
            </w:r>
          </w:p>
        </w:tc>
      </w:tr>
      <w:tr>
        <w:tc>
          <w:tcPr>
            <w:tcW w:type="dxa" w:w="1949"/>
          </w:tcPr>
          <w:p>
            <w:r/>
            <w:r>
              <w:rPr>
                <w:rFonts w:ascii="Calibri" w:hAnsi="Calibri"/>
                <w:color w:val="0F172A"/>
                <w:sz w:val="18"/>
              </w:rPr>
              <w:t>4</w:t>
            </w:r>
          </w:p>
        </w:tc>
        <w:tc>
          <w:tcPr>
            <w:tcW w:type="dxa" w:w="1949"/>
          </w:tcPr>
          <w:p>
            <w:r/>
            <w:r>
              <w:rPr>
                <w:rFonts w:ascii="Calibri" w:hAnsi="Calibri"/>
                <w:b/>
                <w:color w:val="0F172A"/>
                <w:sz w:val="18"/>
              </w:rPr>
              <w:t>Regulatory change</w:t>
            </w:r>
          </w:p>
        </w:tc>
        <w:tc>
          <w:tcPr>
            <w:tcW w:type="dxa" w:w="1949"/>
          </w:tcPr>
          <w:p>
            <w:r/>
            <w:r>
              <w:rPr>
                <w:rFonts w:ascii="Calibri" w:hAnsi="Calibri"/>
                <w:color w:val="0F172A"/>
                <w:sz w:val="18"/>
              </w:rPr>
              <w:t>Legal/Compliance monitoring</w:t>
            </w:r>
          </w:p>
        </w:tc>
        <w:tc>
          <w:tcPr>
            <w:tcW w:type="dxa" w:w="1949"/>
          </w:tcPr>
          <w:p>
            <w:r/>
            <w:r>
              <w:rPr>
                <w:rFonts w:ascii="Calibri" w:hAnsi="Calibri"/>
                <w:color w:val="0F172A"/>
                <w:sz w:val="18"/>
              </w:rPr>
              <w:t>MBB + Legal assess impact within 5 business days</w:t>
            </w:r>
          </w:p>
        </w:tc>
        <w:tc>
          <w:tcPr>
            <w:tcW w:type="dxa" w:w="1949"/>
          </w:tcPr>
          <w:p>
            <w:r/>
            <w:r>
              <w:rPr>
                <w:rFonts w:ascii="Calibri" w:hAnsi="Calibri"/>
                <w:color w:val="0F172A"/>
                <w:sz w:val="18"/>
              </w:rPr>
              <w:t>Updated control plan + CISO briefing</w:t>
            </w:r>
          </w:p>
        </w:tc>
      </w:tr>
      <w:tr>
        <w:tc>
          <w:tcPr>
            <w:tcW w:type="dxa" w:w="1949"/>
          </w:tcPr>
          <w:p>
            <w:r/>
            <w:r>
              <w:rPr>
                <w:rFonts w:ascii="Calibri" w:hAnsi="Calibri"/>
                <w:color w:val="0F172A"/>
                <w:sz w:val="18"/>
              </w:rPr>
              <w:t>5</w:t>
            </w:r>
          </w:p>
        </w:tc>
        <w:tc>
          <w:tcPr>
            <w:tcW w:type="dxa" w:w="1949"/>
          </w:tcPr>
          <w:p>
            <w:r/>
            <w:r>
              <w:rPr>
                <w:rFonts w:ascii="Calibri" w:hAnsi="Calibri"/>
                <w:b/>
                <w:color w:val="0F172A"/>
                <w:sz w:val="18"/>
              </w:rPr>
              <w:t>Industry peer event</w:t>
            </w:r>
          </w:p>
        </w:tc>
        <w:tc>
          <w:tcPr>
            <w:tcW w:type="dxa" w:w="1949"/>
          </w:tcPr>
          <w:p>
            <w:r/>
            <w:r>
              <w:rPr>
                <w:rFonts w:ascii="Calibri" w:hAnsi="Calibri"/>
                <w:color w:val="0F172A"/>
                <w:sz w:val="18"/>
              </w:rPr>
              <w:t>Threat intel feeds</w:t>
            </w:r>
          </w:p>
        </w:tc>
        <w:tc>
          <w:tcPr>
            <w:tcW w:type="dxa" w:w="1949"/>
          </w:tcPr>
          <w:p>
            <w:r/>
            <w:r>
              <w:rPr>
                <w:rFonts w:ascii="Calibri" w:hAnsi="Calibri"/>
                <w:color w:val="0F172A"/>
                <w:sz w:val="18"/>
              </w:rPr>
              <w:t>MBB + IT Security assess applicability within 48h</w:t>
            </w:r>
          </w:p>
        </w:tc>
        <w:tc>
          <w:tcPr>
            <w:tcW w:type="dxa" w:w="1949"/>
          </w:tcPr>
          <w:p>
            <w:r/>
            <w:r>
              <w:rPr>
                <w:rFonts w:ascii="Calibri" w:hAnsi="Calibri"/>
                <w:color w:val="0F172A"/>
                <w:sz w:val="18"/>
              </w:rPr>
              <w:t>Control plan update if applicable</w:t>
            </w:r>
          </w:p>
        </w:tc>
      </w:tr>
      <w:tr>
        <w:tc>
          <w:tcPr>
            <w:tcW w:type="dxa" w:w="1949"/>
          </w:tcPr>
          <w:p>
            <w:r/>
            <w:r>
              <w:rPr>
                <w:rFonts w:ascii="Calibri" w:hAnsi="Calibri"/>
                <w:color w:val="0F172A"/>
                <w:sz w:val="18"/>
              </w:rPr>
              <w:t>6</w:t>
            </w:r>
          </w:p>
        </w:tc>
        <w:tc>
          <w:tcPr>
            <w:tcW w:type="dxa" w:w="1949"/>
          </w:tcPr>
          <w:p>
            <w:r/>
            <w:r>
              <w:rPr>
                <w:rFonts w:ascii="Calibri" w:hAnsi="Calibri"/>
                <w:b/>
                <w:color w:val="0F172A"/>
                <w:sz w:val="18"/>
              </w:rPr>
              <w:t>Personnel change</w:t>
            </w:r>
          </w:p>
        </w:tc>
        <w:tc>
          <w:tcPr>
            <w:tcW w:type="dxa" w:w="1949"/>
          </w:tcPr>
          <w:p>
            <w:r/>
            <w:r>
              <w:rPr>
                <w:rFonts w:ascii="Calibri" w:hAnsi="Calibri"/>
                <w:color w:val="0F172A"/>
                <w:sz w:val="18"/>
              </w:rPr>
              <w:t>HR / Track Lead</w:t>
            </w:r>
          </w:p>
        </w:tc>
        <w:tc>
          <w:tcPr>
            <w:tcW w:type="dxa" w:w="1949"/>
          </w:tcPr>
          <w:p>
            <w:r/>
            <w:r>
              <w:rPr>
                <w:rFonts w:ascii="Calibri" w:hAnsi="Calibri"/>
                <w:color w:val="0F172A"/>
                <w:sz w:val="18"/>
              </w:rPr>
              <w:t>MBB reassigns ownership; documents handover within 5 business days</w:t>
            </w:r>
          </w:p>
        </w:tc>
        <w:tc>
          <w:tcPr>
            <w:tcW w:type="dxa" w:w="1949"/>
          </w:tcPr>
          <w:p>
            <w:r/>
            <w:r>
              <w:rPr>
                <w:rFonts w:ascii="Calibri" w:hAnsi="Calibri"/>
                <w:color w:val="0F172A"/>
                <w:sz w:val="18"/>
              </w:rPr>
              <w:t>Updated RACI + on-call schedule</w:t>
            </w:r>
          </w:p>
        </w:tc>
      </w:tr>
      <w:tr>
        <w:tc>
          <w:tcPr>
            <w:tcW w:type="dxa" w:w="1949"/>
          </w:tcPr>
          <w:p>
            <w:r/>
            <w:r>
              <w:rPr>
                <w:rFonts w:ascii="Calibri" w:hAnsi="Calibri"/>
                <w:color w:val="0F172A"/>
                <w:sz w:val="18"/>
              </w:rPr>
              <w:t>7</w:t>
            </w:r>
          </w:p>
        </w:tc>
        <w:tc>
          <w:tcPr>
            <w:tcW w:type="dxa" w:w="1949"/>
          </w:tcPr>
          <w:p>
            <w:r/>
            <w:r>
              <w:rPr>
                <w:rFonts w:ascii="Calibri" w:hAnsi="Calibri"/>
                <w:b/>
                <w:color w:val="0F172A"/>
                <w:sz w:val="18"/>
              </w:rPr>
              <w:t>Audit finding</w:t>
            </w:r>
          </w:p>
        </w:tc>
        <w:tc>
          <w:tcPr>
            <w:tcW w:type="dxa" w:w="1949"/>
          </w:tcPr>
          <w:p>
            <w:r/>
            <w:r>
              <w:rPr>
                <w:rFonts w:ascii="Calibri" w:hAnsi="Calibri"/>
                <w:color w:val="0F172A"/>
                <w:sz w:val="18"/>
              </w:rPr>
              <w:t>Internal / external audit</w:t>
            </w:r>
          </w:p>
        </w:tc>
        <w:tc>
          <w:tcPr>
            <w:tcW w:type="dxa" w:w="1949"/>
          </w:tcPr>
          <w:p>
            <w:r/>
            <w:r>
              <w:rPr>
                <w:rFonts w:ascii="Calibri" w:hAnsi="Calibri"/>
                <w:color w:val="0F172A"/>
                <w:sz w:val="18"/>
              </w:rPr>
              <w:t>MBB + Track Lead address within SLA</w:t>
            </w:r>
          </w:p>
        </w:tc>
        <w:tc>
          <w:tcPr>
            <w:tcW w:type="dxa" w:w="1949"/>
          </w:tcPr>
          <w:p>
            <w:r/>
            <w:r>
              <w:rPr>
                <w:rFonts w:ascii="Calibri" w:hAnsi="Calibri"/>
                <w:color w:val="0F172A"/>
                <w:sz w:val="18"/>
              </w:rPr>
              <w:t>Remediation evidence; A3</w:t>
            </w:r>
          </w:p>
        </w:tc>
      </w:tr>
      <w:tr>
        <w:tc>
          <w:tcPr>
            <w:tcW w:type="dxa" w:w="1949"/>
          </w:tcPr>
          <w:p>
            <w:r/>
            <w:r>
              <w:rPr>
                <w:rFonts w:ascii="Calibri" w:hAnsi="Calibri"/>
                <w:color w:val="0F172A"/>
                <w:sz w:val="18"/>
              </w:rPr>
              <w:t>8</w:t>
            </w:r>
          </w:p>
        </w:tc>
        <w:tc>
          <w:tcPr>
            <w:tcW w:type="dxa" w:w="1949"/>
          </w:tcPr>
          <w:p>
            <w:r/>
            <w:r>
              <w:rPr>
                <w:rFonts w:ascii="Calibri" w:hAnsi="Calibri"/>
                <w:b/>
                <w:color w:val="0F172A"/>
                <w:sz w:val="18"/>
              </w:rPr>
              <w:t>AI agent drift</w:t>
            </w:r>
          </w:p>
        </w:tc>
        <w:tc>
          <w:tcPr>
            <w:tcW w:type="dxa" w:w="1949"/>
          </w:tcPr>
          <w:p>
            <w:r/>
            <w:r>
              <w:rPr>
                <w:rFonts w:ascii="Calibri" w:hAnsi="Calibri"/>
                <w:color w:val="0F172A"/>
                <w:sz w:val="18"/>
              </w:rPr>
              <w:t>Track C AI monitoring</w:t>
            </w:r>
          </w:p>
        </w:tc>
        <w:tc>
          <w:tcPr>
            <w:tcW w:type="dxa" w:w="1949"/>
          </w:tcPr>
          <w:p>
            <w:r/>
            <w:r>
              <w:rPr>
                <w:rFonts w:ascii="Calibri" w:hAnsi="Calibri"/>
                <w:color w:val="0F172A"/>
                <w:sz w:val="18"/>
              </w:rPr>
              <w:t>Kill-switch if needed; retraining within 5 business days</w:t>
            </w:r>
          </w:p>
        </w:tc>
        <w:tc>
          <w:tcPr>
            <w:tcW w:type="dxa" w:w="1949"/>
          </w:tcPr>
          <w:p>
            <w:r/>
            <w:r>
              <w:rPr>
                <w:rFonts w:ascii="Calibri" w:hAnsi="Calibri"/>
                <w:color w:val="0F172A"/>
                <w:sz w:val="18"/>
              </w:rPr>
              <w:t>Performance report + retrained agent</w:t>
            </w:r>
          </w:p>
        </w:tc>
      </w:tr>
      <w:tr>
        <w:tc>
          <w:tcPr>
            <w:tcW w:type="dxa" w:w="1949"/>
          </w:tcPr>
          <w:p>
            <w:r/>
            <w:r>
              <w:rPr>
                <w:rFonts w:ascii="Calibri" w:hAnsi="Calibri"/>
                <w:color w:val="0F172A"/>
                <w:sz w:val="18"/>
              </w:rPr>
              <w:t>9</w:t>
            </w:r>
          </w:p>
        </w:tc>
        <w:tc>
          <w:tcPr>
            <w:tcW w:type="dxa" w:w="1949"/>
          </w:tcPr>
          <w:p>
            <w:r/>
            <w:r>
              <w:rPr>
                <w:rFonts w:ascii="Calibri" w:hAnsi="Calibri"/>
                <w:b/>
                <w:color w:val="0F172A"/>
                <w:sz w:val="18"/>
              </w:rPr>
              <w:t>Significant process change</w:t>
            </w:r>
          </w:p>
        </w:tc>
        <w:tc>
          <w:tcPr>
            <w:tcW w:type="dxa" w:w="1949"/>
          </w:tcPr>
          <w:p>
            <w:r/>
            <w:r>
              <w:rPr>
                <w:rFonts w:ascii="Calibri" w:hAnsi="Calibri"/>
                <w:color w:val="0F172A"/>
                <w:sz w:val="18"/>
              </w:rPr>
              <w:t>Engineering change control</w:t>
            </w:r>
          </w:p>
        </w:tc>
        <w:tc>
          <w:tcPr>
            <w:tcW w:type="dxa" w:w="1949"/>
          </w:tcPr>
          <w:p>
            <w:r/>
            <w:r>
              <w:rPr>
                <w:rFonts w:ascii="Calibri" w:hAnsi="Calibri"/>
                <w:color w:val="0F172A"/>
                <w:sz w:val="18"/>
              </w:rPr>
              <w:t>FMEA review within 5 business days; control plan update</w:t>
            </w:r>
          </w:p>
        </w:tc>
        <w:tc>
          <w:tcPr>
            <w:tcW w:type="dxa" w:w="1949"/>
          </w:tcPr>
          <w:p>
            <w:r/>
            <w:r>
              <w:rPr>
                <w:rFonts w:ascii="Calibri" w:hAnsi="Calibri"/>
                <w:color w:val="0F172A"/>
                <w:sz w:val="18"/>
              </w:rPr>
              <w:t>Updated FMEA + control plan</w:t>
            </w:r>
          </w:p>
        </w:tc>
      </w:tr>
      <w:tr>
        <w:tc>
          <w:tcPr>
            <w:tcW w:type="dxa" w:w="1949"/>
          </w:tcPr>
          <w:p>
            <w:r/>
            <w:r>
              <w:rPr>
                <w:rFonts w:ascii="Calibri" w:hAnsi="Calibri"/>
                <w:color w:val="0F172A"/>
                <w:sz w:val="18"/>
              </w:rPr>
              <w:t>10</w:t>
            </w:r>
          </w:p>
        </w:tc>
        <w:tc>
          <w:tcPr>
            <w:tcW w:type="dxa" w:w="1949"/>
          </w:tcPr>
          <w:p>
            <w:r/>
            <w:r>
              <w:rPr>
                <w:rFonts w:ascii="Calibri" w:hAnsi="Calibri"/>
                <w:b/>
                <w:color w:val="0F172A"/>
                <w:sz w:val="18"/>
              </w:rPr>
              <w:t>Tooling change (new SIEM, new PLC vendor)</w:t>
            </w:r>
          </w:p>
        </w:tc>
        <w:tc>
          <w:tcPr>
            <w:tcW w:type="dxa" w:w="1949"/>
          </w:tcPr>
          <w:p>
            <w:r/>
            <w:r>
              <w:rPr>
                <w:rFonts w:ascii="Calibri" w:hAnsi="Calibri"/>
                <w:color w:val="0F172A"/>
                <w:sz w:val="18"/>
              </w:rPr>
              <w:t>IT/OT change control</w:t>
            </w:r>
          </w:p>
        </w:tc>
        <w:tc>
          <w:tcPr>
            <w:tcW w:type="dxa" w:w="1949"/>
          </w:tcPr>
          <w:p>
            <w:r/>
            <w:r>
              <w:rPr>
                <w:rFonts w:ascii="Calibri" w:hAnsi="Calibri"/>
                <w:color w:val="0F172A"/>
                <w:sz w:val="18"/>
              </w:rPr>
              <w:t>Track A + Track C assess impact within 5 business days</w:t>
            </w:r>
          </w:p>
        </w:tc>
        <w:tc>
          <w:tcPr>
            <w:tcW w:type="dxa" w:w="1949"/>
          </w:tcPr>
          <w:p>
            <w:r/>
            <w:r>
              <w:rPr>
                <w:rFonts w:ascii="Calibri" w:hAnsi="Calibri"/>
                <w:color w:val="0F172A"/>
                <w:sz w:val="18"/>
              </w:rPr>
              <w:t>Updated control plan + retraining</w:t>
            </w:r>
          </w:p>
        </w:tc>
      </w:tr>
      <w:tr>
        <w:tc>
          <w:tcPr>
            <w:tcW w:type="dxa" w:w="1949"/>
          </w:tcPr>
          <w:p>
            <w:r/>
            <w:r>
              <w:rPr>
                <w:rFonts w:ascii="Calibri" w:hAnsi="Calibri"/>
                <w:color w:val="0F172A"/>
                <w:sz w:val="18"/>
              </w:rPr>
              <w:t>11</w:t>
            </w:r>
          </w:p>
        </w:tc>
        <w:tc>
          <w:tcPr>
            <w:tcW w:type="dxa" w:w="1949"/>
          </w:tcPr>
          <w:p>
            <w:r/>
            <w:r>
              <w:rPr>
                <w:rFonts w:ascii="Calibri" w:hAnsi="Calibri"/>
                <w:b/>
                <w:color w:val="0F172A"/>
                <w:sz w:val="18"/>
              </w:rPr>
              <w:t>Supply chain change</w:t>
            </w:r>
            <w:r>
              <w:rPr>
                <w:rFonts w:ascii="Calibri" w:hAnsi="Calibri"/>
                <w:color w:val="0F172A"/>
                <w:sz w:val="18"/>
              </w:rPr>
              <w:t xml:space="preserve"> (vendor swap, contract renegotiation, new tier-2 supplier)</w:t>
            </w:r>
          </w:p>
        </w:tc>
        <w:tc>
          <w:tcPr>
            <w:tcW w:type="dxa" w:w="1949"/>
          </w:tcPr>
          <w:p>
            <w:r/>
            <w:r>
              <w:rPr>
                <w:rFonts w:ascii="Calibri" w:hAnsi="Calibri"/>
                <w:color w:val="0F172A"/>
                <w:sz w:val="18"/>
              </w:rPr>
              <w:t>Track A vendor inventory + procurement</w:t>
            </w:r>
          </w:p>
        </w:tc>
        <w:tc>
          <w:tcPr>
            <w:tcW w:type="dxa" w:w="1949"/>
          </w:tcPr>
          <w:p>
            <w:r/>
            <w:r>
              <w:rPr>
                <w:rFonts w:ascii="Calibri" w:hAnsi="Calibri"/>
                <w:color w:val="0F172A"/>
                <w:sz w:val="18"/>
              </w:rPr>
              <w:t>MBB + Track A assess threat surface change within 5 business days; vendor remote-access review; updated cryptographic signing requirements</w:t>
            </w:r>
          </w:p>
        </w:tc>
        <w:tc>
          <w:tcPr>
            <w:tcW w:type="dxa" w:w="1949"/>
          </w:tcPr>
          <w:p>
            <w:r/>
            <w:r>
              <w:rPr>
                <w:rFonts w:ascii="Calibri" w:hAnsi="Calibri"/>
                <w:color w:val="0F172A"/>
                <w:sz w:val="18"/>
              </w:rPr>
              <w:t>Updated FMEA + control plan + new vendor onboarding</w:t>
            </w:r>
          </w:p>
        </w:tc>
      </w:tr>
      <w:tr>
        <w:tc>
          <w:tcPr>
            <w:tcW w:type="dxa" w:w="1949"/>
          </w:tcPr>
          <w:p>
            <w:r/>
            <w:r>
              <w:rPr>
                <w:rFonts w:ascii="Calibri" w:hAnsi="Calibri"/>
                <w:color w:val="0F172A"/>
                <w:sz w:val="18"/>
              </w:rPr>
              <w:t>12</w:t>
            </w:r>
          </w:p>
        </w:tc>
        <w:tc>
          <w:tcPr>
            <w:tcW w:type="dxa" w:w="1949"/>
          </w:tcPr>
          <w:p>
            <w:r/>
            <w:r>
              <w:rPr>
                <w:rFonts w:ascii="Calibri" w:hAnsi="Calibri"/>
                <w:b/>
                <w:color w:val="0F172A"/>
                <w:sz w:val="18"/>
              </w:rPr>
              <w:t>M&amp;A activity</w:t>
            </w:r>
            <w:r>
              <w:rPr>
                <w:rFonts w:ascii="Calibri" w:hAnsi="Calibri"/>
                <w:color w:val="0F172A"/>
                <w:sz w:val="18"/>
              </w:rPr>
              <w:t xml:space="preserve"> (acquisition target, divestiture, joint venture)</w:t>
            </w:r>
          </w:p>
        </w:tc>
        <w:tc>
          <w:tcPr>
            <w:tcW w:type="dxa" w:w="1949"/>
          </w:tcPr>
          <w:p>
            <w:r/>
            <w:r>
              <w:rPr>
                <w:rFonts w:ascii="Calibri" w:hAnsi="Calibri"/>
                <w:color w:val="0F172A"/>
                <w:sz w:val="18"/>
              </w:rPr>
              <w:t>MBB + CISO monitoring (corporate development)</w:t>
            </w:r>
          </w:p>
        </w:tc>
        <w:tc>
          <w:tcPr>
            <w:tcW w:type="dxa" w:w="1949"/>
          </w:tcPr>
          <w:p>
            <w:r/>
            <w:r>
              <w:rPr>
                <w:rFonts w:ascii="Calibri" w:hAnsi="Calibri"/>
                <w:color w:val="0F172A"/>
                <w:sz w:val="18"/>
              </w:rPr>
              <w:t>Tier 3 to CISO; MBB + Legal + IT Security assess integration risk; data residency review; FMEA re-scoping</w:t>
            </w:r>
          </w:p>
        </w:tc>
        <w:tc>
          <w:tcPr>
            <w:tcW w:type="dxa" w:w="1949"/>
          </w:tcPr>
          <w:p>
            <w:r/>
            <w:r>
              <w:rPr>
                <w:rFonts w:ascii="Calibri" w:hAnsi="Calibri"/>
                <w:color w:val="0F172A"/>
                <w:sz w:val="18"/>
              </w:rPr>
              <w:t>Updated FMEA + control plan + CISO briefing; engagement re-scope if material</w:t>
            </w:r>
          </w:p>
        </w:tc>
      </w:tr>
      <w:tr>
        <w:tc>
          <w:tcPr>
            <w:tcW w:type="dxa" w:w="1949"/>
          </w:tcPr>
          <w:p>
            <w:r/>
            <w:r>
              <w:rPr>
                <w:rFonts w:ascii="Calibri" w:hAnsi="Calibri"/>
                <w:color w:val="0F172A"/>
                <w:sz w:val="18"/>
              </w:rPr>
              <w:t>13</w:t>
            </w:r>
          </w:p>
        </w:tc>
        <w:tc>
          <w:tcPr>
            <w:tcW w:type="dxa" w:w="1949"/>
          </w:tcPr>
          <w:p>
            <w:r/>
            <w:r>
              <w:rPr>
                <w:rFonts w:ascii="Calibri" w:hAnsi="Calibri"/>
                <w:b/>
                <w:color w:val="0F172A"/>
                <w:sz w:val="18"/>
              </w:rPr>
              <w:t>IP licensing event</w:t>
            </w:r>
            <w:r>
              <w:rPr>
                <w:rFonts w:ascii="Calibri" w:hAnsi="Calibri"/>
                <w:color w:val="0F172A"/>
                <w:sz w:val="18"/>
              </w:rPr>
              <w:t xml:space="preserve"> (new licensing partner, licensee, cross-licensing agreement)</w:t>
            </w:r>
          </w:p>
        </w:tc>
        <w:tc>
          <w:tcPr>
            <w:tcW w:type="dxa" w:w="1949"/>
          </w:tcPr>
          <w:p>
            <w:r/>
            <w:r>
              <w:rPr>
                <w:rFonts w:ascii="Calibri" w:hAnsi="Calibri"/>
                <w:color w:val="0F172A"/>
                <w:sz w:val="18"/>
              </w:rPr>
              <w:t>Legal + MBB + CISO monitoring</w:t>
            </w:r>
          </w:p>
        </w:tc>
        <w:tc>
          <w:tcPr>
            <w:tcW w:type="dxa" w:w="1949"/>
          </w:tcPr>
          <w:p>
            <w:r/>
            <w:r>
              <w:rPr>
                <w:rFonts w:ascii="Calibri" w:hAnsi="Calibri"/>
                <w:color w:val="0F172A"/>
                <w:sz w:val="18"/>
              </w:rPr>
              <w:t>Tier 3 to CISO; MBB + Legal + IT Security assess IP exposure; cryptographic signing scope review; updated FMEA modes for new IP in scope</w:t>
            </w:r>
          </w:p>
        </w:tc>
        <w:tc>
          <w:tcPr>
            <w:tcW w:type="dxa" w:w="1949"/>
          </w:tcPr>
          <w:p>
            <w:r/>
            <w:r>
              <w:rPr>
                <w:rFonts w:ascii="Calibri" w:hAnsi="Calibri"/>
                <w:color w:val="0F172A"/>
                <w:sz w:val="18"/>
              </w:rPr>
              <w:t>Updated FMEA + control plan + CISO briefing; OEM contractual review</w:t>
            </w:r>
          </w:p>
        </w:tc>
      </w:tr>
    </w:tbl>
    <w:p/>
    <w:p>
      <w:r>
        <w:rPr>
          <w:rFonts w:ascii="Calibri" w:hAnsi="Calibri"/>
          <w:b/>
          <w:color w:val="0F172A"/>
          <w:sz w:val="24"/>
        </w:rPr>
        <w:t>6.3.2 A3 Problem-Solving Template</w:t>
      </w:r>
    </w:p>
    <w:p>
      <w:r>
        <w:rPr>
          <w:rFonts w:ascii="Calibri" w:hAnsi="Calibri"/>
          <w:sz w:val="22"/>
        </w:rPr>
        <w:t>All Cyber-Kaizen events use the A3 template:</w:t>
      </w:r>
    </w:p>
    <w:p>
      <w:pPr>
        <w:pStyle w:val="ListNumber"/>
      </w:pPr>
      <w:r>
        <w:rPr>
          <w:rFonts w:ascii="Calibri" w:hAnsi="Calibri"/>
          <w:b/>
          <w:sz w:val="22"/>
        </w:rPr>
        <w:t>Problem statement</w:t>
      </w:r>
      <w:r>
        <w:rPr>
          <w:rFonts w:ascii="Calibri" w:hAnsi="Calibri"/>
          <w:sz w:val="22"/>
        </w:rPr>
        <w:t xml:space="preserve"> — what happened, when, impact</w:t>
      </w:r>
    </w:p>
    <w:p>
      <w:pPr>
        <w:pStyle w:val="ListNumber"/>
      </w:pPr>
      <w:r>
        <w:rPr>
          <w:rFonts w:ascii="Calibri" w:hAnsi="Calibri"/>
          <w:b/>
          <w:sz w:val="22"/>
        </w:rPr>
        <w:t>Background</w:t>
      </w:r>
      <w:r>
        <w:rPr>
          <w:rFonts w:ascii="Calibri" w:hAnsi="Calibri"/>
          <w:sz w:val="22"/>
        </w:rPr>
        <w:t xml:space="preserve"> — context, baseline, current state</w:t>
      </w:r>
    </w:p>
    <w:p>
      <w:pPr>
        <w:pStyle w:val="ListNumber"/>
      </w:pPr>
      <w:r>
        <w:rPr>
          <w:rFonts w:ascii="Calibri" w:hAnsi="Calibri"/>
          <w:b/>
          <w:sz w:val="22"/>
        </w:rPr>
        <w:t>Target state</w:t>
      </w:r>
      <w:r>
        <w:rPr>
          <w:rFonts w:ascii="Calibri" w:hAnsi="Calibri"/>
          <w:sz w:val="22"/>
        </w:rPr>
        <w:t xml:space="preserve"> — what should have happened</w:t>
      </w:r>
    </w:p>
    <w:p>
      <w:pPr>
        <w:pStyle w:val="ListNumber"/>
      </w:pPr>
      <w:r>
        <w:rPr>
          <w:rFonts w:ascii="Calibri" w:hAnsi="Calibri"/>
          <w:b/>
          <w:sz w:val="22"/>
        </w:rPr>
        <w:t>Root cause analysis</w:t>
      </w:r>
      <w:r>
        <w:rPr>
          <w:rFonts w:ascii="Calibri" w:hAnsi="Calibri"/>
          <w:sz w:val="22"/>
        </w:rPr>
        <w:t xml:space="preserve"> — 5-Why or other structured method</w:t>
      </w:r>
    </w:p>
    <w:p>
      <w:pPr>
        <w:pStyle w:val="ListNumber"/>
      </w:pPr>
      <w:r>
        <w:rPr>
          <w:rFonts w:ascii="Calibri" w:hAnsi="Calibri"/>
          <w:b/>
          <w:sz w:val="22"/>
        </w:rPr>
        <w:t>Countermeasures</w:t>
      </w:r>
      <w:r>
        <w:rPr>
          <w:rFonts w:ascii="Calibri" w:hAnsi="Calibri"/>
          <w:sz w:val="22"/>
        </w:rPr>
        <w:t xml:space="preserve"> — proposed actions</w:t>
      </w:r>
    </w:p>
    <w:p>
      <w:pPr>
        <w:pStyle w:val="ListNumber"/>
      </w:pPr>
      <w:r>
        <w:rPr>
          <w:rFonts w:ascii="Calibri" w:hAnsi="Calibri"/>
          <w:b/>
          <w:sz w:val="22"/>
        </w:rPr>
        <w:t>Implementation plan</w:t>
      </w:r>
      <w:r>
        <w:rPr>
          <w:rFonts w:ascii="Calibri" w:hAnsi="Calibri"/>
          <w:sz w:val="22"/>
        </w:rPr>
        <w:t xml:space="preserve"> — owner, deadline, dependencies</w:t>
      </w:r>
    </w:p>
    <w:p>
      <w:pPr>
        <w:pStyle w:val="ListNumber"/>
      </w:pPr>
      <w:r>
        <w:rPr>
          <w:rFonts w:ascii="Calibri" w:hAnsi="Calibri"/>
          <w:b/>
          <w:sz w:val="22"/>
        </w:rPr>
        <w:t>Follow-up</w:t>
      </w:r>
      <w:r>
        <w:rPr>
          <w:rFonts w:ascii="Calibri" w:hAnsi="Calibri"/>
          <w:sz w:val="22"/>
        </w:rPr>
        <w:t xml:space="preserve"> — verification of effectiveness</w:t>
      </w:r>
    </w:p>
    <w:p>
      <w:pPr>
        <w:pStyle w:val="ListNumber"/>
      </w:pPr>
      <w:r>
        <w:rPr>
          <w:rFonts w:ascii="Calibri" w:hAnsi="Calibri"/>
          <w:b/>
          <w:sz w:val="22"/>
        </w:rPr>
        <w:t>Learning</w:t>
      </w:r>
      <w:r>
        <w:rPr>
          <w:rFonts w:ascii="Calibri" w:hAnsi="Calibri"/>
          <w:sz w:val="22"/>
        </w:rPr>
        <w:t xml:space="preserve"> — what to standardise across the engagement</w:t>
      </w:r>
    </w:p>
    <w:p>
      <w:pPr>
        <w:pBdr>
          <w:bottom w:val="single" w:sz="6" w:space="1" w:color="CBD5E1"/>
        </w:pBdr>
      </w:pPr>
    </w:p>
    <w:p>
      <w:r>
        <w:rPr>
          <w:rFonts w:ascii="Calibri" w:hAnsi="Calibri"/>
          <w:b/>
          <w:color w:val="0F172A"/>
          <w:sz w:val="28"/>
        </w:rPr>
        <w:t>6.4 Maturity Scoring Model</w:t>
      </w:r>
    </w:p>
    <w:p>
      <w:r>
        <w:rPr>
          <w:rFonts w:ascii="Calibri" w:hAnsi="Calibri"/>
          <w:sz w:val="22"/>
        </w:rPr>
        <w:t xml:space="preserve">The engagement's continuation phase is governed by a 5-level maturity model. The target is </w:t>
      </w:r>
      <w:r>
        <w:rPr>
          <w:rFonts w:ascii="Calibri" w:hAnsi="Calibri"/>
          <w:b/>
          <w:sz w:val="22"/>
        </w:rPr>
        <w:t>Level 4 (Quantitatively Managed)</w:t>
      </w:r>
      <w:r>
        <w:rPr>
          <w:rFonts w:ascii="Calibri" w:hAnsi="Calibri"/>
          <w:sz w:val="22"/>
        </w:rPr>
        <w:t xml:space="preserve"> by G5 and </w:t>
      </w:r>
      <w:r>
        <w:rPr>
          <w:rFonts w:ascii="Calibri" w:hAnsi="Calibri"/>
          <w:b/>
          <w:sz w:val="22"/>
        </w:rPr>
        <w:t>Level 5 (Optimising)</w:t>
      </w:r>
      <w:r>
        <w:rPr>
          <w:rFonts w:ascii="Calibri" w:hAnsi="Calibri"/>
          <w:sz w:val="22"/>
        </w:rPr>
        <w:t xml:space="preserve"> sustained long-term.</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shd w:val="clear" w:color="auto" w:fill="1E40AF"/>
          </w:tcPr>
          <w:p>
            <w:r/>
            <w:r>
              <w:rPr>
                <w:rFonts w:ascii="Calibri" w:hAnsi="Calibri"/>
                <w:b/>
                <w:color w:val="FFFFFF"/>
                <w:sz w:val="20"/>
              </w:rPr>
              <w:t>Level</w:t>
            </w:r>
          </w:p>
        </w:tc>
        <w:tc>
          <w:tcPr>
            <w:tcW w:type="dxa" w:w="1949"/>
            <w:shd w:val="clear" w:color="auto" w:fill="1E40AF"/>
          </w:tcPr>
          <w:p>
            <w:r/>
            <w:r>
              <w:rPr>
                <w:rFonts w:ascii="Calibri" w:hAnsi="Calibri"/>
                <w:b/>
                <w:color w:val="FFFFFF"/>
                <w:sz w:val="20"/>
              </w:rPr>
              <w:t>Name</w:t>
            </w:r>
          </w:p>
        </w:tc>
        <w:tc>
          <w:tcPr>
            <w:tcW w:type="dxa" w:w="1949"/>
            <w:shd w:val="clear" w:color="auto" w:fill="1E40AF"/>
          </w:tcPr>
          <w:p>
            <w:r/>
            <w:r>
              <w:rPr>
                <w:rFonts w:ascii="Calibri" w:hAnsi="Calibri"/>
                <w:b/>
                <w:color w:val="FFFFFF"/>
                <w:sz w:val="20"/>
              </w:rPr>
              <w:t>Description</w:t>
            </w:r>
          </w:p>
        </w:tc>
        <w:tc>
          <w:tcPr>
            <w:tcW w:type="dxa" w:w="1949"/>
            <w:shd w:val="clear" w:color="auto" w:fill="1E40AF"/>
          </w:tcPr>
          <w:p>
            <w:r/>
            <w:r>
              <w:rPr>
                <w:rFonts w:ascii="Calibri" w:hAnsi="Calibri"/>
                <w:b/>
                <w:color w:val="FFFFFF"/>
                <w:sz w:val="20"/>
              </w:rPr>
              <w:t>Indicators</w:t>
            </w:r>
          </w:p>
        </w:tc>
        <w:tc>
          <w:tcPr>
            <w:tcW w:type="dxa" w:w="1949"/>
            <w:shd w:val="clear" w:color="auto" w:fill="1E40AF"/>
          </w:tcPr>
          <w:p>
            <w:r/>
            <w:r>
              <w:rPr>
                <w:rFonts w:ascii="Calibri" w:hAnsi="Calibri"/>
                <w:b/>
                <w:color w:val="FFFFFF"/>
                <w:sz w:val="20"/>
              </w:rPr>
              <w:t>Target</w:t>
            </w:r>
          </w:p>
        </w:tc>
      </w:tr>
      <w:tr>
        <w:tc>
          <w:tcPr>
            <w:tcW w:type="dxa" w:w="1949"/>
          </w:tcPr>
          <w:p>
            <w:r/>
            <w:r>
              <w:rPr>
                <w:rFonts w:ascii="Calibri" w:hAnsi="Calibri"/>
                <w:color w:val="0F172A"/>
                <w:sz w:val="18"/>
              </w:rPr>
              <w:t>1</w:t>
            </w:r>
          </w:p>
        </w:tc>
        <w:tc>
          <w:tcPr>
            <w:tcW w:type="dxa" w:w="1949"/>
          </w:tcPr>
          <w:p>
            <w:r/>
            <w:r>
              <w:rPr>
                <w:rFonts w:ascii="Calibri" w:hAnsi="Calibri"/>
                <w:b/>
                <w:color w:val="0F172A"/>
                <w:sz w:val="18"/>
              </w:rPr>
              <w:t>Initial</w:t>
            </w:r>
          </w:p>
        </w:tc>
        <w:tc>
          <w:tcPr>
            <w:tcW w:type="dxa" w:w="1949"/>
          </w:tcPr>
          <w:p>
            <w:r/>
            <w:r>
              <w:rPr>
                <w:rFonts w:ascii="Calibri" w:hAnsi="Calibri"/>
                <w:color w:val="0F172A"/>
                <w:sz w:val="18"/>
              </w:rPr>
              <w:t>Ad-hoc, reactive; no documented processes; success depends on individuals</w:t>
            </w:r>
          </w:p>
        </w:tc>
        <w:tc>
          <w:tcPr>
            <w:tcW w:type="dxa" w:w="1949"/>
          </w:tcPr>
          <w:p>
            <w:r/>
            <w:r>
              <w:rPr>
                <w:rFonts w:ascii="Calibri" w:hAnsi="Calibri"/>
                <w:color w:val="0F172A"/>
                <w:sz w:val="18"/>
              </w:rPr>
              <w:t>No standard work; no SPC; no control plan</w:t>
            </w:r>
          </w:p>
        </w:tc>
        <w:tc>
          <w:tcPr>
            <w:tcW w:type="dxa" w:w="1949"/>
          </w:tcPr>
          <w:p>
            <w:r/>
            <w:r>
              <w:rPr>
                <w:rFonts w:ascii="Calibri" w:hAnsi="Calibri"/>
                <w:color w:val="0F172A"/>
                <w:sz w:val="18"/>
              </w:rPr>
              <w:t>Pre-engagement</w:t>
            </w:r>
          </w:p>
        </w:tc>
      </w:tr>
      <w:tr>
        <w:tc>
          <w:tcPr>
            <w:tcW w:type="dxa" w:w="1949"/>
          </w:tcPr>
          <w:p>
            <w:r/>
            <w:r>
              <w:rPr>
                <w:rFonts w:ascii="Calibri" w:hAnsi="Calibri"/>
                <w:color w:val="0F172A"/>
                <w:sz w:val="18"/>
              </w:rPr>
              <w:t>2</w:t>
            </w:r>
          </w:p>
        </w:tc>
        <w:tc>
          <w:tcPr>
            <w:tcW w:type="dxa" w:w="1949"/>
          </w:tcPr>
          <w:p>
            <w:r/>
            <w:r>
              <w:rPr>
                <w:rFonts w:ascii="Calibri" w:hAnsi="Calibri"/>
                <w:b/>
                <w:color w:val="0F172A"/>
                <w:sz w:val="18"/>
              </w:rPr>
              <w:t>Managed</w:t>
            </w:r>
          </w:p>
        </w:tc>
        <w:tc>
          <w:tcPr>
            <w:tcW w:type="dxa" w:w="1949"/>
          </w:tcPr>
          <w:p>
            <w:r/>
            <w:r>
              <w:rPr>
                <w:rFonts w:ascii="Calibri" w:hAnsi="Calibri"/>
                <w:color w:val="0F172A"/>
                <w:sz w:val="18"/>
              </w:rPr>
              <w:t>Basic processes exist; some metrics tracked; reactive response to incidents</w:t>
            </w:r>
          </w:p>
        </w:tc>
        <w:tc>
          <w:tcPr>
            <w:tcW w:type="dxa" w:w="1949"/>
          </w:tcPr>
          <w:p>
            <w:r/>
            <w:r>
              <w:rPr>
                <w:rFonts w:ascii="Calibri" w:hAnsi="Calibri"/>
                <w:color w:val="0F172A"/>
                <w:sz w:val="18"/>
              </w:rPr>
              <w:t>SOPs exist but not standardised; basic metrics</w:t>
            </w:r>
          </w:p>
        </w:tc>
        <w:tc>
          <w:tcPr>
            <w:tcW w:type="dxa" w:w="1949"/>
          </w:tcPr>
          <w:p>
            <w:r/>
            <w:r>
              <w:rPr>
                <w:rFonts w:ascii="Calibri" w:hAnsi="Calibri"/>
                <w:color w:val="0F172A"/>
                <w:sz w:val="18"/>
              </w:rPr>
              <w:t>Pre-engagement</w:t>
            </w:r>
          </w:p>
        </w:tc>
      </w:tr>
      <w:tr>
        <w:tc>
          <w:tcPr>
            <w:tcW w:type="dxa" w:w="1949"/>
          </w:tcPr>
          <w:p>
            <w:r/>
            <w:r>
              <w:rPr>
                <w:rFonts w:ascii="Calibri" w:hAnsi="Calibri"/>
                <w:color w:val="0F172A"/>
                <w:sz w:val="18"/>
              </w:rPr>
              <w:t>3</w:t>
            </w:r>
          </w:p>
        </w:tc>
        <w:tc>
          <w:tcPr>
            <w:tcW w:type="dxa" w:w="1949"/>
          </w:tcPr>
          <w:p>
            <w:r/>
            <w:r>
              <w:rPr>
                <w:rFonts w:ascii="Calibri" w:hAnsi="Calibri"/>
                <w:b/>
                <w:color w:val="0F172A"/>
                <w:sz w:val="18"/>
              </w:rPr>
              <w:t>Defined</w:t>
            </w:r>
          </w:p>
        </w:tc>
        <w:tc>
          <w:tcPr>
            <w:tcW w:type="dxa" w:w="1949"/>
          </w:tcPr>
          <w:p>
            <w:r/>
            <w:r>
              <w:rPr>
                <w:rFonts w:ascii="Calibri" w:hAnsi="Calibri"/>
                <w:color w:val="0F172A"/>
                <w:sz w:val="18"/>
              </w:rPr>
              <w:t>Standardised, documented, measured; consistent execution</w:t>
            </w:r>
          </w:p>
        </w:tc>
        <w:tc>
          <w:tcPr>
            <w:tcW w:type="dxa" w:w="1949"/>
          </w:tcPr>
          <w:p>
            <w:r/>
            <w:r>
              <w:rPr>
                <w:rFonts w:ascii="Calibri" w:hAnsi="Calibri"/>
                <w:color w:val="0F172A"/>
                <w:sz w:val="18"/>
              </w:rPr>
              <w:t>Standard work operating; FMEA refreshed; control plan enforced</w:t>
            </w:r>
          </w:p>
        </w:tc>
        <w:tc>
          <w:tcPr>
            <w:tcW w:type="dxa" w:w="1949"/>
          </w:tcPr>
          <w:p>
            <w:r/>
            <w:r>
              <w:rPr>
                <w:rFonts w:ascii="Calibri" w:hAnsi="Calibri"/>
                <w:color w:val="0F172A"/>
                <w:sz w:val="18"/>
              </w:rPr>
              <w:t>G5 (end of engagement)</w:t>
            </w:r>
          </w:p>
        </w:tc>
      </w:tr>
      <w:tr>
        <w:tc>
          <w:tcPr>
            <w:tcW w:type="dxa" w:w="1949"/>
          </w:tcPr>
          <w:p>
            <w:r/>
            <w:r>
              <w:rPr>
                <w:rFonts w:ascii="Calibri" w:hAnsi="Calibri"/>
                <w:color w:val="0F172A"/>
                <w:sz w:val="18"/>
              </w:rPr>
              <w:t>4</w:t>
            </w:r>
          </w:p>
        </w:tc>
        <w:tc>
          <w:tcPr>
            <w:tcW w:type="dxa" w:w="1949"/>
          </w:tcPr>
          <w:p>
            <w:r/>
            <w:r>
              <w:rPr>
                <w:rFonts w:ascii="Calibri" w:hAnsi="Calibri"/>
                <w:b/>
                <w:color w:val="0F172A"/>
                <w:sz w:val="18"/>
              </w:rPr>
              <w:t>Quantitatively Managed</w:t>
            </w:r>
          </w:p>
        </w:tc>
        <w:tc>
          <w:tcPr>
            <w:tcW w:type="dxa" w:w="1949"/>
          </w:tcPr>
          <w:p>
            <w:r/>
            <w:r>
              <w:rPr>
                <w:rFonts w:ascii="Calibri" w:hAnsi="Calibri"/>
                <w:color w:val="0F172A"/>
                <w:sz w:val="18"/>
              </w:rPr>
              <w:t>SPC + capability indices; predictive response; data-driven decisions</w:t>
            </w:r>
          </w:p>
        </w:tc>
        <w:tc>
          <w:tcPr>
            <w:tcW w:type="dxa" w:w="1949"/>
          </w:tcPr>
          <w:p>
            <w:r/>
            <w:r>
              <w:rPr>
                <w:rFonts w:ascii="Calibri" w:hAnsi="Calibri"/>
                <w:color w:val="0F172A"/>
                <w:sz w:val="18"/>
              </w:rPr>
              <w:t>SPC charts active; Cpk measured; AI agents operational</w:t>
            </w:r>
          </w:p>
        </w:tc>
        <w:tc>
          <w:tcPr>
            <w:tcW w:type="dxa" w:w="1949"/>
          </w:tcPr>
          <w:p>
            <w:r/>
            <w:r>
              <w:rPr>
                <w:rFonts w:ascii="Calibri" w:hAnsi="Calibri"/>
                <w:color w:val="0F172A"/>
                <w:sz w:val="18"/>
              </w:rPr>
              <w:t>G5 (target) → sustained</w:t>
            </w:r>
          </w:p>
        </w:tc>
      </w:tr>
      <w:tr>
        <w:tc>
          <w:tcPr>
            <w:tcW w:type="dxa" w:w="1949"/>
          </w:tcPr>
          <w:p>
            <w:r/>
            <w:r>
              <w:rPr>
                <w:rFonts w:ascii="Calibri" w:hAnsi="Calibri"/>
                <w:color w:val="0F172A"/>
                <w:sz w:val="18"/>
              </w:rPr>
              <w:t>5</w:t>
            </w:r>
          </w:p>
        </w:tc>
        <w:tc>
          <w:tcPr>
            <w:tcW w:type="dxa" w:w="1949"/>
          </w:tcPr>
          <w:p>
            <w:r/>
            <w:r>
              <w:rPr>
                <w:rFonts w:ascii="Calibri" w:hAnsi="Calibri"/>
                <w:b/>
                <w:color w:val="0F172A"/>
                <w:sz w:val="18"/>
              </w:rPr>
              <w:t>Optimising</w:t>
            </w:r>
          </w:p>
        </w:tc>
        <w:tc>
          <w:tcPr>
            <w:tcW w:type="dxa" w:w="1949"/>
          </w:tcPr>
          <w:p>
            <w:r/>
            <w:r>
              <w:rPr>
                <w:rFonts w:ascii="Calibri" w:hAnsi="Calibri"/>
                <w:color w:val="0F172A"/>
                <w:sz w:val="18"/>
              </w:rPr>
              <w:t>Continuous improvement; AI-augmented; cross-site replication; threat-adaptive</w:t>
            </w:r>
          </w:p>
        </w:tc>
        <w:tc>
          <w:tcPr>
            <w:tcW w:type="dxa" w:w="1949"/>
          </w:tcPr>
          <w:p>
            <w:r/>
            <w:r>
              <w:rPr>
                <w:rFonts w:ascii="Calibri" w:hAnsi="Calibri"/>
                <w:color w:val="0F172A"/>
                <w:sz w:val="18"/>
              </w:rPr>
              <w:t>Kaizen cycle operating; maturity stable or improving; external validation</w:t>
            </w:r>
          </w:p>
        </w:tc>
        <w:tc>
          <w:tcPr>
            <w:tcW w:type="dxa" w:w="1949"/>
          </w:tcPr>
          <w:p>
            <w:r/>
            <w:r>
              <w:rPr>
                <w:rFonts w:ascii="Calibri" w:hAnsi="Calibri"/>
                <w:color w:val="0F172A"/>
                <w:sz w:val="18"/>
              </w:rPr>
              <w:t>Sustained long-term</w:t>
            </w:r>
          </w:p>
        </w:tc>
      </w:tr>
    </w:tbl>
    <w:p/>
    <w:p>
      <w:r>
        <w:rPr>
          <w:rFonts w:ascii="Calibri" w:hAnsi="Calibri"/>
          <w:b/>
          <w:sz w:val="22"/>
        </w:rPr>
        <w:t>Maturity score calculation:</w:t>
      </w:r>
    </w:p>
    <w:p>
      <w:pPr>
        <w:pStyle w:val="ListBullet"/>
      </w:pPr>
      <w:r>
        <w:rPr>
          <w:rFonts w:ascii="Calibri" w:hAnsi="Calibri"/>
          <w:sz w:val="22"/>
        </w:rPr>
        <w:t>Each indicator scored 0 (absent) / 1 (partial) / 2 (full)</w:t>
      </w:r>
    </w:p>
    <w:p>
      <w:pPr>
        <w:pStyle w:val="ListBullet"/>
      </w:pPr>
      <w:r>
        <w:rPr>
          <w:rFonts w:ascii="Calibri" w:hAnsi="Calibri"/>
          <w:sz w:val="22"/>
        </w:rPr>
        <w:t>Total score mapped to level</w:t>
      </w:r>
    </w:p>
    <w:p>
      <w:pPr>
        <w:pStyle w:val="ListBullet"/>
      </w:pPr>
      <w:r>
        <w:rPr>
          <w:rFonts w:ascii="Calibri" w:hAnsi="Calibri"/>
          <w:sz w:val="22"/>
        </w:rPr>
        <w:t>Quarterly recalculation; if score drops, Tier 2 escalation; if score drops 2 levels, Tier 3 to CISO</w:t>
      </w:r>
    </w:p>
    <w:p>
      <w:r>
        <w:rPr>
          <w:rFonts w:ascii="Calibri" w:hAnsi="Calibri"/>
          <w:b/>
          <w:sz w:val="22"/>
        </w:rPr>
        <w:t>Maturity regression triggers:</w:t>
      </w:r>
    </w:p>
    <w:p>
      <w:pPr>
        <w:pStyle w:val="ListBullet"/>
      </w:pPr>
      <w:r>
        <w:rPr>
          <w:rFonts w:ascii="Calibri" w:hAnsi="Calibri"/>
          <w:sz w:val="22"/>
        </w:rPr>
        <w:t>Standard Work compliance &lt; 80% → Tier 2 to MBB</w:t>
      </w:r>
    </w:p>
    <w:p>
      <w:pPr>
        <w:pStyle w:val="ListBullet"/>
      </w:pPr>
      <w:r>
        <w:rPr>
          <w:rFonts w:ascii="Calibri" w:hAnsi="Calibri"/>
          <w:sz w:val="22"/>
        </w:rPr>
        <w:t>FMEA not refreshed in 6 months → Tier 2 to MBB</w:t>
      </w:r>
    </w:p>
    <w:p>
      <w:pPr>
        <w:pStyle w:val="ListBullet"/>
      </w:pPr>
      <w:r>
        <w:rPr>
          <w:rFonts w:ascii="Calibri" w:hAnsi="Calibri"/>
          <w:sz w:val="22"/>
        </w:rPr>
        <w:t>SPC charts not updated in 30 days → Tier 2 to MBB</w:t>
      </w:r>
    </w:p>
    <w:p>
      <w:pPr>
        <w:pStyle w:val="ListBullet"/>
      </w:pPr>
      <w:r>
        <w:rPr>
          <w:rFonts w:ascii="Calibri" w:hAnsi="Calibri"/>
          <w:sz w:val="22"/>
        </w:rPr>
        <w:t>Maturity score drops 1 level → Tier 2</w:t>
      </w:r>
    </w:p>
    <w:p>
      <w:pPr>
        <w:pStyle w:val="ListBullet"/>
      </w:pPr>
      <w:r>
        <w:rPr>
          <w:rFonts w:ascii="Calibri" w:hAnsi="Calibri"/>
          <w:sz w:val="22"/>
        </w:rPr>
        <w:t>Maturity score drops 2 levels → Tier 3 to CISO with re-baseline proposal</w:t>
      </w:r>
    </w:p>
    <w:p>
      <w:pPr>
        <w:pBdr>
          <w:bottom w:val="single" w:sz="6" w:space="1" w:color="CBD5E1"/>
        </w:pBdr>
      </w:pPr>
    </w:p>
    <w:p>
      <w:r>
        <w:rPr>
          <w:rFonts w:ascii="Calibri" w:hAnsi="Calibri"/>
          <w:b/>
          <w:color w:val="0F172A"/>
          <w:sz w:val="28"/>
        </w:rPr>
        <w:t>6.5 Cross-Site Replication (5-Site Enterprise)</w:t>
      </w:r>
    </w:p>
    <w:p>
      <w:r>
        <w:rPr>
          <w:rFonts w:ascii="Calibri" w:hAnsi="Calibri"/>
          <w:sz w:val="22"/>
        </w:rPr>
        <w:t>The engagement starts at a single site. The continuation phase includes structured cross-site replication to capture the enterprise protected value from §2.6 (5-site enterprise: $25M–$225M+/year at M=25%).</w:t>
      </w:r>
    </w:p>
    <w:p>
      <w:r>
        <w:rPr>
          <w:rFonts w:ascii="Calibri" w:hAnsi="Calibri"/>
          <w:b/>
          <w:color w:val="0F172A"/>
          <w:sz w:val="24"/>
        </w:rPr>
        <w:t>6.5.1 Replication Phases</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shd w:val="clear" w:color="auto" w:fill="1E40AF"/>
          </w:tcPr>
          <w:p>
            <w:r/>
            <w:r>
              <w:rPr>
                <w:rFonts w:ascii="Calibri" w:hAnsi="Calibri"/>
                <w:b/>
                <w:color w:val="FFFFFF"/>
                <w:sz w:val="20"/>
              </w:rPr>
              <w:t>Phase</w:t>
            </w:r>
          </w:p>
        </w:tc>
        <w:tc>
          <w:tcPr>
            <w:tcW w:type="dxa" w:w="2436"/>
            <w:shd w:val="clear" w:color="auto" w:fill="1E40AF"/>
          </w:tcPr>
          <w:p>
            <w:r/>
            <w:r>
              <w:rPr>
                <w:rFonts w:ascii="Calibri" w:hAnsi="Calibri"/>
                <w:b/>
                <w:color w:val="FFFFFF"/>
                <w:sz w:val="20"/>
              </w:rPr>
              <w:t>Timing</w:t>
            </w:r>
          </w:p>
        </w:tc>
        <w:tc>
          <w:tcPr>
            <w:tcW w:type="dxa" w:w="2436"/>
            <w:shd w:val="clear" w:color="auto" w:fill="1E40AF"/>
          </w:tcPr>
          <w:p>
            <w:r/>
            <w:r>
              <w:rPr>
                <w:rFonts w:ascii="Calibri" w:hAnsi="Calibri"/>
                <w:b/>
                <w:color w:val="FFFFFF"/>
                <w:sz w:val="20"/>
              </w:rPr>
              <w:t>Activity</w:t>
            </w:r>
          </w:p>
        </w:tc>
        <w:tc>
          <w:tcPr>
            <w:tcW w:type="dxa" w:w="2436"/>
            <w:shd w:val="clear" w:color="auto" w:fill="1E40AF"/>
          </w:tcPr>
          <w:p>
            <w:r/>
            <w:r>
              <w:rPr>
                <w:rFonts w:ascii="Calibri" w:hAnsi="Calibri"/>
                <w:b/>
                <w:color w:val="FFFFFF"/>
                <w:sz w:val="20"/>
              </w:rPr>
              <w:t>Deliverable</w:t>
            </w:r>
          </w:p>
        </w:tc>
      </w:tr>
      <w:tr>
        <w:tc>
          <w:tcPr>
            <w:tcW w:type="dxa" w:w="2436"/>
          </w:tcPr>
          <w:p>
            <w:r/>
            <w:r>
              <w:rPr>
                <w:rFonts w:ascii="Calibri" w:hAnsi="Calibri"/>
                <w:b/>
                <w:color w:val="0F172A"/>
                <w:sz w:val="18"/>
              </w:rPr>
              <w:t>Knowledge capture</w:t>
            </w:r>
          </w:p>
        </w:tc>
        <w:tc>
          <w:tcPr>
            <w:tcW w:type="dxa" w:w="2436"/>
          </w:tcPr>
          <w:p>
            <w:r/>
            <w:r>
              <w:rPr>
                <w:rFonts w:ascii="Calibri" w:hAnsi="Calibri"/>
                <w:color w:val="0F172A"/>
                <w:sz w:val="18"/>
              </w:rPr>
              <w:t>Weeks 8–12 (during Improve/Control)</w:t>
            </w:r>
          </w:p>
        </w:tc>
        <w:tc>
          <w:tcPr>
            <w:tcW w:type="dxa" w:w="2436"/>
          </w:tcPr>
          <w:p>
            <w:r/>
            <w:r>
              <w:rPr>
                <w:rFonts w:ascii="Calibri" w:hAnsi="Calibri"/>
                <w:color w:val="0F172A"/>
                <w:sz w:val="18"/>
              </w:rPr>
              <w:t>Document control plan, FMEA, Poka-Yoke, AI agent specs in site-agnostic form</w:t>
            </w:r>
          </w:p>
        </w:tc>
        <w:tc>
          <w:tcPr>
            <w:tcW w:type="dxa" w:w="2436"/>
          </w:tcPr>
          <w:p>
            <w:r/>
            <w:r>
              <w:rPr>
                <w:rFonts w:ascii="Calibri" w:hAnsi="Calibri"/>
                <w:color w:val="0F172A"/>
                <w:sz w:val="18"/>
              </w:rPr>
              <w:t>Replication playbook</w:t>
            </w:r>
          </w:p>
        </w:tc>
      </w:tr>
      <w:tr>
        <w:tc>
          <w:tcPr>
            <w:tcW w:type="dxa" w:w="2436"/>
          </w:tcPr>
          <w:p>
            <w:r/>
            <w:r>
              <w:rPr>
                <w:rFonts w:ascii="Calibri" w:hAnsi="Calibri"/>
                <w:b/>
                <w:color w:val="0F172A"/>
                <w:sz w:val="18"/>
              </w:rPr>
              <w:t>Site 2 onboarding</w:t>
            </w:r>
          </w:p>
        </w:tc>
        <w:tc>
          <w:tcPr>
            <w:tcW w:type="dxa" w:w="2436"/>
          </w:tcPr>
          <w:p>
            <w:r/>
            <w:r>
              <w:rPr>
                <w:rFonts w:ascii="Calibri" w:hAnsi="Calibri"/>
                <w:color w:val="0F172A"/>
                <w:sz w:val="18"/>
              </w:rPr>
              <w:t>Months 4–6 post-G5</w:t>
            </w:r>
          </w:p>
        </w:tc>
        <w:tc>
          <w:tcPr>
            <w:tcW w:type="dxa" w:w="2436"/>
          </w:tcPr>
          <w:p>
            <w:r/>
            <w:r>
              <w:rPr>
                <w:rFonts w:ascii="Calibri" w:hAnsi="Calibri"/>
                <w:color w:val="0F172A"/>
                <w:sz w:val="18"/>
              </w:rPr>
              <w:t>Site 2 receives control plan, runs 12-week engagement</w:t>
            </w:r>
          </w:p>
        </w:tc>
        <w:tc>
          <w:tcPr>
            <w:tcW w:type="dxa" w:w="2436"/>
          </w:tcPr>
          <w:p>
            <w:r/>
            <w:r>
              <w:rPr>
                <w:rFonts w:ascii="Calibri" w:hAnsi="Calibri"/>
                <w:color w:val="0F172A"/>
                <w:sz w:val="18"/>
              </w:rPr>
              <w:t>Site 2 G5 + maturity score</w:t>
            </w:r>
          </w:p>
        </w:tc>
      </w:tr>
      <w:tr>
        <w:tc>
          <w:tcPr>
            <w:tcW w:type="dxa" w:w="2436"/>
          </w:tcPr>
          <w:p>
            <w:r/>
            <w:r>
              <w:rPr>
                <w:rFonts w:ascii="Calibri" w:hAnsi="Calibri"/>
                <w:b/>
                <w:color w:val="0F172A"/>
                <w:sz w:val="18"/>
              </w:rPr>
              <w:t>Site 3 onboarding</w:t>
            </w:r>
          </w:p>
        </w:tc>
        <w:tc>
          <w:tcPr>
            <w:tcW w:type="dxa" w:w="2436"/>
          </w:tcPr>
          <w:p>
            <w:r/>
            <w:r>
              <w:rPr>
                <w:rFonts w:ascii="Calibri" w:hAnsi="Calibri"/>
                <w:color w:val="0F172A"/>
                <w:sz w:val="18"/>
              </w:rPr>
              <w:t>Months 7–9</w:t>
            </w:r>
          </w:p>
        </w:tc>
        <w:tc>
          <w:tcPr>
            <w:tcW w:type="dxa" w:w="2436"/>
          </w:tcPr>
          <w:p>
            <w:r/>
            <w:r>
              <w:rPr>
                <w:rFonts w:ascii="Calibri" w:hAnsi="Calibri"/>
                <w:color w:val="0F172A"/>
                <w:sz w:val="18"/>
              </w:rPr>
              <w:t>Site 3 receives control plan</w:t>
            </w:r>
          </w:p>
        </w:tc>
        <w:tc>
          <w:tcPr>
            <w:tcW w:type="dxa" w:w="2436"/>
          </w:tcPr>
          <w:p>
            <w:r/>
            <w:r>
              <w:rPr>
                <w:rFonts w:ascii="Calibri" w:hAnsi="Calibri"/>
                <w:color w:val="0F172A"/>
                <w:sz w:val="18"/>
              </w:rPr>
              <w:t>Site 3 G5 + maturity score</w:t>
            </w:r>
          </w:p>
        </w:tc>
      </w:tr>
      <w:tr>
        <w:tc>
          <w:tcPr>
            <w:tcW w:type="dxa" w:w="2436"/>
          </w:tcPr>
          <w:p>
            <w:r/>
            <w:r>
              <w:rPr>
                <w:rFonts w:ascii="Calibri" w:hAnsi="Calibri"/>
                <w:b/>
                <w:color w:val="0F172A"/>
                <w:sz w:val="18"/>
              </w:rPr>
              <w:t>Site 4 onboarding</w:t>
            </w:r>
          </w:p>
        </w:tc>
        <w:tc>
          <w:tcPr>
            <w:tcW w:type="dxa" w:w="2436"/>
          </w:tcPr>
          <w:p>
            <w:r/>
            <w:r>
              <w:rPr>
                <w:rFonts w:ascii="Calibri" w:hAnsi="Calibri"/>
                <w:color w:val="0F172A"/>
                <w:sz w:val="18"/>
              </w:rPr>
              <w:t>Months 10–12</w:t>
            </w:r>
          </w:p>
        </w:tc>
        <w:tc>
          <w:tcPr>
            <w:tcW w:type="dxa" w:w="2436"/>
          </w:tcPr>
          <w:p>
            <w:r/>
            <w:r>
              <w:rPr>
                <w:rFonts w:ascii="Calibri" w:hAnsi="Calibri"/>
                <w:color w:val="0F172A"/>
                <w:sz w:val="18"/>
              </w:rPr>
              <w:t>Site 4 receives control plan</w:t>
            </w:r>
          </w:p>
        </w:tc>
        <w:tc>
          <w:tcPr>
            <w:tcW w:type="dxa" w:w="2436"/>
          </w:tcPr>
          <w:p>
            <w:r/>
            <w:r>
              <w:rPr>
                <w:rFonts w:ascii="Calibri" w:hAnsi="Calibri"/>
                <w:color w:val="0F172A"/>
                <w:sz w:val="18"/>
              </w:rPr>
              <w:t>Site 4 G5 + maturity score</w:t>
            </w:r>
          </w:p>
        </w:tc>
      </w:tr>
      <w:tr>
        <w:tc>
          <w:tcPr>
            <w:tcW w:type="dxa" w:w="2436"/>
          </w:tcPr>
          <w:p>
            <w:r/>
            <w:r>
              <w:rPr>
                <w:rFonts w:ascii="Calibri" w:hAnsi="Calibri"/>
                <w:b/>
                <w:color w:val="0F172A"/>
                <w:sz w:val="18"/>
              </w:rPr>
              <w:t>Site 5 onboarding</w:t>
            </w:r>
          </w:p>
        </w:tc>
        <w:tc>
          <w:tcPr>
            <w:tcW w:type="dxa" w:w="2436"/>
          </w:tcPr>
          <w:p>
            <w:r/>
            <w:r>
              <w:rPr>
                <w:rFonts w:ascii="Calibri" w:hAnsi="Calibri"/>
                <w:color w:val="0F172A"/>
                <w:sz w:val="18"/>
              </w:rPr>
              <w:t>Months 13–15</w:t>
            </w:r>
          </w:p>
        </w:tc>
        <w:tc>
          <w:tcPr>
            <w:tcW w:type="dxa" w:w="2436"/>
          </w:tcPr>
          <w:p>
            <w:r/>
            <w:r>
              <w:rPr>
                <w:rFonts w:ascii="Calibri" w:hAnsi="Calibri"/>
                <w:color w:val="0F172A"/>
                <w:sz w:val="18"/>
              </w:rPr>
              <w:t>Site 5 receives control plan</w:t>
            </w:r>
          </w:p>
        </w:tc>
        <w:tc>
          <w:tcPr>
            <w:tcW w:type="dxa" w:w="2436"/>
          </w:tcPr>
          <w:p>
            <w:r/>
            <w:r>
              <w:rPr>
                <w:rFonts w:ascii="Calibri" w:hAnsi="Calibri"/>
                <w:color w:val="0F172A"/>
                <w:sz w:val="18"/>
              </w:rPr>
              <w:t>Site 5 G5 + maturity score</w:t>
            </w:r>
          </w:p>
        </w:tc>
      </w:tr>
      <w:tr>
        <w:tc>
          <w:tcPr>
            <w:tcW w:type="dxa" w:w="2436"/>
          </w:tcPr>
          <w:p>
            <w:r/>
            <w:r>
              <w:rPr>
                <w:rFonts w:ascii="Calibri" w:hAnsi="Calibri"/>
                <w:b/>
                <w:color w:val="0F172A"/>
                <w:sz w:val="18"/>
              </w:rPr>
              <w:t>Enterprise benchmark</w:t>
            </w:r>
          </w:p>
        </w:tc>
        <w:tc>
          <w:tcPr>
            <w:tcW w:type="dxa" w:w="2436"/>
          </w:tcPr>
          <w:p>
            <w:r/>
            <w:r>
              <w:rPr>
                <w:rFonts w:ascii="Calibri" w:hAnsi="Calibri"/>
                <w:color w:val="0F172A"/>
                <w:sz w:val="18"/>
              </w:rPr>
              <w:t>Month 18+</w:t>
            </w:r>
          </w:p>
        </w:tc>
        <w:tc>
          <w:tcPr>
            <w:tcW w:type="dxa" w:w="2436"/>
          </w:tcPr>
          <w:p>
            <w:r/>
            <w:r>
              <w:rPr>
                <w:rFonts w:ascii="Calibri" w:hAnsi="Calibri"/>
                <w:color w:val="0F172A"/>
                <w:sz w:val="18"/>
              </w:rPr>
              <w:t>Cross-site maturity score comparison; identify best practices; harmonise control plans</w:t>
            </w:r>
          </w:p>
        </w:tc>
        <w:tc>
          <w:tcPr>
            <w:tcW w:type="dxa" w:w="2436"/>
          </w:tcPr>
          <w:p>
            <w:r/>
            <w:r>
              <w:rPr>
                <w:rFonts w:ascii="Calibri" w:hAnsi="Calibri"/>
                <w:color w:val="0F172A"/>
                <w:sz w:val="18"/>
              </w:rPr>
              <w:t>Enterprise maturity report</w:t>
            </w:r>
          </w:p>
        </w:tc>
      </w:tr>
    </w:tbl>
    <w:p/>
    <w:p>
      <w:r>
        <w:rPr>
          <w:rFonts w:ascii="Calibri" w:hAnsi="Calibri"/>
          <w:b/>
          <w:color w:val="0F172A"/>
          <w:sz w:val="24"/>
        </w:rPr>
        <w:t>6.5.2 Replication Mechanism</w:t>
      </w:r>
    </w:p>
    <w:p>
      <w:pPr>
        <w:pStyle w:val="ListBullet"/>
      </w:pPr>
      <w:r>
        <w:rPr>
          <w:rFonts w:ascii="Calibri" w:hAnsi="Calibri"/>
          <w:b/>
          <w:sz w:val="22"/>
        </w:rPr>
        <w:t>Replication playbook</w:t>
      </w:r>
      <w:r>
        <w:rPr>
          <w:rFonts w:ascii="Calibri" w:hAnsi="Calibri"/>
          <w:sz w:val="22"/>
        </w:rPr>
        <w:t xml:space="preserve"> — site-agnostic version of the engagement's deliverables</w:t>
      </w:r>
    </w:p>
    <w:p>
      <w:pPr>
        <w:pStyle w:val="ListBullet"/>
      </w:pPr>
      <w:r>
        <w:rPr>
          <w:rFonts w:ascii="Calibri" w:hAnsi="Calibri"/>
          <w:b/>
          <w:sz w:val="22"/>
        </w:rPr>
        <w:t>Site MBB</w:t>
      </w:r>
      <w:r>
        <w:rPr>
          <w:rFonts w:ascii="Calibri" w:hAnsi="Calibri"/>
          <w:sz w:val="22"/>
        </w:rPr>
        <w:t xml:space="preserve"> — each site designates a local MBB-equivalent (typically a senior engineer with LSS Black Belt)</w:t>
      </w:r>
    </w:p>
    <w:p>
      <w:pPr>
        <w:pStyle w:val="ListBullet"/>
      </w:pPr>
      <w:r>
        <w:rPr>
          <w:rFonts w:ascii="Calibri" w:hAnsi="Calibri"/>
          <w:b/>
          <w:sz w:val="22"/>
        </w:rPr>
        <w:t>MBB mentorship</w:t>
      </w:r>
      <w:r>
        <w:rPr>
          <w:rFonts w:ascii="Calibri" w:hAnsi="Calibri"/>
          <w:sz w:val="22"/>
        </w:rPr>
        <w:t xml:space="preserve"> — engagement MBB mentors each site MBB through their 12-week cycle</w:t>
      </w:r>
    </w:p>
    <w:p>
      <w:pPr>
        <w:pStyle w:val="ListBullet"/>
      </w:pPr>
      <w:r>
        <w:rPr>
          <w:rFonts w:ascii="Calibri" w:hAnsi="Calibri"/>
          <w:b/>
          <w:sz w:val="22"/>
        </w:rPr>
        <w:t>Cross-site audit exchange</w:t>
      </w:r>
      <w:r>
        <w:rPr>
          <w:rFonts w:ascii="Calibri" w:hAnsi="Calibri"/>
          <w:sz w:val="22"/>
        </w:rPr>
        <w:t xml:space="preserve"> — quarterly audits rotate across sites, sharing lessons learned</w:t>
      </w:r>
    </w:p>
    <w:p>
      <w:pPr>
        <w:pStyle w:val="ListBullet"/>
      </w:pPr>
      <w:r>
        <w:rPr>
          <w:rFonts w:ascii="Calibri" w:hAnsi="Calibri"/>
          <w:b/>
          <w:sz w:val="22"/>
        </w:rPr>
        <w:t>Enterprise control plan</w:t>
      </w:r>
      <w:r>
        <w:rPr>
          <w:rFonts w:ascii="Calibri" w:hAnsi="Calibri"/>
          <w:sz w:val="22"/>
        </w:rPr>
        <w:t xml:space="preserve"> — common minimum standard; sites can exceed but not fall below</w:t>
      </w:r>
    </w:p>
    <w:p>
      <w:r>
        <w:rPr>
          <w:rFonts w:ascii="Calibri" w:hAnsi="Calibri"/>
          <w:b/>
          <w:color w:val="0F172A"/>
          <w:sz w:val="24"/>
        </w:rPr>
        <w:t>6.5.3 Local Adaptation</w:t>
      </w:r>
    </w:p>
    <w:p>
      <w:r>
        <w:rPr>
          <w:rFonts w:ascii="Calibri" w:hAnsi="Calibri"/>
          <w:sz w:val="22"/>
        </w:rPr>
        <w:t>The replication playbook allows local adaptation for:</w:t>
      </w:r>
    </w:p>
    <w:p>
      <w:pPr>
        <w:pStyle w:val="ListBullet"/>
      </w:pPr>
      <w:r>
        <w:rPr>
          <w:rFonts w:ascii="Calibri" w:hAnsi="Calibri"/>
          <w:sz w:val="22"/>
        </w:rPr>
        <w:t>Site-specific process steps (if a site has additional or different chemistry)</w:t>
      </w:r>
    </w:p>
    <w:p>
      <w:pPr>
        <w:pStyle w:val="ListBullet"/>
      </w:pPr>
      <w:r>
        <w:rPr>
          <w:rFonts w:ascii="Calibri" w:hAnsi="Calibri"/>
          <w:sz w:val="22"/>
        </w:rPr>
        <w:t>Site-specific regulatory environment (e.g. China, US, EU differ on data residency)</w:t>
      </w:r>
    </w:p>
    <w:p>
      <w:pPr>
        <w:pStyle w:val="ListBullet"/>
      </w:pPr>
      <w:r>
        <w:rPr>
          <w:rFonts w:ascii="Calibri" w:hAnsi="Calibri"/>
          <w:sz w:val="22"/>
        </w:rPr>
        <w:t>Site-specific tooling (different SIEM vendor, different PLC vendor)</w:t>
      </w:r>
    </w:p>
    <w:p>
      <w:pPr>
        <w:pStyle w:val="ListBullet"/>
      </w:pPr>
      <w:r>
        <w:rPr>
          <w:rFonts w:ascii="Calibri" w:hAnsi="Calibri"/>
          <w:sz w:val="22"/>
        </w:rPr>
        <w:t>Site-specific personnel (different GB allocation)</w:t>
      </w:r>
    </w:p>
    <w:p>
      <w:r>
        <w:rPr>
          <w:rFonts w:ascii="Calibri" w:hAnsi="Calibri"/>
          <w:sz w:val="22"/>
        </w:rPr>
        <w:t>The adaptation must be documented and approved by the engagement MBB; deviations from the standard control plan require CISO sign-off.</w:t>
      </w:r>
    </w:p>
    <w:p>
      <w:pPr>
        <w:pBdr>
          <w:bottom w:val="single" w:sz="6" w:space="1" w:color="CBD5E1"/>
        </w:pBdr>
      </w:pPr>
    </w:p>
    <w:p>
      <w:r>
        <w:rPr>
          <w:rFonts w:ascii="Calibri" w:hAnsi="Calibri"/>
          <w:b/>
          <w:color w:val="0F172A"/>
          <w:sz w:val="28"/>
        </w:rPr>
        <w:t>6.6 New GB Onboarding &amp; Certification</w:t>
      </w:r>
    </w:p>
    <w:p>
      <w:r>
        <w:rPr>
          <w:rFonts w:ascii="Calibri" w:hAnsi="Calibri"/>
          <w:sz w:val="22"/>
        </w:rPr>
        <w:t>The engagement is sustainable only if new GBs can be onboarded as existing GBs rotate, leave, or expand. Onboarding is a continuation-phase routine.</w:t>
      </w:r>
    </w:p>
    <w:p>
      <w:r>
        <w:rPr>
          <w:rFonts w:ascii="Calibri" w:hAnsi="Calibri"/>
          <w:b/>
          <w:color w:val="0F172A"/>
          <w:sz w:val="24"/>
        </w:rPr>
        <w:t>6.6.1 Onboarding Curriculum (80 hours, ~2 weeks part-time)</w:t>
      </w:r>
    </w:p>
    <w:tbl>
      <w:tblPr>
        <w:tblStyle w:val="LightGrid-Accent1"/>
        <w:tblW w:type="auto" w:w="0"/>
        <w:tblLook w:firstColumn="1" w:firstRow="1" w:lastColumn="0" w:lastRow="0" w:noHBand="0" w:noVBand="1" w:val="04A0"/>
      </w:tblPr>
      <w:tblGrid>
        <w:gridCol w:w="3249"/>
        <w:gridCol w:w="3249"/>
        <w:gridCol w:w="3249"/>
      </w:tblGrid>
      <w:tr>
        <w:tc>
          <w:tcPr>
            <w:tcW w:type="dxa" w:w="3249"/>
            <w:shd w:val="clear" w:color="auto" w:fill="1E40AF"/>
          </w:tcPr>
          <w:p>
            <w:r/>
            <w:r>
              <w:rPr>
                <w:rFonts w:ascii="Calibri" w:hAnsi="Calibri"/>
                <w:b/>
                <w:color w:val="FFFFFF"/>
                <w:sz w:val="20"/>
              </w:rPr>
              <w:t>Module</w:t>
            </w:r>
          </w:p>
        </w:tc>
        <w:tc>
          <w:tcPr>
            <w:tcW w:type="dxa" w:w="3249"/>
            <w:shd w:val="clear" w:color="auto" w:fill="1E40AF"/>
          </w:tcPr>
          <w:p>
            <w:r/>
            <w:r>
              <w:rPr>
                <w:rFonts w:ascii="Calibri" w:hAnsi="Calibri"/>
                <w:b/>
                <w:color w:val="FFFFFF"/>
                <w:sz w:val="20"/>
              </w:rPr>
              <w:t>Duration</w:t>
            </w:r>
          </w:p>
        </w:tc>
        <w:tc>
          <w:tcPr>
            <w:tcW w:type="dxa" w:w="3249"/>
            <w:shd w:val="clear" w:color="auto" w:fill="1E40AF"/>
          </w:tcPr>
          <w:p>
            <w:r/>
            <w:r>
              <w:rPr>
                <w:rFonts w:ascii="Calibri" w:hAnsi="Calibri"/>
                <w:b/>
                <w:color w:val="FFFFFF"/>
                <w:sz w:val="20"/>
              </w:rPr>
              <w:t>Content</w:t>
            </w:r>
          </w:p>
        </w:tc>
      </w:tr>
      <w:tr>
        <w:tc>
          <w:tcPr>
            <w:tcW w:type="dxa" w:w="3249"/>
          </w:tcPr>
          <w:p>
            <w:r/>
            <w:r>
              <w:rPr>
                <w:rFonts w:ascii="Calibri" w:hAnsi="Calibri"/>
                <w:b/>
                <w:color w:val="0F172A"/>
                <w:sz w:val="18"/>
              </w:rPr>
              <w:t>M1: Engagement Overview</w:t>
            </w:r>
          </w:p>
        </w:tc>
        <w:tc>
          <w:tcPr>
            <w:tcW w:type="dxa" w:w="3249"/>
          </w:tcPr>
          <w:p>
            <w:r/>
            <w:r>
              <w:rPr>
                <w:rFonts w:ascii="Calibri" w:hAnsi="Calibri"/>
                <w:color w:val="0F172A"/>
                <w:sz w:val="18"/>
              </w:rPr>
              <w:t>4 h</w:t>
            </w:r>
          </w:p>
        </w:tc>
        <w:tc>
          <w:tcPr>
            <w:tcW w:type="dxa" w:w="3249"/>
          </w:tcPr>
          <w:p>
            <w:r/>
            <w:r>
              <w:rPr>
                <w:rFonts w:ascii="Calibri" w:hAnsi="Calibri"/>
                <w:color w:val="0F172A"/>
                <w:sz w:val="18"/>
              </w:rPr>
              <w:t>Charter, FMEA, control plan, exposure model</w:t>
            </w:r>
          </w:p>
        </w:tc>
      </w:tr>
      <w:tr>
        <w:tc>
          <w:tcPr>
            <w:tcW w:type="dxa" w:w="3249"/>
          </w:tcPr>
          <w:p>
            <w:r/>
            <w:r>
              <w:rPr>
                <w:rFonts w:ascii="Calibri" w:hAnsi="Calibri"/>
                <w:b/>
                <w:color w:val="0F172A"/>
                <w:sz w:val="18"/>
              </w:rPr>
              <w:t>M2: Track-Specific Deep Dive</w:t>
            </w:r>
          </w:p>
        </w:tc>
        <w:tc>
          <w:tcPr>
            <w:tcW w:type="dxa" w:w="3249"/>
          </w:tcPr>
          <w:p>
            <w:r/>
            <w:r>
              <w:rPr>
                <w:rFonts w:ascii="Calibri" w:hAnsi="Calibri"/>
                <w:color w:val="0F172A"/>
                <w:sz w:val="18"/>
              </w:rPr>
              <w:t>16 h</w:t>
            </w:r>
          </w:p>
        </w:tc>
        <w:tc>
          <w:tcPr>
            <w:tcW w:type="dxa" w:w="3249"/>
          </w:tcPr>
          <w:p>
            <w:r/>
            <w:r>
              <w:rPr>
                <w:rFonts w:ascii="Calibri" w:hAnsi="Calibri"/>
                <w:color w:val="0F172A"/>
                <w:sz w:val="18"/>
              </w:rPr>
              <w:t>Architecture / Data &amp; Metrics / Automation, depending on assigned track</w:t>
            </w:r>
          </w:p>
        </w:tc>
      </w:tr>
      <w:tr>
        <w:tc>
          <w:tcPr>
            <w:tcW w:type="dxa" w:w="3249"/>
          </w:tcPr>
          <w:p>
            <w:r/>
            <w:r>
              <w:rPr>
                <w:rFonts w:ascii="Calibri" w:hAnsi="Calibri"/>
                <w:b/>
                <w:color w:val="0F172A"/>
                <w:sz w:val="18"/>
              </w:rPr>
              <w:t>M3: Data-Blind Protocol</w:t>
            </w:r>
          </w:p>
        </w:tc>
        <w:tc>
          <w:tcPr>
            <w:tcW w:type="dxa" w:w="3249"/>
          </w:tcPr>
          <w:p>
            <w:r/>
            <w:r>
              <w:rPr>
                <w:rFonts w:ascii="Calibri" w:hAnsi="Calibri"/>
                <w:color w:val="0F172A"/>
                <w:sz w:val="18"/>
              </w:rPr>
              <w:t>8 h</w:t>
            </w:r>
          </w:p>
        </w:tc>
        <w:tc>
          <w:tcPr>
            <w:tcW w:type="dxa" w:w="3249"/>
          </w:tcPr>
          <w:p>
            <w:r/>
            <w:r>
              <w:rPr>
                <w:rFonts w:ascii="Calibri" w:hAnsi="Calibri"/>
                <w:color w:val="0F172A"/>
                <w:sz w:val="18"/>
              </w:rPr>
              <w:t>CISO data-access governance; query interface training; breach protocol</w:t>
            </w:r>
          </w:p>
        </w:tc>
      </w:tr>
      <w:tr>
        <w:tc>
          <w:tcPr>
            <w:tcW w:type="dxa" w:w="3249"/>
          </w:tcPr>
          <w:p>
            <w:r/>
            <w:r>
              <w:rPr>
                <w:rFonts w:ascii="Calibri" w:hAnsi="Calibri"/>
                <w:b/>
                <w:color w:val="0F172A"/>
                <w:sz w:val="18"/>
              </w:rPr>
              <w:t>M4: AI Agent Operations</w:t>
            </w:r>
          </w:p>
        </w:tc>
        <w:tc>
          <w:tcPr>
            <w:tcW w:type="dxa" w:w="3249"/>
          </w:tcPr>
          <w:p>
            <w:r/>
            <w:r>
              <w:rPr>
                <w:rFonts w:ascii="Calibri" w:hAnsi="Calibri"/>
                <w:color w:val="0F172A"/>
                <w:sz w:val="18"/>
              </w:rPr>
              <w:t>8 h</w:t>
            </w:r>
          </w:p>
        </w:tc>
        <w:tc>
          <w:tcPr>
            <w:tcW w:type="dxa" w:w="3249"/>
          </w:tcPr>
          <w:p>
            <w:r/>
            <w:r>
              <w:rPr>
                <w:rFonts w:ascii="Calibri" w:hAnsi="Calibri"/>
                <w:color w:val="0F172A"/>
                <w:sz w:val="18"/>
              </w:rPr>
              <w:t>Agent monitoring, kill-switch, retraining protocol</w:t>
            </w:r>
          </w:p>
        </w:tc>
      </w:tr>
      <w:tr>
        <w:tc>
          <w:tcPr>
            <w:tcW w:type="dxa" w:w="3249"/>
          </w:tcPr>
          <w:p>
            <w:r/>
            <w:r>
              <w:rPr>
                <w:rFonts w:ascii="Calibri" w:hAnsi="Calibri"/>
                <w:b/>
                <w:color w:val="0F172A"/>
                <w:sz w:val="18"/>
              </w:rPr>
              <w:t>M5: Standard Work</w:t>
            </w:r>
          </w:p>
        </w:tc>
        <w:tc>
          <w:tcPr>
            <w:tcW w:type="dxa" w:w="3249"/>
          </w:tcPr>
          <w:p>
            <w:r/>
            <w:r>
              <w:rPr>
                <w:rFonts w:ascii="Calibri" w:hAnsi="Calibri"/>
                <w:color w:val="0F172A"/>
                <w:sz w:val="18"/>
              </w:rPr>
              <w:t>8 h</w:t>
            </w:r>
          </w:p>
        </w:tc>
        <w:tc>
          <w:tcPr>
            <w:tcW w:type="dxa" w:w="3249"/>
          </w:tcPr>
          <w:p>
            <w:r/>
            <w:r>
              <w:rPr>
                <w:rFonts w:ascii="Calibri" w:hAnsi="Calibri"/>
                <w:color w:val="0F172A"/>
                <w:sz w:val="18"/>
              </w:rPr>
              <w:t>Weekly / monthly / quarterly routines, escalation discipline</w:t>
            </w:r>
          </w:p>
        </w:tc>
      </w:tr>
      <w:tr>
        <w:tc>
          <w:tcPr>
            <w:tcW w:type="dxa" w:w="3249"/>
          </w:tcPr>
          <w:p>
            <w:r/>
            <w:r>
              <w:rPr>
                <w:rFonts w:ascii="Calibri" w:hAnsi="Calibri"/>
                <w:b/>
                <w:color w:val="0F172A"/>
                <w:sz w:val="18"/>
              </w:rPr>
              <w:t>M6: Cyber-Kaizen Response</w:t>
            </w:r>
          </w:p>
        </w:tc>
        <w:tc>
          <w:tcPr>
            <w:tcW w:type="dxa" w:w="3249"/>
          </w:tcPr>
          <w:p>
            <w:r/>
            <w:r>
              <w:rPr>
                <w:rFonts w:ascii="Calibri" w:hAnsi="Calibri"/>
                <w:color w:val="0F172A"/>
                <w:sz w:val="18"/>
              </w:rPr>
              <w:t>4 h</w:t>
            </w:r>
          </w:p>
        </w:tc>
        <w:tc>
          <w:tcPr>
            <w:tcW w:type="dxa" w:w="3249"/>
          </w:tcPr>
          <w:p>
            <w:r/>
            <w:r>
              <w:rPr>
                <w:rFonts w:ascii="Calibri" w:hAnsi="Calibri"/>
                <w:color w:val="0F172A"/>
                <w:sz w:val="18"/>
              </w:rPr>
              <w:t>A3 problem-solving, trigger catalogue, escalation paths</w:t>
            </w:r>
          </w:p>
        </w:tc>
      </w:tr>
      <w:tr>
        <w:tc>
          <w:tcPr>
            <w:tcW w:type="dxa" w:w="3249"/>
          </w:tcPr>
          <w:p>
            <w:r/>
            <w:r>
              <w:rPr>
                <w:rFonts w:ascii="Calibri" w:hAnsi="Calibri"/>
                <w:b/>
                <w:color w:val="0F172A"/>
                <w:sz w:val="18"/>
              </w:rPr>
              <w:t>M7: FMEA Refresh Process</w:t>
            </w:r>
          </w:p>
        </w:tc>
        <w:tc>
          <w:tcPr>
            <w:tcW w:type="dxa" w:w="3249"/>
          </w:tcPr>
          <w:p>
            <w:r/>
            <w:r>
              <w:rPr>
                <w:rFonts w:ascii="Calibri" w:hAnsi="Calibri"/>
                <w:color w:val="0F172A"/>
                <w:sz w:val="18"/>
              </w:rPr>
              <w:t>4 h</w:t>
            </w:r>
          </w:p>
        </w:tc>
        <w:tc>
          <w:tcPr>
            <w:tcW w:type="dxa" w:w="3249"/>
          </w:tcPr>
          <w:p>
            <w:r/>
            <w:r>
              <w:rPr>
                <w:rFonts w:ascii="Calibri" w:hAnsi="Calibri"/>
                <w:color w:val="0F172A"/>
                <w:sz w:val="18"/>
              </w:rPr>
              <w:t>How to add/modify FMEA modes; RPN recalculation</w:t>
            </w:r>
          </w:p>
        </w:tc>
      </w:tr>
      <w:tr>
        <w:tc>
          <w:tcPr>
            <w:tcW w:type="dxa" w:w="3249"/>
          </w:tcPr>
          <w:p>
            <w:r/>
            <w:r>
              <w:rPr>
                <w:rFonts w:ascii="Calibri" w:hAnsi="Calibri"/>
                <w:b/>
                <w:color w:val="0F172A"/>
                <w:sz w:val="18"/>
              </w:rPr>
              <w:t>M8: Tooling (SIEM, SPC, Poka-Yoke enforcement)</w:t>
            </w:r>
          </w:p>
        </w:tc>
        <w:tc>
          <w:tcPr>
            <w:tcW w:type="dxa" w:w="3249"/>
          </w:tcPr>
          <w:p>
            <w:r/>
            <w:r>
              <w:rPr>
                <w:rFonts w:ascii="Calibri" w:hAnsi="Calibri"/>
                <w:color w:val="0F172A"/>
                <w:sz w:val="18"/>
              </w:rPr>
              <w:t>16 h</w:t>
            </w:r>
          </w:p>
        </w:tc>
        <w:tc>
          <w:tcPr>
            <w:tcW w:type="dxa" w:w="3249"/>
          </w:tcPr>
          <w:p>
            <w:r/>
            <w:r>
              <w:rPr>
                <w:rFonts w:ascii="Calibri" w:hAnsi="Calibri"/>
                <w:color w:val="0F172A"/>
                <w:sz w:val="18"/>
              </w:rPr>
              <w:t>Hands-on with engagement's deployed tooling</w:t>
            </w:r>
          </w:p>
        </w:tc>
      </w:tr>
      <w:tr>
        <w:tc>
          <w:tcPr>
            <w:tcW w:type="dxa" w:w="3249"/>
          </w:tcPr>
          <w:p>
            <w:r/>
            <w:r>
              <w:rPr>
                <w:rFonts w:ascii="Calibri" w:hAnsi="Calibri"/>
                <w:b/>
                <w:color w:val="0F172A"/>
                <w:sz w:val="18"/>
              </w:rPr>
              <w:t>M9: Mentored Practicum</w:t>
            </w:r>
          </w:p>
        </w:tc>
        <w:tc>
          <w:tcPr>
            <w:tcW w:type="dxa" w:w="3249"/>
          </w:tcPr>
          <w:p>
            <w:r/>
            <w:r>
              <w:rPr>
                <w:rFonts w:ascii="Calibri" w:hAnsi="Calibri"/>
                <w:color w:val="0F172A"/>
                <w:sz w:val="18"/>
              </w:rPr>
              <w:t>12 h</w:t>
            </w:r>
          </w:p>
        </w:tc>
        <w:tc>
          <w:tcPr>
            <w:tcW w:type="dxa" w:w="3249"/>
          </w:tcPr>
          <w:p>
            <w:r/>
            <w:r>
              <w:rPr>
                <w:rFonts w:ascii="Calibri" w:hAnsi="Calibri"/>
                <w:color w:val="0F172A"/>
                <w:sz w:val="18"/>
              </w:rPr>
              <w:t>Shadow existing GB; complete 1 routine independently with mentor review</w:t>
            </w:r>
          </w:p>
        </w:tc>
      </w:tr>
    </w:tbl>
    <w:p/>
    <w:p>
      <w:r>
        <w:rPr>
          <w:rFonts w:ascii="Calibri" w:hAnsi="Calibri"/>
          <w:b/>
          <w:color w:val="0F172A"/>
          <w:sz w:val="24"/>
        </w:rPr>
        <w:t>6.6.2 Certification</w:t>
      </w:r>
    </w:p>
    <w:p>
      <w:r>
        <w:rPr>
          <w:rFonts w:ascii="Calibri" w:hAnsi="Calibri"/>
          <w:sz w:val="22"/>
        </w:rPr>
        <w:t xml:space="preserve">After onboarding, the new GB is </w:t>
      </w:r>
      <w:r>
        <w:rPr>
          <w:rFonts w:ascii="Calibri" w:hAnsi="Calibri"/>
          <w:b/>
          <w:sz w:val="22"/>
        </w:rPr>
        <w:t>provisionally certified</w:t>
      </w:r>
      <w:r>
        <w:rPr>
          <w:rFonts w:ascii="Calibri" w:hAnsi="Calibri"/>
          <w:sz w:val="22"/>
        </w:rPr>
        <w:t xml:space="preserve"> for 90 days. After 90 days, with successful routine execution and Track Lead attestation, the GB is </w:t>
      </w:r>
      <w:r>
        <w:rPr>
          <w:rFonts w:ascii="Calibri" w:hAnsi="Calibri"/>
          <w:b/>
          <w:sz w:val="22"/>
        </w:rPr>
        <w:t>fully certified</w:t>
      </w:r>
      <w:r>
        <w:rPr>
          <w:rFonts w:ascii="Calibri" w:hAnsi="Calibri"/>
          <w:sz w:val="22"/>
        </w:rPr>
        <w:t>. CISO maintains the certification registry.</w:t>
      </w:r>
    </w:p>
    <w:p>
      <w:pPr>
        <w:pBdr>
          <w:bottom w:val="single" w:sz="6" w:space="1" w:color="CBD5E1"/>
        </w:pBdr>
      </w:pPr>
    </w:p>
    <w:p>
      <w:r>
        <w:rPr>
          <w:rFonts w:ascii="Calibri" w:hAnsi="Calibri"/>
          <w:b/>
          <w:color w:val="0F172A"/>
          <w:sz w:val="28"/>
        </w:rPr>
        <w:t>6.7 Threat Landscape Evolution</w:t>
      </w:r>
    </w:p>
    <w:p>
      <w:r>
        <w:rPr>
          <w:rFonts w:ascii="Calibri" w:hAnsi="Calibri"/>
          <w:sz w:val="22"/>
        </w:rPr>
        <w:t>The cyber threat landscape evolves continuously. The continuation phase embeds threat landscape monitoring into the routine:</w:t>
      </w:r>
    </w:p>
    <w:p>
      <w:pPr>
        <w:pStyle w:val="ListBullet"/>
      </w:pPr>
      <w:r>
        <w:rPr>
          <w:rFonts w:ascii="Calibri" w:hAnsi="Calibri"/>
          <w:b/>
          <w:sz w:val="22"/>
        </w:rPr>
        <w:t>Weekly:</w:t>
      </w:r>
      <w:r>
        <w:rPr>
          <w:rFonts w:ascii="Calibri" w:hAnsi="Calibri"/>
          <w:sz w:val="22"/>
        </w:rPr>
        <w:t xml:space="preserve"> Track C reviews threat intel feeds (anonymised); flags any novel campaign relevant to the engagement's failure modes</w:t>
      </w:r>
    </w:p>
    <w:p>
      <w:pPr>
        <w:pStyle w:val="ListBullet"/>
      </w:pPr>
      <w:r>
        <w:rPr>
          <w:rFonts w:ascii="Calibri" w:hAnsi="Calibri"/>
          <w:b/>
          <w:sz w:val="22"/>
        </w:rPr>
        <w:t>Monthly:</w:t>
      </w:r>
      <w:r>
        <w:rPr>
          <w:rFonts w:ascii="Calibri" w:hAnsi="Calibri"/>
          <w:sz w:val="22"/>
        </w:rPr>
        <w:t xml:space="preserve"> Threat intel correlation with engagement's control plan; identify gaps</w:t>
      </w:r>
    </w:p>
    <w:p>
      <w:pPr>
        <w:pStyle w:val="ListBullet"/>
      </w:pPr>
      <w:r>
        <w:rPr>
          <w:rFonts w:ascii="Calibri" w:hAnsi="Calibri"/>
          <w:b/>
          <w:sz w:val="22"/>
        </w:rPr>
        <w:t>Quarterly:</w:t>
      </w:r>
      <w:r>
        <w:rPr>
          <w:rFonts w:ascii="Calibri" w:hAnsi="Calibri"/>
          <w:sz w:val="22"/>
        </w:rPr>
        <w:t xml:space="preserve"> Full threat landscape review; control plan update if new high-RPN failure mode identified</w:t>
      </w:r>
    </w:p>
    <w:p>
      <w:pPr>
        <w:pStyle w:val="ListBullet"/>
      </w:pPr>
      <w:r>
        <w:rPr>
          <w:rFonts w:ascii="Calibri" w:hAnsi="Calibri"/>
          <w:b/>
          <w:sz w:val="22"/>
        </w:rPr>
        <w:t>Annual:</w:t>
      </w:r>
      <w:r>
        <w:rPr>
          <w:rFonts w:ascii="Calibri" w:hAnsi="Calibri"/>
          <w:sz w:val="22"/>
        </w:rPr>
        <w:t xml:space="preserve"> Strategic threat landscape review (MBB + CISO + IT Security); engagement re-scoping if threat landscape materially shifts</w:t>
      </w:r>
    </w:p>
    <w:p>
      <w:r>
        <w:rPr>
          <w:rFonts w:ascii="Calibri" w:hAnsi="Calibri"/>
          <w:b/>
          <w:sz w:val="22"/>
        </w:rPr>
        <w:t>Trigger:</w:t>
      </w:r>
      <w:r>
        <w:rPr>
          <w:rFonts w:ascii="Calibri" w:hAnsi="Calibri"/>
          <w:sz w:val="22"/>
        </w:rPr>
        <w:t xml:space="preserve"> A peer-industry breach (e.g. another EV cell manufacturer compromised) automatically triggers Tier 2 escalation within 48 hours, regardless of routine timing.</w:t>
      </w:r>
    </w:p>
    <w:p>
      <w:pPr>
        <w:pBdr>
          <w:bottom w:val="single" w:sz="6" w:space="1" w:color="CBD5E1"/>
        </w:pBdr>
      </w:pPr>
    </w:p>
    <w:p>
      <w:r>
        <w:rPr>
          <w:rFonts w:ascii="Calibri" w:hAnsi="Calibri"/>
          <w:b/>
          <w:color w:val="0F172A"/>
          <w:sz w:val="28"/>
        </w:rPr>
        <w:t>6.8 What Section 6 Does Not Cover</w:t>
      </w:r>
    </w:p>
    <w:p>
      <w:r>
        <w:rPr>
          <w:rFonts w:ascii="Calibri" w:hAnsi="Calibri"/>
          <w:sz w:val="22"/>
        </w:rPr>
        <w:t>Section 6 is the continuation and standard work. Subsequent sections cover:</w:t>
      </w:r>
    </w:p>
    <w:p>
      <w:pPr>
        <w:pStyle w:val="ListBullet"/>
      </w:pPr>
      <w:r>
        <w:rPr>
          <w:rFonts w:ascii="Calibri" w:hAnsi="Calibri"/>
          <w:b/>
          <w:sz w:val="22"/>
        </w:rPr>
        <w:t>§7 CISO Governance Cycle</w:t>
      </w:r>
      <w:r>
        <w:rPr>
          <w:rFonts w:ascii="Calibri" w:hAnsi="Calibri"/>
          <w:sz w:val="22"/>
        </w:rPr>
        <w:t xml:space="preserve"> — bi-weekly briefings, bi-annual audits, executive dashboard</w:t>
      </w:r>
    </w:p>
    <w:p>
      <w:pPr>
        <w:pStyle w:val="ListBullet"/>
      </w:pPr>
      <w:r>
        <w:rPr>
          <w:rFonts w:ascii="Calibri" w:hAnsi="Calibri"/>
          <w:b/>
          <w:sz w:val="22"/>
        </w:rPr>
        <w:t>§8 Constraints &amp; Risks</w:t>
      </w:r>
      <w:r>
        <w:rPr>
          <w:rFonts w:ascii="Calibri" w:hAnsi="Calibri"/>
          <w:sz w:val="22"/>
        </w:rPr>
        <w:t xml:space="preserve"> — data-blind, confidentiality, vendor remote access, air-gap requirement</w:t>
      </w:r>
    </w:p>
    <w:p>
      <w:pPr>
        <w:pStyle w:val="ListBullet"/>
      </w:pPr>
      <w:r>
        <w:rPr>
          <w:rFonts w:ascii="Calibri" w:hAnsi="Calibri"/>
          <w:b/>
          <w:sz w:val="22"/>
        </w:rPr>
        <w:t>Appendix A — CISO Elevator Pitch</w:t>
      </w:r>
    </w:p>
    <w:p>
      <w:pPr>
        <w:pStyle w:val="ListBullet"/>
      </w:pPr>
      <w:r>
        <w:rPr>
          <w:rFonts w:ascii="Calibri" w:hAnsi="Calibri"/>
          <w:b/>
          <w:sz w:val="22"/>
        </w:rPr>
        <w:t>Appendix B — CISO Executive Dashboard Mockup</w:t>
      </w:r>
    </w:p>
    <w:p>
      <w:r>
        <w:br w:type="page"/>
      </w:r>
    </w:p>
    <w:p>
      <w:r>
        <w:rPr>
          <w:rFonts w:ascii="Calibri" w:hAnsi="Calibri"/>
          <w:b/>
          <w:color w:val="1E40AF"/>
          <w:sz w:val="40"/>
        </w:rPr>
        <w:t>Section 7 — CISO Governance Cycle</w:t>
      </w:r>
    </w:p>
    <w:p>
      <w:pPr>
        <w:pBdr>
          <w:bottom w:val="single" w:sz="6" w:space="1" w:color="CBD5E1"/>
        </w:pBdr>
      </w:pPr>
    </w:p>
    <w:p/>
    <w:p>
      <w:r>
        <w:rPr>
          <w:rFonts w:ascii="Calibri" w:hAnsi="Calibri"/>
          <w:b/>
          <w:sz w:val="22"/>
        </w:rPr>
        <w:t>Section status:</w:t>
      </w:r>
      <w:r>
        <w:rPr>
          <w:rFonts w:ascii="Calibri" w:hAnsi="Calibri"/>
          <w:sz w:val="22"/>
        </w:rPr>
        <w:t xml:space="preserve"> Draft for review</w:t>
      </w:r>
    </w:p>
    <w:p>
      <w:r>
        <w:rPr>
          <w:rFonts w:ascii="Calibri" w:hAnsi="Calibri"/>
          <w:b/>
          <w:sz w:val="22"/>
        </w:rPr>
        <w:t>Reviewer:</w:t>
      </w:r>
      <w:r>
        <w:rPr>
          <w:rFonts w:ascii="Calibri" w:hAnsi="Calibri"/>
          <w:sz w:val="22"/>
        </w:rPr>
        <w:t xml:space="preserve"> Olivia Key (MBB)</w:t>
      </w:r>
    </w:p>
    <w:p>
      <w:r>
        <w:rPr>
          <w:rFonts w:ascii="Calibri" w:hAnsi="Calibri"/>
          <w:b/>
          <w:sz w:val="22"/>
        </w:rPr>
        <w:t>Source:</w:t>
      </w:r>
      <w:r>
        <w:rPr>
          <w:rFonts w:ascii="Calibri" w:hAnsi="Calibri"/>
          <w:sz w:val="22"/>
        </w:rPr>
        <w:t xml:space="preserve"> </w:t>
      </w:r>
      <w:r>
        <w:rPr>
          <w:rFonts w:ascii="Consolas" w:hAnsi="Consolas"/>
          <w:color w:val="334155"/>
          <w:sz w:val="20"/>
        </w:rPr>
        <w:t>context/00-original-input.md</w:t>
      </w:r>
      <w:r>
        <w:rPr>
          <w:rFonts w:ascii="Calibri" w:hAnsi="Calibri"/>
          <w:sz w:val="22"/>
        </w:rPr>
        <w:t xml:space="preserve"> (CISO governance references in §3.1, §3.2, §4.4), cross-referenced with §3.5 Data-Access Governance and §6 Continuation</w:t>
      </w:r>
    </w:p>
    <w:p>
      <w:r>
        <w:rPr>
          <w:rFonts w:ascii="Calibri" w:hAnsi="Calibri"/>
          <w:b/>
          <w:sz w:val="22"/>
        </w:rPr>
        <w:t>Emphasis:</w:t>
      </w:r>
      <w:r>
        <w:rPr>
          <w:rFonts w:ascii="Calibri" w:hAnsi="Calibri"/>
          <w:sz w:val="22"/>
        </w:rPr>
        <w:t xml:space="preserve"> Executive Dashboard as the CISO's main continuous visibility tool. Bi-weekly briefings and bi-annual audits are structured around the dashboard. The dashboard is the single source of truth; the briefings and audits are decision moments.</w:t>
      </w:r>
    </w:p>
    <w:p>
      <w:pPr>
        <w:pBdr>
          <w:bottom w:val="single" w:sz="6" w:space="1" w:color="CBD5E1"/>
        </w:pBdr>
      </w:pPr>
    </w:p>
    <w:p>
      <w:r>
        <w:rPr>
          <w:rFonts w:ascii="Calibri" w:hAnsi="Calibri"/>
          <w:b/>
          <w:color w:val="0F172A"/>
          <w:sz w:val="28"/>
        </w:rPr>
        <w:t>7.1 Governance Overview</w:t>
      </w:r>
    </w:p>
    <w:p>
      <w:r>
        <w:rPr>
          <w:rFonts w:ascii="Calibri" w:hAnsi="Calibri"/>
          <w:sz w:val="22"/>
        </w:rPr>
        <w:t>The CISO Governance Cycle is the long-term engagement structure that keeps the CISO continuously informed, in control, and able to discharge accountability. It has four components, in order of cadence:</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shd w:val="clear" w:color="auto" w:fill="1E40AF"/>
          </w:tcPr>
          <w:p>
            <w:r/>
            <w:r>
              <w:rPr>
                <w:rFonts w:ascii="Calibri" w:hAnsi="Calibri"/>
                <w:b/>
                <w:color w:val="FFFFFF"/>
                <w:sz w:val="20"/>
              </w:rPr>
              <w:t>Component</w:t>
            </w:r>
          </w:p>
        </w:tc>
        <w:tc>
          <w:tcPr>
            <w:tcW w:type="dxa" w:w="1949"/>
            <w:shd w:val="clear" w:color="auto" w:fill="1E40AF"/>
          </w:tcPr>
          <w:p>
            <w:r/>
            <w:r>
              <w:rPr>
                <w:rFonts w:ascii="Calibri" w:hAnsi="Calibri"/>
                <w:b/>
                <w:color w:val="FFFFFF"/>
                <w:sz w:val="20"/>
              </w:rPr>
              <w:t>Cadence</w:t>
            </w:r>
          </w:p>
        </w:tc>
        <w:tc>
          <w:tcPr>
            <w:tcW w:type="dxa" w:w="1949"/>
            <w:shd w:val="clear" w:color="auto" w:fill="1E40AF"/>
          </w:tcPr>
          <w:p>
            <w:r/>
            <w:r>
              <w:rPr>
                <w:rFonts w:ascii="Calibri" w:hAnsi="Calibri"/>
                <w:b/>
                <w:color w:val="FFFFFF"/>
                <w:sz w:val="20"/>
              </w:rPr>
              <w:t>Duration</w:t>
            </w:r>
          </w:p>
        </w:tc>
        <w:tc>
          <w:tcPr>
            <w:tcW w:type="dxa" w:w="1949"/>
            <w:shd w:val="clear" w:color="auto" w:fill="1E40AF"/>
          </w:tcPr>
          <w:p>
            <w:r/>
            <w:r>
              <w:rPr>
                <w:rFonts w:ascii="Calibri" w:hAnsi="Calibri"/>
                <w:b/>
                <w:color w:val="FFFFFF"/>
                <w:sz w:val="20"/>
              </w:rPr>
              <w:t>Attendees</w:t>
            </w:r>
          </w:p>
        </w:tc>
        <w:tc>
          <w:tcPr>
            <w:tcW w:type="dxa" w:w="1949"/>
            <w:shd w:val="clear" w:color="auto" w:fill="1E40AF"/>
          </w:tcPr>
          <w:p>
            <w:r/>
            <w:r>
              <w:rPr>
                <w:rFonts w:ascii="Calibri" w:hAnsi="Calibri"/>
                <w:b/>
                <w:color w:val="FFFFFF"/>
                <w:sz w:val="20"/>
              </w:rPr>
              <w:t>Decision authority</w:t>
            </w:r>
          </w:p>
        </w:tc>
      </w:tr>
      <w:tr>
        <w:tc>
          <w:tcPr>
            <w:tcW w:type="dxa" w:w="1949"/>
          </w:tcPr>
          <w:p>
            <w:r/>
            <w:r>
              <w:rPr>
                <w:rFonts w:ascii="Calibri" w:hAnsi="Calibri"/>
                <w:b/>
                <w:color w:val="0F172A"/>
                <w:sz w:val="18"/>
              </w:rPr>
              <w:t>Executive Dashboard</w:t>
            </w:r>
          </w:p>
        </w:tc>
        <w:tc>
          <w:tcPr>
            <w:tcW w:type="dxa" w:w="1949"/>
          </w:tcPr>
          <w:p>
            <w:r/>
            <w:r>
              <w:rPr>
                <w:rFonts w:ascii="Calibri" w:hAnsi="Calibri"/>
                <w:color w:val="0F172A"/>
                <w:sz w:val="18"/>
              </w:rPr>
              <w:t>Real-time / daily refresh</w:t>
            </w:r>
          </w:p>
        </w:tc>
        <w:tc>
          <w:tcPr>
            <w:tcW w:type="dxa" w:w="1949"/>
          </w:tcPr>
          <w:p>
            <w:r/>
            <w:r>
              <w:rPr>
                <w:rFonts w:ascii="Calibri" w:hAnsi="Calibri"/>
                <w:color w:val="0F172A"/>
                <w:sz w:val="18"/>
              </w:rPr>
              <w:t>—</w:t>
            </w:r>
          </w:p>
        </w:tc>
        <w:tc>
          <w:tcPr>
            <w:tcW w:type="dxa" w:w="1949"/>
          </w:tcPr>
          <w:p>
            <w:r/>
            <w:r>
              <w:rPr>
                <w:rFonts w:ascii="Calibri" w:hAnsi="Calibri"/>
                <w:color w:val="0F172A"/>
                <w:sz w:val="18"/>
              </w:rPr>
              <w:t>(read-only)</w:t>
            </w:r>
          </w:p>
        </w:tc>
        <w:tc>
          <w:tcPr>
            <w:tcW w:type="dxa" w:w="1949"/>
          </w:tcPr>
          <w:p>
            <w:r/>
            <w:r>
              <w:rPr>
                <w:rFonts w:ascii="Calibri" w:hAnsi="Calibri"/>
                <w:color w:val="0F172A"/>
                <w:sz w:val="18"/>
              </w:rPr>
              <w:t>CISO views continuously</w:t>
            </w:r>
          </w:p>
        </w:tc>
      </w:tr>
      <w:tr>
        <w:tc>
          <w:tcPr>
            <w:tcW w:type="dxa" w:w="1949"/>
          </w:tcPr>
          <w:p>
            <w:r/>
            <w:r>
              <w:rPr>
                <w:rFonts w:ascii="Calibri" w:hAnsi="Calibri"/>
                <w:b/>
                <w:color w:val="0F172A"/>
                <w:sz w:val="18"/>
              </w:rPr>
              <w:t>Bi-weekly Briefing</w:t>
            </w:r>
          </w:p>
        </w:tc>
        <w:tc>
          <w:tcPr>
            <w:tcW w:type="dxa" w:w="1949"/>
          </w:tcPr>
          <w:p>
            <w:r/>
            <w:r>
              <w:rPr>
                <w:rFonts w:ascii="Calibri" w:hAnsi="Calibri"/>
                <w:color w:val="0F172A"/>
                <w:sz w:val="18"/>
              </w:rPr>
              <w:t>Every 2 weeks</w:t>
            </w:r>
          </w:p>
        </w:tc>
        <w:tc>
          <w:tcPr>
            <w:tcW w:type="dxa" w:w="1949"/>
          </w:tcPr>
          <w:p>
            <w:r/>
            <w:r>
              <w:rPr>
                <w:rFonts w:ascii="Calibri" w:hAnsi="Calibri"/>
                <w:color w:val="0F172A"/>
                <w:sz w:val="18"/>
              </w:rPr>
              <w:t>30 min</w:t>
            </w:r>
          </w:p>
        </w:tc>
        <w:tc>
          <w:tcPr>
            <w:tcW w:type="dxa" w:w="1949"/>
          </w:tcPr>
          <w:p>
            <w:r/>
            <w:r>
              <w:rPr>
                <w:rFonts w:ascii="Calibri" w:hAnsi="Calibri"/>
                <w:color w:val="0F172A"/>
                <w:sz w:val="18"/>
              </w:rPr>
              <w:t>CISO + MBB (+ Track Leads as needed)</w:t>
            </w:r>
          </w:p>
        </w:tc>
        <w:tc>
          <w:tcPr>
            <w:tcW w:type="dxa" w:w="1949"/>
          </w:tcPr>
          <w:p>
            <w:r/>
            <w:r>
              <w:rPr>
                <w:rFonts w:ascii="Calibri" w:hAnsi="Calibri"/>
                <w:color w:val="0F172A"/>
                <w:sz w:val="18"/>
              </w:rPr>
              <w:t>CISO on escalation items</w:t>
            </w:r>
          </w:p>
        </w:tc>
      </w:tr>
      <w:tr>
        <w:tc>
          <w:tcPr>
            <w:tcW w:type="dxa" w:w="1949"/>
          </w:tcPr>
          <w:p>
            <w:r/>
            <w:r>
              <w:rPr>
                <w:rFonts w:ascii="Calibri" w:hAnsi="Calibri"/>
                <w:b/>
                <w:color w:val="0F172A"/>
                <w:sz w:val="18"/>
              </w:rPr>
              <w:t>Bi-annual Audit</w:t>
            </w:r>
          </w:p>
        </w:tc>
        <w:tc>
          <w:tcPr>
            <w:tcW w:type="dxa" w:w="1949"/>
          </w:tcPr>
          <w:p>
            <w:r/>
            <w:r>
              <w:rPr>
                <w:rFonts w:ascii="Calibri" w:hAnsi="Calibri"/>
                <w:color w:val="0F172A"/>
                <w:sz w:val="18"/>
              </w:rPr>
              <w:t>Every 6 months</w:t>
            </w:r>
          </w:p>
        </w:tc>
        <w:tc>
          <w:tcPr>
            <w:tcW w:type="dxa" w:w="1949"/>
          </w:tcPr>
          <w:p>
            <w:r/>
            <w:r>
              <w:rPr>
                <w:rFonts w:ascii="Calibri" w:hAnsi="Calibri"/>
                <w:color w:val="0F172A"/>
                <w:sz w:val="18"/>
              </w:rPr>
              <w:t>2–4 hours</w:t>
            </w:r>
          </w:p>
        </w:tc>
        <w:tc>
          <w:tcPr>
            <w:tcW w:type="dxa" w:w="1949"/>
          </w:tcPr>
          <w:p>
            <w:r/>
            <w:r>
              <w:rPr>
                <w:rFonts w:ascii="Calibri" w:hAnsi="Calibri"/>
                <w:color w:val="0F172A"/>
                <w:sz w:val="18"/>
              </w:rPr>
              <w:t>CISO + MBB + Operations Director + IT Security + Legal/Compliance</w:t>
            </w:r>
          </w:p>
        </w:tc>
        <w:tc>
          <w:tcPr>
            <w:tcW w:type="dxa" w:w="1949"/>
          </w:tcPr>
          <w:p>
            <w:r/>
            <w:r>
              <w:rPr>
                <w:rFonts w:ascii="Calibri" w:hAnsi="Calibri"/>
                <w:color w:val="0F172A"/>
                <w:sz w:val="18"/>
              </w:rPr>
              <w:t>CISO on continuation; joint sign-off on control plan</w:t>
            </w:r>
          </w:p>
        </w:tc>
      </w:tr>
      <w:tr>
        <w:tc>
          <w:tcPr>
            <w:tcW w:type="dxa" w:w="1949"/>
          </w:tcPr>
          <w:p>
            <w:r/>
            <w:r>
              <w:rPr>
                <w:rFonts w:ascii="Calibri" w:hAnsi="Calibri"/>
                <w:b/>
                <w:color w:val="0F172A"/>
                <w:sz w:val="18"/>
              </w:rPr>
              <w:t>Annual Strategic Review</w:t>
            </w:r>
          </w:p>
        </w:tc>
        <w:tc>
          <w:tcPr>
            <w:tcW w:type="dxa" w:w="1949"/>
          </w:tcPr>
          <w:p>
            <w:r/>
            <w:r>
              <w:rPr>
                <w:rFonts w:ascii="Calibri" w:hAnsi="Calibri"/>
                <w:color w:val="0F172A"/>
                <w:sz w:val="18"/>
              </w:rPr>
              <w:t>Annually</w:t>
            </w:r>
          </w:p>
        </w:tc>
        <w:tc>
          <w:tcPr>
            <w:tcW w:type="dxa" w:w="1949"/>
          </w:tcPr>
          <w:p>
            <w:r/>
            <w:r>
              <w:rPr>
                <w:rFonts w:ascii="Calibri" w:hAnsi="Calibri"/>
                <w:color w:val="0F172A"/>
                <w:sz w:val="18"/>
              </w:rPr>
              <w:t>4–8 hours</w:t>
            </w:r>
          </w:p>
        </w:tc>
        <w:tc>
          <w:tcPr>
            <w:tcW w:type="dxa" w:w="1949"/>
          </w:tcPr>
          <w:p>
            <w:r/>
            <w:r>
              <w:rPr>
                <w:rFonts w:ascii="Calibri" w:hAnsi="Calibri"/>
                <w:color w:val="0F172A"/>
                <w:sz w:val="18"/>
              </w:rPr>
              <w:t>CISO + MBB + executive committee</w:t>
            </w:r>
          </w:p>
        </w:tc>
        <w:tc>
          <w:tcPr>
            <w:tcW w:type="dxa" w:w="1949"/>
          </w:tcPr>
          <w:p>
            <w:r/>
            <w:r>
              <w:rPr>
                <w:rFonts w:ascii="Calibri" w:hAnsi="Calibri"/>
                <w:color w:val="0F172A"/>
                <w:sz w:val="18"/>
              </w:rPr>
              <w:t>Executive committee on engagement re-scoping and budget</w:t>
            </w:r>
          </w:p>
        </w:tc>
      </w:tr>
    </w:tbl>
    <w:p/>
    <w:p>
      <w:r>
        <w:rPr>
          <w:rFonts w:ascii="Calibri" w:hAnsi="Calibri"/>
          <w:b/>
          <w:sz w:val="22"/>
        </w:rPr>
        <w:t>Governance principle:</w:t>
      </w:r>
      <w:r>
        <w:rPr>
          <w:rFonts w:ascii="Calibri" w:hAnsi="Calibri"/>
          <w:sz w:val="22"/>
        </w:rPr>
        <w:t xml:space="preserve"> The CISO is informed continuously (via dashboard) and engaged at three escalating cadences (bi-weekly / bi-annual / annual). Decision authority is at the right cadence for the decision's materiality.</w:t>
      </w:r>
    </w:p>
    <w:p>
      <w:pPr>
        <w:pBdr>
          <w:bottom w:val="single" w:sz="6" w:space="1" w:color="CBD5E1"/>
        </w:pBdr>
      </w:pPr>
    </w:p>
    <w:p>
      <w:r>
        <w:rPr>
          <w:rFonts w:ascii="Calibri" w:hAnsi="Calibri"/>
          <w:b/>
          <w:color w:val="0F172A"/>
          <w:sz w:val="28"/>
        </w:rPr>
        <w:t>7.2 Executive Dashboard — The CISO's Main Visibility Tool</w:t>
      </w:r>
    </w:p>
    <w:p>
      <w:r>
        <w:rPr>
          <w:rFonts w:ascii="Calibri" w:hAnsi="Calibri"/>
          <w:sz w:val="22"/>
        </w:rPr>
        <w:t>The Executive Dashboard is the CISO's single source of truth for the engagement. It is real-time where possible, anonymised per the data-access protocol (§3.5), and structured into 8 tiles that map to the engagement's key metrics.</w:t>
      </w:r>
    </w:p>
    <w:p>
      <w:r>
        <w:rPr>
          <w:rFonts w:ascii="Calibri" w:hAnsi="Calibri"/>
          <w:b/>
          <w:color w:val="0F172A"/>
          <w:sz w:val="24"/>
        </w:rPr>
        <w:t>7.2.1 Dashboard Structure (8 Tiles)</w:t>
      </w:r>
    </w:p>
    <w:p>
      <w:pPr>
        <w:shd w:val="clear" w:color="auto" w:fill="F1F5F9"/>
        <w:pBdr>
          <w:top w:val="single" w:sz="4" w:space="4" w:color="E2E8F0"/>
          <w:left w:val="single" w:sz="4" w:space="4" w:color="E2E8F0"/>
          <w:bottom w:val="single" w:sz="4" w:space="4" w:color="E2E8F0"/>
          <w:right w:val="single" w:sz="4" w:space="4" w:color="E2E8F0"/>
        </w:pBdr>
      </w:pPr>
      <w:r>
        <w:rPr>
          <w:rFonts w:ascii="Consolas" w:hAnsi="Consolas"/>
          <w:color w:val="334155"/>
          <w:sz w:val="18"/>
        </w:rPr>
        <w:t>┌─────────────────────────────────────────────────────────────────────┐</w:t>
        <w:br/>
      </w:r>
      <w:r>
        <w:rPr>
          <w:rFonts w:ascii="Consolas" w:hAnsi="Consolas"/>
          <w:color w:val="334155"/>
          <w:sz w:val="18"/>
        </w:rPr>
        <w:t>│  EV CELL CYBER RESILIENCE — EXECUTIVE DASHBOARD                      │</w:t>
        <w:br/>
      </w:r>
      <w:r>
        <w:rPr>
          <w:rFonts w:ascii="Consolas" w:hAnsi="Consolas"/>
          <w:color w:val="334155"/>
          <w:sz w:val="18"/>
        </w:rPr>
        <w:t>│  Anonymised | Z-Score (target ≥ 6.0) | Last Refresh: [timestamp]    │</w:t>
        <w:br/>
      </w:r>
      <w:r>
        <w:rPr>
          <w:rFonts w:ascii="Consolas" w:hAnsi="Consolas"/>
          <w:color w:val="334155"/>
          <w:sz w:val="18"/>
        </w:rPr>
        <w:t>├─────────────────────────────────────────────────────────────────────┤</w:t>
        <w:br/>
      </w:r>
      <w:r>
        <w:rPr>
          <w:rFonts w:ascii="Consolas" w:hAnsi="Consolas"/>
          <w:color w:val="334155"/>
          <w:sz w:val="18"/>
        </w:rPr>
        <w:t>│                                                                      │</w:t>
        <w:br/>
      </w:r>
      <w:r>
        <w:rPr>
          <w:rFonts w:ascii="Consolas" w:hAnsi="Consolas"/>
          <w:color w:val="334155"/>
          <w:sz w:val="18"/>
        </w:rPr>
        <w:t>│  TILE 1: PROCESS CAPABILITY        TILE 2: FINANCIAL EXPOSURE        │</w:t>
        <w:br/>
      </w:r>
      <w:r>
        <w:rPr>
          <w:rFonts w:ascii="Consolas" w:hAnsi="Consolas"/>
          <w:color w:val="334155"/>
          <w:sz w:val="18"/>
        </w:rPr>
        <w:t>│  [Z-Score trend chart]             [COPQ avoided YTD / Protected     │</w:t>
        <w:br/>
      </w:r>
      <w:r>
        <w:rPr>
          <w:rFonts w:ascii="Consolas" w:hAnsi="Consolas"/>
          <w:color w:val="334155"/>
          <w:sz w:val="18"/>
        </w:rPr>
        <w:t>│   - Engagement Z (line)            value realised / E_cyber band]    │</w:t>
        <w:br/>
      </w:r>
      <w:r>
        <w:rPr>
          <w:rFonts w:ascii="Consolas" w:hAnsi="Consolas"/>
          <w:color w:val="334155"/>
          <w:sz w:val="18"/>
        </w:rPr>
        <w:t>│   - Sub-process Cpk (bars)                                            │</w:t>
        <w:br/>
      </w:r>
      <w:r>
        <w:rPr>
          <w:rFonts w:ascii="Consolas" w:hAnsi="Consolas"/>
          <w:color w:val="334155"/>
          <w:sz w:val="18"/>
        </w:rPr>
        <w:t>│   - Target line at Z=6.0           TILE 3: VELOCITY METRICS          │</w:t>
        <w:br/>
      </w:r>
      <w:r>
        <w:rPr>
          <w:rFonts w:ascii="Consolas" w:hAnsi="Consolas"/>
          <w:color w:val="334155"/>
          <w:sz w:val="18"/>
        </w:rPr>
        <w:t>│                                    [MTTD/MTTR trend lines + drill   │</w:t>
        <w:br/>
      </w:r>
      <w:r>
        <w:rPr>
          <w:rFonts w:ascii="Consolas" w:hAnsi="Consolas"/>
          <w:color w:val="334155"/>
          <w:sz w:val="18"/>
        </w:rPr>
        <w:t>│                                    results + drill target markers]  │</w:t>
        <w:br/>
      </w:r>
      <w:r>
        <w:rPr>
          <w:rFonts w:ascii="Consolas" w:hAnsi="Consolas"/>
          <w:color w:val="334155"/>
          <w:sz w:val="18"/>
        </w:rPr>
        <w:t>│                                                                      │</w:t>
        <w:br/>
      </w:r>
      <w:r>
        <w:rPr>
          <w:rFonts w:ascii="Consolas" w:hAnsi="Consolas"/>
          <w:color w:val="334155"/>
          <w:sz w:val="18"/>
        </w:rPr>
        <w:t>├─────────────────────────────────────────────────────────────────────┤</w:t>
        <w:br/>
      </w:r>
      <w:r>
        <w:rPr>
          <w:rFonts w:ascii="Consolas" w:hAnsi="Consolas"/>
          <w:color w:val="334155"/>
          <w:sz w:val="18"/>
        </w:rPr>
        <w:t>│                                                                      │</w:t>
        <w:br/>
      </w:r>
      <w:r>
        <w:rPr>
          <w:rFonts w:ascii="Consolas" w:hAnsi="Consolas"/>
          <w:color w:val="334155"/>
          <w:sz w:val="18"/>
        </w:rPr>
        <w:t>│  TILE 4: RISK MITIGATION           TILE 5: KAIZEN ACTIVITY           │</w:t>
        <w:br/>
      </w:r>
      <w:r>
        <w:rPr>
          <w:rFonts w:ascii="Consolas" w:hAnsi="Consolas"/>
          <w:color w:val="334155"/>
          <w:sz w:val="18"/>
        </w:rPr>
        <w:t>│  [FMEA RPN trend by mode]          [Open Kaizens / Closed /         │</w:t>
        <w:br/>
      </w:r>
      <w:r>
        <w:rPr>
          <w:rFonts w:ascii="Consolas" w:hAnsi="Consolas"/>
          <w:color w:val="334155"/>
          <w:sz w:val="18"/>
        </w:rPr>
        <w:t>│   - Patch compliance %              Trigger frequency /              │</w:t>
        <w:br/>
      </w:r>
      <w:r>
        <w:rPr>
          <w:rFonts w:ascii="Consolas" w:hAnsi="Consolas"/>
          <w:color w:val="334155"/>
          <w:sz w:val="18"/>
        </w:rPr>
        <w:t>│   - Vendor access compliance        A3 close-out time distribution]  │</w:t>
        <w:br/>
      </w:r>
      <w:r>
        <w:rPr>
          <w:rFonts w:ascii="Consolas" w:hAnsi="Consolas"/>
          <w:color w:val="334155"/>
          <w:sz w:val="18"/>
        </w:rPr>
        <w:t>│   - FMEA refresh status                                                │</w:t>
        <w:br/>
      </w:r>
      <w:r>
        <w:rPr>
          <w:rFonts w:ascii="Consolas" w:hAnsi="Consolas"/>
          <w:color w:val="334155"/>
          <w:sz w:val="18"/>
        </w:rPr>
        <w:t>│                                                                      │</w:t>
        <w:br/>
      </w:r>
      <w:r>
        <w:rPr>
          <w:rFonts w:ascii="Consolas" w:hAnsi="Consolas"/>
          <w:color w:val="334155"/>
          <w:sz w:val="18"/>
        </w:rPr>
        <w:t>│  TILE 6: MATURITY SCORE            TILE 7: CROSS-SITE STATUS         │</w:t>
        <w:br/>
      </w:r>
      <w:r>
        <w:rPr>
          <w:rFonts w:ascii="Consolas" w:hAnsi="Consolas"/>
          <w:color w:val="334155"/>
          <w:sz w:val="18"/>
        </w:rPr>
        <w:t>│  [Current level + sub-indicator    [Per-site maturity / Z-score /   │</w:t>
        <w:br/>
      </w:r>
      <w:r>
        <w:rPr>
          <w:rFonts w:ascii="Consolas" w:hAnsi="Consolas"/>
          <w:color w:val="334155"/>
          <w:sz w:val="18"/>
        </w:rPr>
        <w:t>│   scores + trend + regression       replication progress (post-G5)]  │</w:t>
        <w:br/>
      </w:r>
      <w:r>
        <w:rPr>
          <w:rFonts w:ascii="Consolas" w:hAnsi="Consolas"/>
          <w:color w:val="334155"/>
          <w:sz w:val="18"/>
        </w:rPr>
        <w:t>│   alerts]                                                                │</w:t>
        <w:br/>
      </w:r>
      <w:r>
        <w:rPr>
          <w:rFonts w:ascii="Consolas" w:hAnsi="Consolas"/>
          <w:color w:val="334155"/>
          <w:sz w:val="18"/>
        </w:rPr>
        <w:t>│                                                                      │</w:t>
        <w:br/>
      </w:r>
      <w:r>
        <w:rPr>
          <w:rFonts w:ascii="Consolas" w:hAnsi="Consolas"/>
          <w:color w:val="334155"/>
          <w:sz w:val="18"/>
        </w:rPr>
        <w:t>│  TILE 8: REGULATORY &amp; COMPLIANCE                                         │</w:t>
        <w:br/>
      </w:r>
      <w:r>
        <w:rPr>
          <w:rFonts w:ascii="Consolas" w:hAnsi="Consolas"/>
          <w:color w:val="334155"/>
          <w:sz w:val="18"/>
        </w:rPr>
        <w:t>│  [NIS2 status / IEC 62443 / OEM attestation / audit findings]            │</w:t>
        <w:br/>
      </w:r>
      <w:r>
        <w:rPr>
          <w:rFonts w:ascii="Consolas" w:hAnsi="Consolas"/>
          <w:color w:val="334155"/>
          <w:sz w:val="18"/>
        </w:rPr>
        <w:t>│                                                                      │</w:t>
        <w:br/>
      </w:r>
      <w:r>
        <w:rPr>
          <w:rFonts w:ascii="Consolas" w:hAnsi="Consolas"/>
          <w:color w:val="334155"/>
          <w:sz w:val="18"/>
        </w:rPr>
        <w:t>└──────────────────────────────────────────────────────────────────────┘</w:t>
      </w:r>
    </w:p>
    <w:p>
      <w:r>
        <w:rPr>
          <w:rFonts w:ascii="Calibri" w:hAnsi="Calibri"/>
          <w:b/>
          <w:color w:val="0F172A"/>
          <w:sz w:val="24"/>
        </w:rPr>
        <w:t>7.2.2 Tile-by-Tile Content</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shd w:val="clear" w:color="auto" w:fill="1E40AF"/>
          </w:tcPr>
          <w:p>
            <w:r/>
            <w:r>
              <w:rPr>
                <w:rFonts w:ascii="Calibri" w:hAnsi="Calibri"/>
                <w:b/>
                <w:color w:val="FFFFFF"/>
                <w:sz w:val="20"/>
              </w:rPr>
              <w:t>Tile</w:t>
            </w:r>
          </w:p>
        </w:tc>
        <w:tc>
          <w:tcPr>
            <w:tcW w:type="dxa" w:w="1949"/>
            <w:shd w:val="clear" w:color="auto" w:fill="1E40AF"/>
          </w:tcPr>
          <w:p>
            <w:r/>
            <w:r>
              <w:rPr>
                <w:rFonts w:ascii="Calibri" w:hAnsi="Calibri"/>
                <w:b/>
                <w:color w:val="FFFFFF"/>
                <w:sz w:val="20"/>
              </w:rPr>
              <w:t>Name</w:t>
            </w:r>
          </w:p>
        </w:tc>
        <w:tc>
          <w:tcPr>
            <w:tcW w:type="dxa" w:w="1949"/>
            <w:shd w:val="clear" w:color="auto" w:fill="1E40AF"/>
          </w:tcPr>
          <w:p>
            <w:r/>
            <w:r>
              <w:rPr>
                <w:rFonts w:ascii="Calibri" w:hAnsi="Calibri"/>
                <w:b/>
                <w:color w:val="FFFFFF"/>
                <w:sz w:val="20"/>
              </w:rPr>
              <w:t>Metrics</w:t>
            </w:r>
          </w:p>
        </w:tc>
        <w:tc>
          <w:tcPr>
            <w:tcW w:type="dxa" w:w="1949"/>
            <w:shd w:val="clear" w:color="auto" w:fill="1E40AF"/>
          </w:tcPr>
          <w:p>
            <w:r/>
            <w:r>
              <w:rPr>
                <w:rFonts w:ascii="Calibri" w:hAnsi="Calibri"/>
                <w:b/>
                <w:color w:val="FFFFFF"/>
                <w:sz w:val="20"/>
              </w:rPr>
              <w:t>Data source</w:t>
            </w:r>
          </w:p>
        </w:tc>
        <w:tc>
          <w:tcPr>
            <w:tcW w:type="dxa" w:w="1949"/>
            <w:shd w:val="clear" w:color="auto" w:fill="1E40AF"/>
          </w:tcPr>
          <w:p>
            <w:r/>
            <w:r>
              <w:rPr>
                <w:rFonts w:ascii="Calibri" w:hAnsi="Calibri"/>
                <w:b/>
                <w:color w:val="FFFFFF"/>
                <w:sz w:val="20"/>
              </w:rPr>
              <w:t>Refresh</w:t>
            </w:r>
          </w:p>
        </w:tc>
      </w:tr>
      <w:tr>
        <w:tc>
          <w:tcPr>
            <w:tcW w:type="dxa" w:w="1949"/>
          </w:tcPr>
          <w:p>
            <w:r/>
            <w:r>
              <w:rPr>
                <w:rFonts w:ascii="Calibri" w:hAnsi="Calibri"/>
                <w:b/>
                <w:color w:val="0F172A"/>
                <w:sz w:val="18"/>
              </w:rPr>
              <w:t>1</w:t>
            </w:r>
          </w:p>
        </w:tc>
        <w:tc>
          <w:tcPr>
            <w:tcW w:type="dxa" w:w="1949"/>
          </w:tcPr>
          <w:p>
            <w:r/>
            <w:r>
              <w:rPr>
                <w:rFonts w:ascii="Calibri" w:hAnsi="Calibri"/>
                <w:b/>
                <w:color w:val="0F172A"/>
                <w:sz w:val="18"/>
              </w:rPr>
              <w:t>Process Capability</w:t>
            </w:r>
          </w:p>
        </w:tc>
        <w:tc>
          <w:tcPr>
            <w:tcW w:type="dxa" w:w="1949"/>
          </w:tcPr>
          <w:p>
            <w:r/>
            <w:r>
              <w:rPr>
                <w:rFonts w:ascii="Calibri" w:hAnsi="Calibri"/>
                <w:color w:val="0F172A"/>
                <w:sz w:val="18"/>
              </w:rPr>
              <w:t>Engagement Z-score (line, 12-week trend); per-sub-process Cpk (bar chart); target line at Z=6.0 (theoretical Six Sigma)</w:t>
            </w:r>
          </w:p>
        </w:tc>
        <w:tc>
          <w:tcPr>
            <w:tcW w:type="dxa" w:w="1949"/>
          </w:tcPr>
          <w:p>
            <w:r/>
            <w:r>
              <w:rPr>
                <w:rFonts w:ascii="Calibri" w:hAnsi="Calibri"/>
                <w:color w:val="0F172A"/>
                <w:sz w:val="18"/>
              </w:rPr>
              <w:t>Track B capability reporting layer; SPC infrastructure</w:t>
            </w:r>
          </w:p>
        </w:tc>
        <w:tc>
          <w:tcPr>
            <w:tcW w:type="dxa" w:w="1949"/>
          </w:tcPr>
          <w:p>
            <w:r/>
            <w:r>
              <w:rPr>
                <w:rFonts w:ascii="Calibri" w:hAnsi="Calibri"/>
                <w:color w:val="0F172A"/>
                <w:sz w:val="18"/>
              </w:rPr>
              <w:t>Daily</w:t>
            </w:r>
          </w:p>
        </w:tc>
      </w:tr>
      <w:tr>
        <w:tc>
          <w:tcPr>
            <w:tcW w:type="dxa" w:w="1949"/>
          </w:tcPr>
          <w:p>
            <w:r/>
            <w:r>
              <w:rPr>
                <w:rFonts w:ascii="Calibri" w:hAnsi="Calibri"/>
                <w:b/>
                <w:color w:val="0F172A"/>
                <w:sz w:val="18"/>
              </w:rPr>
              <w:t>2</w:t>
            </w:r>
          </w:p>
        </w:tc>
        <w:tc>
          <w:tcPr>
            <w:tcW w:type="dxa" w:w="1949"/>
          </w:tcPr>
          <w:p>
            <w:r/>
            <w:r>
              <w:rPr>
                <w:rFonts w:ascii="Calibri" w:hAnsi="Calibri"/>
                <w:b/>
                <w:color w:val="0F172A"/>
                <w:sz w:val="18"/>
              </w:rPr>
              <w:t>Financial Exposure</w:t>
            </w:r>
          </w:p>
        </w:tc>
        <w:tc>
          <w:tcPr>
            <w:tcW w:type="dxa" w:w="1949"/>
          </w:tcPr>
          <w:p>
            <w:r/>
            <w:r>
              <w:rPr>
                <w:rFonts w:ascii="Calibri" w:hAnsi="Calibri"/>
                <w:color w:val="0F172A"/>
                <w:sz w:val="18"/>
              </w:rPr>
              <w:t>COPQ avoided YTD ($M); Protected value realised ($M, vs §2.5 model); E_cyber band trend</w:t>
            </w:r>
          </w:p>
        </w:tc>
        <w:tc>
          <w:tcPr>
            <w:tcW w:type="dxa" w:w="1949"/>
          </w:tcPr>
          <w:p>
            <w:r/>
            <w:r>
              <w:rPr>
                <w:rFonts w:ascii="Calibri" w:hAnsi="Calibri"/>
                <w:color w:val="0F172A"/>
                <w:sz w:val="18"/>
              </w:rPr>
              <w:t>Track B financial model; CISO exposure model</w:t>
            </w:r>
          </w:p>
        </w:tc>
        <w:tc>
          <w:tcPr>
            <w:tcW w:type="dxa" w:w="1949"/>
          </w:tcPr>
          <w:p>
            <w:r/>
            <w:r>
              <w:rPr>
                <w:rFonts w:ascii="Calibri" w:hAnsi="Calibri"/>
                <w:color w:val="0F172A"/>
                <w:sz w:val="18"/>
              </w:rPr>
              <w:t>Weekly</w:t>
            </w:r>
          </w:p>
        </w:tc>
      </w:tr>
      <w:tr>
        <w:tc>
          <w:tcPr>
            <w:tcW w:type="dxa" w:w="1949"/>
          </w:tcPr>
          <w:p>
            <w:r/>
            <w:r>
              <w:rPr>
                <w:rFonts w:ascii="Calibri" w:hAnsi="Calibri"/>
                <w:b/>
                <w:color w:val="0F172A"/>
                <w:sz w:val="18"/>
              </w:rPr>
              <w:t>3</w:t>
            </w:r>
          </w:p>
        </w:tc>
        <w:tc>
          <w:tcPr>
            <w:tcW w:type="dxa" w:w="1949"/>
          </w:tcPr>
          <w:p>
            <w:r/>
            <w:r>
              <w:rPr>
                <w:rFonts w:ascii="Calibri" w:hAnsi="Calibri"/>
                <w:b/>
                <w:color w:val="0F172A"/>
                <w:sz w:val="18"/>
              </w:rPr>
              <w:t>Velocity Metrics</w:t>
            </w:r>
          </w:p>
        </w:tc>
        <w:tc>
          <w:tcPr>
            <w:tcW w:type="dxa" w:w="1949"/>
          </w:tcPr>
          <w:p>
            <w:r/>
            <w:r>
              <w:rPr>
                <w:rFonts w:ascii="Calibri" w:hAnsi="Calibri"/>
                <w:color w:val="0F172A"/>
                <w:sz w:val="18"/>
              </w:rPr>
              <w:t>MTTD known (≤5 min target); MTTD novel (≤30 min target); MTTR hard stop (≤4h target); MTTR OT compromise (≤24h target); drill result trend</w:t>
            </w:r>
          </w:p>
        </w:tc>
        <w:tc>
          <w:tcPr>
            <w:tcW w:type="dxa" w:w="1949"/>
          </w:tcPr>
          <w:p>
            <w:r/>
            <w:r>
              <w:rPr>
                <w:rFonts w:ascii="Calibri" w:hAnsi="Calibri"/>
                <w:color w:val="0F172A"/>
                <w:sz w:val="18"/>
              </w:rPr>
              <w:t>Track B SIEM/SOC; Track C IR playbook; AI agent telemetry</w:t>
            </w:r>
          </w:p>
        </w:tc>
        <w:tc>
          <w:tcPr>
            <w:tcW w:type="dxa" w:w="1949"/>
          </w:tcPr>
          <w:p>
            <w:r/>
            <w:r>
              <w:rPr>
                <w:rFonts w:ascii="Calibri" w:hAnsi="Calibri"/>
                <w:color w:val="0F172A"/>
                <w:sz w:val="18"/>
              </w:rPr>
              <w:t>Daily</w:t>
            </w:r>
          </w:p>
        </w:tc>
      </w:tr>
      <w:tr>
        <w:tc>
          <w:tcPr>
            <w:tcW w:type="dxa" w:w="1949"/>
          </w:tcPr>
          <w:p>
            <w:r/>
            <w:r>
              <w:rPr>
                <w:rFonts w:ascii="Calibri" w:hAnsi="Calibri"/>
                <w:b/>
                <w:color w:val="0F172A"/>
                <w:sz w:val="18"/>
              </w:rPr>
              <w:t>4</w:t>
            </w:r>
          </w:p>
        </w:tc>
        <w:tc>
          <w:tcPr>
            <w:tcW w:type="dxa" w:w="1949"/>
          </w:tcPr>
          <w:p>
            <w:r/>
            <w:r>
              <w:rPr>
                <w:rFonts w:ascii="Calibri" w:hAnsi="Calibri"/>
                <w:b/>
                <w:color w:val="0F172A"/>
                <w:sz w:val="18"/>
              </w:rPr>
              <w:t>Risk Mitigation</w:t>
            </w:r>
          </w:p>
        </w:tc>
        <w:tc>
          <w:tcPr>
            <w:tcW w:type="dxa" w:w="1949"/>
          </w:tcPr>
          <w:p>
            <w:r/>
            <w:r>
              <w:rPr>
                <w:rFonts w:ascii="Calibri" w:hAnsi="Calibri"/>
                <w:color w:val="0F172A"/>
                <w:sz w:val="18"/>
              </w:rPr>
              <w:t>Top 10 FMEA RPN trend; patch compliance % (target ≥95%); vendor access compliance; FMEA refresh status (last refresh date)</w:t>
            </w:r>
          </w:p>
        </w:tc>
        <w:tc>
          <w:tcPr>
            <w:tcW w:type="dxa" w:w="1949"/>
          </w:tcPr>
          <w:p>
            <w:r/>
            <w:r>
              <w:rPr>
                <w:rFonts w:ascii="Calibri" w:hAnsi="Calibri"/>
                <w:color w:val="0F172A"/>
                <w:sz w:val="18"/>
              </w:rPr>
              <w:t>Track B FMEA register; Track A patch dashboard; Track A vendor audit log</w:t>
            </w:r>
          </w:p>
        </w:tc>
        <w:tc>
          <w:tcPr>
            <w:tcW w:type="dxa" w:w="1949"/>
          </w:tcPr>
          <w:p>
            <w:r/>
            <w:r>
              <w:rPr>
                <w:rFonts w:ascii="Calibri" w:hAnsi="Calibri"/>
                <w:color w:val="0F172A"/>
                <w:sz w:val="18"/>
              </w:rPr>
              <w:t>Daily (compliance); Quarterly (FMEA)</w:t>
            </w:r>
          </w:p>
        </w:tc>
      </w:tr>
      <w:tr>
        <w:tc>
          <w:tcPr>
            <w:tcW w:type="dxa" w:w="1949"/>
          </w:tcPr>
          <w:p>
            <w:r/>
            <w:r>
              <w:rPr>
                <w:rFonts w:ascii="Calibri" w:hAnsi="Calibri"/>
                <w:b/>
                <w:color w:val="0F172A"/>
                <w:sz w:val="18"/>
              </w:rPr>
              <w:t>5</w:t>
            </w:r>
          </w:p>
        </w:tc>
        <w:tc>
          <w:tcPr>
            <w:tcW w:type="dxa" w:w="1949"/>
          </w:tcPr>
          <w:p>
            <w:r/>
            <w:r>
              <w:rPr>
                <w:rFonts w:ascii="Calibri" w:hAnsi="Calibri"/>
                <w:b/>
                <w:color w:val="0F172A"/>
                <w:sz w:val="18"/>
              </w:rPr>
              <w:t>Kaizen Activity</w:t>
            </w:r>
          </w:p>
        </w:tc>
        <w:tc>
          <w:tcPr>
            <w:tcW w:type="dxa" w:w="1949"/>
          </w:tcPr>
          <w:p>
            <w:r/>
            <w:r>
              <w:rPr>
                <w:rFonts w:ascii="Calibri" w:hAnsi="Calibri"/>
                <w:color w:val="0F172A"/>
                <w:sz w:val="18"/>
              </w:rPr>
              <w:t>Open Kaizens by trigger type; closed Kaizens YTD; trigger frequency; A3 close-out time (distribution)</w:t>
            </w:r>
          </w:p>
        </w:tc>
        <w:tc>
          <w:tcPr>
            <w:tcW w:type="dxa" w:w="1949"/>
          </w:tcPr>
          <w:p>
            <w:r/>
            <w:r>
              <w:rPr>
                <w:rFonts w:ascii="Calibri" w:hAnsi="Calibri"/>
                <w:color w:val="0F172A"/>
                <w:sz w:val="18"/>
              </w:rPr>
              <w:t>Engagement anomaly log; A3 repository</w:t>
            </w:r>
          </w:p>
        </w:tc>
        <w:tc>
          <w:tcPr>
            <w:tcW w:type="dxa" w:w="1949"/>
          </w:tcPr>
          <w:p>
            <w:r/>
            <w:r>
              <w:rPr>
                <w:rFonts w:ascii="Calibri" w:hAnsi="Calibri"/>
                <w:color w:val="0F172A"/>
                <w:sz w:val="18"/>
              </w:rPr>
              <w:t>Daily</w:t>
            </w:r>
          </w:p>
        </w:tc>
      </w:tr>
      <w:tr>
        <w:tc>
          <w:tcPr>
            <w:tcW w:type="dxa" w:w="1949"/>
          </w:tcPr>
          <w:p>
            <w:r/>
            <w:r>
              <w:rPr>
                <w:rFonts w:ascii="Calibri" w:hAnsi="Calibri"/>
                <w:b/>
                <w:color w:val="0F172A"/>
                <w:sz w:val="18"/>
              </w:rPr>
              <w:t>6</w:t>
            </w:r>
          </w:p>
        </w:tc>
        <w:tc>
          <w:tcPr>
            <w:tcW w:type="dxa" w:w="1949"/>
          </w:tcPr>
          <w:p>
            <w:r/>
            <w:r>
              <w:rPr>
                <w:rFonts w:ascii="Calibri" w:hAnsi="Calibri"/>
                <w:b/>
                <w:color w:val="0F172A"/>
                <w:sz w:val="18"/>
              </w:rPr>
              <w:t>Maturity Score</w:t>
            </w:r>
          </w:p>
        </w:tc>
        <w:tc>
          <w:tcPr>
            <w:tcW w:type="dxa" w:w="1949"/>
          </w:tcPr>
          <w:p>
            <w:r/>
            <w:r>
              <w:rPr>
                <w:rFonts w:ascii="Calibri" w:hAnsi="Calibri"/>
                <w:color w:val="0F172A"/>
                <w:sz w:val="18"/>
              </w:rPr>
              <w:t>Current level (3/4/5); sub-indicator scores; trend (improving/stable/declining); regression alerts</w:t>
            </w:r>
          </w:p>
        </w:tc>
        <w:tc>
          <w:tcPr>
            <w:tcW w:type="dxa" w:w="1949"/>
          </w:tcPr>
          <w:p>
            <w:r/>
            <w:r>
              <w:rPr>
                <w:rFonts w:ascii="Calibri" w:hAnsi="Calibri"/>
                <w:color w:val="0F172A"/>
                <w:sz w:val="18"/>
              </w:rPr>
              <w:t>MBB maturity calculation; external validation (annual)</w:t>
            </w:r>
          </w:p>
        </w:tc>
        <w:tc>
          <w:tcPr>
            <w:tcW w:type="dxa" w:w="1949"/>
          </w:tcPr>
          <w:p>
            <w:r/>
            <w:r>
              <w:rPr>
                <w:rFonts w:ascii="Calibri" w:hAnsi="Calibri"/>
                <w:color w:val="0F172A"/>
                <w:sz w:val="18"/>
              </w:rPr>
              <w:t>Quarterly</w:t>
            </w:r>
          </w:p>
        </w:tc>
      </w:tr>
      <w:tr>
        <w:tc>
          <w:tcPr>
            <w:tcW w:type="dxa" w:w="1949"/>
          </w:tcPr>
          <w:p>
            <w:r/>
            <w:r>
              <w:rPr>
                <w:rFonts w:ascii="Calibri" w:hAnsi="Calibri"/>
                <w:b/>
                <w:color w:val="0F172A"/>
                <w:sz w:val="18"/>
              </w:rPr>
              <w:t>7</w:t>
            </w:r>
          </w:p>
        </w:tc>
        <w:tc>
          <w:tcPr>
            <w:tcW w:type="dxa" w:w="1949"/>
          </w:tcPr>
          <w:p>
            <w:r/>
            <w:r>
              <w:rPr>
                <w:rFonts w:ascii="Calibri" w:hAnsi="Calibri"/>
                <w:b/>
                <w:color w:val="0F172A"/>
                <w:sz w:val="18"/>
              </w:rPr>
              <w:t>Cross-Site Status</w:t>
            </w:r>
          </w:p>
        </w:tc>
        <w:tc>
          <w:tcPr>
            <w:tcW w:type="dxa" w:w="1949"/>
          </w:tcPr>
          <w:p>
            <w:r/>
            <w:r>
              <w:rPr>
                <w:rFonts w:ascii="Calibri" w:hAnsi="Calibri"/>
                <w:color w:val="0F172A"/>
                <w:sz w:val="18"/>
              </w:rPr>
              <w:t>Per-site maturity score; per-site Z-score; replication progress (post-G5)</w:t>
            </w:r>
          </w:p>
        </w:tc>
        <w:tc>
          <w:tcPr>
            <w:tcW w:type="dxa" w:w="1949"/>
          </w:tcPr>
          <w:p>
            <w:r/>
            <w:r>
              <w:rPr>
                <w:rFonts w:ascii="Calibri" w:hAnsi="Calibri"/>
                <w:color w:val="0F172A"/>
                <w:sz w:val="18"/>
              </w:rPr>
              <w:t>Site MBBs; cross-site knowledge transfer log</w:t>
            </w:r>
          </w:p>
        </w:tc>
        <w:tc>
          <w:tcPr>
            <w:tcW w:type="dxa" w:w="1949"/>
          </w:tcPr>
          <w:p>
            <w:r/>
            <w:r>
              <w:rPr>
                <w:rFonts w:ascii="Calibri" w:hAnsi="Calibri"/>
                <w:color w:val="0F172A"/>
                <w:sz w:val="18"/>
              </w:rPr>
              <w:t>Monthly (post-replication start)</w:t>
            </w:r>
          </w:p>
        </w:tc>
      </w:tr>
      <w:tr>
        <w:tc>
          <w:tcPr>
            <w:tcW w:type="dxa" w:w="1949"/>
          </w:tcPr>
          <w:p>
            <w:r/>
            <w:r>
              <w:rPr>
                <w:rFonts w:ascii="Calibri" w:hAnsi="Calibri"/>
                <w:b/>
                <w:color w:val="0F172A"/>
                <w:sz w:val="18"/>
              </w:rPr>
              <w:t>8</w:t>
            </w:r>
          </w:p>
        </w:tc>
        <w:tc>
          <w:tcPr>
            <w:tcW w:type="dxa" w:w="1949"/>
          </w:tcPr>
          <w:p>
            <w:r/>
            <w:r>
              <w:rPr>
                <w:rFonts w:ascii="Calibri" w:hAnsi="Calibri"/>
                <w:b/>
                <w:color w:val="0F172A"/>
                <w:sz w:val="18"/>
              </w:rPr>
              <w:t>Regulatory &amp; Compliance</w:t>
            </w:r>
          </w:p>
        </w:tc>
        <w:tc>
          <w:tcPr>
            <w:tcW w:type="dxa" w:w="1949"/>
          </w:tcPr>
          <w:p>
            <w:r/>
            <w:r>
              <w:rPr>
                <w:rFonts w:ascii="Calibri" w:hAnsi="Calibri"/>
                <w:color w:val="0F172A"/>
                <w:sz w:val="18"/>
              </w:rPr>
              <w:t>NIS2 attestation status; IEC 62443 audit status; OEM cyber attestation status; open audit findings</w:t>
            </w:r>
          </w:p>
        </w:tc>
        <w:tc>
          <w:tcPr>
            <w:tcW w:type="dxa" w:w="1949"/>
          </w:tcPr>
          <w:p>
            <w:r/>
            <w:r>
              <w:rPr>
                <w:rFonts w:ascii="Calibri" w:hAnsi="Calibri"/>
                <w:color w:val="0F172A"/>
                <w:sz w:val="18"/>
              </w:rPr>
              <w:t>MBB + Legal/Compliance; CISO regulatory log</w:t>
            </w:r>
          </w:p>
        </w:tc>
        <w:tc>
          <w:tcPr>
            <w:tcW w:type="dxa" w:w="1949"/>
          </w:tcPr>
          <w:p>
            <w:r/>
            <w:r>
              <w:rPr>
                <w:rFonts w:ascii="Calibri" w:hAnsi="Calibri"/>
                <w:color w:val="0F172A"/>
                <w:sz w:val="18"/>
              </w:rPr>
              <w:t>Monthly</w:t>
            </w:r>
          </w:p>
        </w:tc>
      </w:tr>
    </w:tbl>
    <w:p/>
    <w:p>
      <w:r>
        <w:rPr>
          <w:rFonts w:ascii="Calibri" w:hAnsi="Calibri"/>
          <w:b/>
          <w:color w:val="0F172A"/>
          <w:sz w:val="24"/>
        </w:rPr>
        <w:t>7.2.3 Alert Thresholds</w:t>
      </w:r>
    </w:p>
    <w:p>
      <w:r>
        <w:rPr>
          <w:rFonts w:ascii="Calibri" w:hAnsi="Calibri"/>
          <w:sz w:val="22"/>
        </w:rPr>
        <w:t>The dashboard has three alert levels, surfaced to the CISO via dashboard banners and bi-weekly briefings:</w:t>
      </w:r>
    </w:p>
    <w:tbl>
      <w:tblPr>
        <w:tblStyle w:val="LightGrid-Accent1"/>
        <w:tblW w:type="auto" w:w="0"/>
        <w:tblLook w:firstColumn="1" w:firstRow="1" w:lastColumn="0" w:lastRow="0" w:noHBand="0" w:noVBand="1" w:val="04A0"/>
      </w:tblPr>
      <w:tblGrid>
        <w:gridCol w:w="3249"/>
        <w:gridCol w:w="3249"/>
        <w:gridCol w:w="3249"/>
      </w:tblGrid>
      <w:tr>
        <w:tc>
          <w:tcPr>
            <w:tcW w:type="dxa" w:w="3249"/>
            <w:shd w:val="clear" w:color="auto" w:fill="1E40AF"/>
          </w:tcPr>
          <w:p>
            <w:r/>
            <w:r>
              <w:rPr>
                <w:rFonts w:ascii="Calibri" w:hAnsi="Calibri"/>
                <w:b/>
                <w:color w:val="FFFFFF"/>
                <w:sz w:val="20"/>
              </w:rPr>
              <w:t>Alert</w:t>
            </w:r>
          </w:p>
        </w:tc>
        <w:tc>
          <w:tcPr>
            <w:tcW w:type="dxa" w:w="3249"/>
            <w:shd w:val="clear" w:color="auto" w:fill="1E40AF"/>
          </w:tcPr>
          <w:p>
            <w:r/>
            <w:r>
              <w:rPr>
                <w:rFonts w:ascii="Calibri" w:hAnsi="Calibri"/>
                <w:b/>
                <w:color w:val="FFFFFF"/>
                <w:sz w:val="20"/>
              </w:rPr>
              <w:t>Trigger</w:t>
            </w:r>
          </w:p>
        </w:tc>
        <w:tc>
          <w:tcPr>
            <w:tcW w:type="dxa" w:w="3249"/>
            <w:shd w:val="clear" w:color="auto" w:fill="1E40AF"/>
          </w:tcPr>
          <w:p>
            <w:r/>
            <w:r>
              <w:rPr>
                <w:rFonts w:ascii="Calibri" w:hAnsi="Calibri"/>
                <w:b/>
                <w:color w:val="FFFFFF"/>
                <w:sz w:val="20"/>
              </w:rPr>
              <w:t>Action</w:t>
            </w:r>
          </w:p>
        </w:tc>
      </w:tr>
      <w:tr>
        <w:tc>
          <w:tcPr>
            <w:tcW w:type="dxa" w:w="3249"/>
          </w:tcPr>
          <w:p>
            <w:r/>
            <w:r>
              <w:rPr>
                <w:rFonts w:ascii="Calibri" w:hAnsi="Calibri"/>
                <w:b/>
                <w:color w:val="0F172A"/>
                <w:sz w:val="18"/>
              </w:rPr>
              <w:t>GREEN</w:t>
            </w:r>
          </w:p>
        </w:tc>
        <w:tc>
          <w:tcPr>
            <w:tcW w:type="dxa" w:w="3249"/>
          </w:tcPr>
          <w:p>
            <w:r/>
            <w:r>
              <w:rPr>
                <w:rFonts w:ascii="Calibri" w:hAnsi="Calibri"/>
                <w:color w:val="0F172A"/>
                <w:sz w:val="18"/>
              </w:rPr>
              <w:t>All metrics within target; no open Kaizens &gt; 5 BD; no regression</w:t>
            </w:r>
          </w:p>
        </w:tc>
        <w:tc>
          <w:tcPr>
            <w:tcW w:type="dxa" w:w="3249"/>
          </w:tcPr>
          <w:p>
            <w:r/>
            <w:r>
              <w:rPr>
                <w:rFonts w:ascii="Calibri" w:hAnsi="Calibri"/>
                <w:color w:val="0F172A"/>
                <w:sz w:val="18"/>
              </w:rPr>
              <w:t>Standard reporting cadence</w:t>
            </w:r>
          </w:p>
        </w:tc>
      </w:tr>
      <w:tr>
        <w:tc>
          <w:tcPr>
            <w:tcW w:type="dxa" w:w="3249"/>
          </w:tcPr>
          <w:p>
            <w:r/>
            <w:r>
              <w:rPr>
                <w:rFonts w:ascii="Calibri" w:hAnsi="Calibri"/>
                <w:b/>
                <w:color w:val="0F172A"/>
                <w:sz w:val="18"/>
              </w:rPr>
              <w:t>AMBER</w:t>
            </w:r>
          </w:p>
        </w:tc>
        <w:tc>
          <w:tcPr>
            <w:tcW w:type="dxa" w:w="3249"/>
          </w:tcPr>
          <w:p>
            <w:r/>
            <w:r>
              <w:rPr>
                <w:rFonts w:ascii="Calibri" w:hAnsi="Calibri"/>
                <w:color w:val="0F172A"/>
                <w:sz w:val="18"/>
              </w:rPr>
              <w:t>One or more sub-process Cpk below target; open Kaizen &gt; 5 BD; FMEA refresh overdue</w:t>
            </w:r>
          </w:p>
        </w:tc>
        <w:tc>
          <w:tcPr>
            <w:tcW w:type="dxa" w:w="3249"/>
          </w:tcPr>
          <w:p>
            <w:r/>
            <w:r>
              <w:rPr>
                <w:rFonts w:ascii="Calibri" w:hAnsi="Calibri"/>
                <w:color w:val="0F172A"/>
                <w:sz w:val="18"/>
              </w:rPr>
              <w:t>Bi-weekly briefing escalates; MBB + Track Lead investigate within 48h</w:t>
            </w:r>
          </w:p>
        </w:tc>
      </w:tr>
      <w:tr>
        <w:tc>
          <w:tcPr>
            <w:tcW w:type="dxa" w:w="3249"/>
          </w:tcPr>
          <w:p>
            <w:r/>
            <w:r>
              <w:rPr>
                <w:rFonts w:ascii="Calibri" w:hAnsi="Calibri"/>
                <w:b/>
                <w:color w:val="0F172A"/>
                <w:sz w:val="18"/>
              </w:rPr>
              <w:t>RED</w:t>
            </w:r>
          </w:p>
        </w:tc>
        <w:tc>
          <w:tcPr>
            <w:tcW w:type="dxa" w:w="3249"/>
          </w:tcPr>
          <w:p>
            <w:r/>
            <w:r>
              <w:rPr>
                <w:rFonts w:ascii="Calibri" w:hAnsi="Calibri"/>
                <w:color w:val="0F172A"/>
                <w:sz w:val="18"/>
              </w:rPr>
              <w:t>Engagement Z-score drops below 5.5; Tier 2/3 escalation open; structural change trigger (M&amp;A / IP licensing / supply chain)</w:t>
            </w:r>
          </w:p>
        </w:tc>
        <w:tc>
          <w:tcPr>
            <w:tcW w:type="dxa" w:w="3249"/>
          </w:tcPr>
          <w:p>
            <w:r/>
            <w:r>
              <w:rPr>
                <w:rFonts w:ascii="Calibri" w:hAnsi="Calibri"/>
                <w:color w:val="0F172A"/>
                <w:sz w:val="18"/>
              </w:rPr>
              <w:t>CISO notified within 4 hours; emergency briefing within 24h; engagement re-scope possible</w:t>
            </w:r>
          </w:p>
        </w:tc>
      </w:tr>
    </w:tbl>
    <w:p/>
    <w:p>
      <w:r>
        <w:rPr>
          <w:rFonts w:ascii="Calibri" w:hAnsi="Calibri"/>
          <w:b/>
          <w:color w:val="0F172A"/>
          <w:sz w:val="24"/>
        </w:rPr>
        <w:t>7.2.4 Access Controls</w:t>
      </w:r>
    </w:p>
    <w:tbl>
      <w:tblPr>
        <w:tblStyle w:val="LightGrid-Accent1"/>
        <w:tblW w:type="auto" w:w="0"/>
        <w:tblLook w:firstColumn="1" w:firstRow="1" w:lastColumn="0" w:lastRow="0" w:noHBand="0" w:noVBand="1" w:val="04A0"/>
      </w:tblPr>
      <w:tblGrid>
        <w:gridCol w:w="4873"/>
        <w:gridCol w:w="4873"/>
      </w:tblGrid>
      <w:tr>
        <w:tc>
          <w:tcPr>
            <w:tcW w:type="dxa" w:w="4873"/>
            <w:shd w:val="clear" w:color="auto" w:fill="1E40AF"/>
          </w:tcPr>
          <w:p>
            <w:r/>
            <w:r>
              <w:rPr>
                <w:rFonts w:ascii="Calibri" w:hAnsi="Calibri"/>
                <w:b/>
                <w:color w:val="FFFFFF"/>
                <w:sz w:val="20"/>
              </w:rPr>
              <w:t>Role</w:t>
            </w:r>
          </w:p>
        </w:tc>
        <w:tc>
          <w:tcPr>
            <w:tcW w:type="dxa" w:w="4873"/>
            <w:shd w:val="clear" w:color="auto" w:fill="1E40AF"/>
          </w:tcPr>
          <w:p>
            <w:r/>
            <w:r>
              <w:rPr>
                <w:rFonts w:ascii="Calibri" w:hAnsi="Calibri"/>
                <w:b/>
                <w:color w:val="FFFFFF"/>
                <w:sz w:val="20"/>
              </w:rPr>
              <w:t>Access</w:t>
            </w:r>
          </w:p>
        </w:tc>
      </w:tr>
      <w:tr>
        <w:tc>
          <w:tcPr>
            <w:tcW w:type="dxa" w:w="4873"/>
          </w:tcPr>
          <w:p>
            <w:r/>
            <w:r>
              <w:rPr>
                <w:rFonts w:ascii="Calibri" w:hAnsi="Calibri"/>
                <w:b/>
                <w:color w:val="0F172A"/>
                <w:sz w:val="18"/>
              </w:rPr>
              <w:t>CISO</w:t>
            </w:r>
          </w:p>
        </w:tc>
        <w:tc>
          <w:tcPr>
            <w:tcW w:type="dxa" w:w="4873"/>
          </w:tcPr>
          <w:p>
            <w:r/>
            <w:r>
              <w:rPr>
                <w:rFonts w:ascii="Calibri" w:hAnsi="Calibri"/>
                <w:color w:val="0F172A"/>
                <w:sz w:val="18"/>
              </w:rPr>
              <w:t>Full visibility on all 8 tiles; historical data; export capability</w:t>
            </w:r>
          </w:p>
        </w:tc>
      </w:tr>
      <w:tr>
        <w:tc>
          <w:tcPr>
            <w:tcW w:type="dxa" w:w="4873"/>
          </w:tcPr>
          <w:p>
            <w:r/>
            <w:r>
              <w:rPr>
                <w:rFonts w:ascii="Calibri" w:hAnsi="Calibri"/>
                <w:b/>
                <w:color w:val="0F172A"/>
                <w:sz w:val="18"/>
              </w:rPr>
              <w:t>MBB</w:t>
            </w:r>
          </w:p>
        </w:tc>
        <w:tc>
          <w:tcPr>
            <w:tcW w:type="dxa" w:w="4873"/>
          </w:tcPr>
          <w:p>
            <w:r/>
            <w:r>
              <w:rPr>
                <w:rFonts w:ascii="Calibri" w:hAnsi="Calibri"/>
                <w:color w:val="0F172A"/>
                <w:sz w:val="18"/>
              </w:rPr>
              <w:t>Full visibility on all 8 tiles; drill-down to source data; export</w:t>
            </w:r>
          </w:p>
        </w:tc>
      </w:tr>
      <w:tr>
        <w:tc>
          <w:tcPr>
            <w:tcW w:type="dxa" w:w="4873"/>
          </w:tcPr>
          <w:p>
            <w:r/>
            <w:r>
              <w:rPr>
                <w:rFonts w:ascii="Calibri" w:hAnsi="Calibri"/>
                <w:b/>
                <w:color w:val="0F172A"/>
                <w:sz w:val="18"/>
              </w:rPr>
              <w:t>Track Leads</w:t>
            </w:r>
          </w:p>
        </w:tc>
        <w:tc>
          <w:tcPr>
            <w:tcW w:type="dxa" w:w="4873"/>
          </w:tcPr>
          <w:p>
            <w:r/>
            <w:r>
              <w:rPr>
                <w:rFonts w:ascii="Calibri" w:hAnsi="Calibri"/>
                <w:color w:val="0F172A"/>
                <w:sz w:val="18"/>
              </w:rPr>
              <w:t>Their track's tiles (e.g. Track B Lead sees Tiles 1, 3, 4, 5, 6, 8); drill-down to their track's source</w:t>
            </w:r>
          </w:p>
        </w:tc>
      </w:tr>
      <w:tr>
        <w:tc>
          <w:tcPr>
            <w:tcW w:type="dxa" w:w="4873"/>
          </w:tcPr>
          <w:p>
            <w:r/>
            <w:r>
              <w:rPr>
                <w:rFonts w:ascii="Calibri" w:hAnsi="Calibri"/>
                <w:b/>
                <w:color w:val="0F172A"/>
                <w:sz w:val="18"/>
              </w:rPr>
              <w:t>GBs</w:t>
            </w:r>
          </w:p>
        </w:tc>
        <w:tc>
          <w:tcPr>
            <w:tcW w:type="dxa" w:w="4873"/>
          </w:tcPr>
          <w:p>
            <w:r/>
            <w:r>
              <w:rPr>
                <w:rFonts w:ascii="Calibri" w:hAnsi="Calibri"/>
                <w:color w:val="0F172A"/>
                <w:sz w:val="18"/>
              </w:rPr>
              <w:t>Their assigned work area within their track; read-only on their own KPIs</w:t>
            </w:r>
          </w:p>
        </w:tc>
      </w:tr>
      <w:tr>
        <w:tc>
          <w:tcPr>
            <w:tcW w:type="dxa" w:w="4873"/>
          </w:tcPr>
          <w:p>
            <w:r/>
            <w:r>
              <w:rPr>
                <w:rFonts w:ascii="Calibri" w:hAnsi="Calibri"/>
                <w:b/>
                <w:color w:val="0F172A"/>
                <w:sz w:val="18"/>
              </w:rPr>
              <w:t>Operations Director</w:t>
            </w:r>
          </w:p>
        </w:tc>
        <w:tc>
          <w:tcPr>
            <w:tcW w:type="dxa" w:w="4873"/>
          </w:tcPr>
          <w:p>
            <w:r/>
            <w:r>
              <w:rPr>
                <w:rFonts w:ascii="Calibri" w:hAnsi="Calibri"/>
                <w:color w:val="0F172A"/>
                <w:sz w:val="18"/>
              </w:rPr>
              <w:t>Tiles 1, 2, 3 (production-impacting); aggregated views on others</w:t>
            </w:r>
          </w:p>
        </w:tc>
      </w:tr>
      <w:tr>
        <w:tc>
          <w:tcPr>
            <w:tcW w:type="dxa" w:w="4873"/>
          </w:tcPr>
          <w:p>
            <w:r/>
            <w:r>
              <w:rPr>
                <w:rFonts w:ascii="Calibri" w:hAnsi="Calibri"/>
                <w:b/>
                <w:color w:val="0F172A"/>
                <w:sz w:val="18"/>
              </w:rPr>
              <w:t>IT Security</w:t>
            </w:r>
          </w:p>
        </w:tc>
        <w:tc>
          <w:tcPr>
            <w:tcW w:type="dxa" w:w="4873"/>
          </w:tcPr>
          <w:p>
            <w:r/>
            <w:r>
              <w:rPr>
                <w:rFonts w:ascii="Calibri" w:hAnsi="Calibri"/>
                <w:color w:val="0F172A"/>
                <w:sz w:val="18"/>
              </w:rPr>
              <w:t>Tiles 3, 4, 5, 8 (security-relevant); aggregated on others</w:t>
            </w:r>
          </w:p>
        </w:tc>
      </w:tr>
      <w:tr>
        <w:tc>
          <w:tcPr>
            <w:tcW w:type="dxa" w:w="4873"/>
          </w:tcPr>
          <w:p>
            <w:r/>
            <w:r>
              <w:rPr>
                <w:rFonts w:ascii="Calibri" w:hAnsi="Calibri"/>
                <w:b/>
                <w:color w:val="0F172A"/>
                <w:sz w:val="18"/>
              </w:rPr>
              <w:t>Legal/Compliance</w:t>
            </w:r>
          </w:p>
        </w:tc>
        <w:tc>
          <w:tcPr>
            <w:tcW w:type="dxa" w:w="4873"/>
          </w:tcPr>
          <w:p>
            <w:r/>
            <w:r>
              <w:rPr>
                <w:rFonts w:ascii="Calibri" w:hAnsi="Calibri"/>
                <w:color w:val="0F172A"/>
                <w:sz w:val="18"/>
              </w:rPr>
              <w:t>Tile 8 (regulatory); aggregated on others</w:t>
            </w:r>
          </w:p>
        </w:tc>
      </w:tr>
      <w:tr>
        <w:tc>
          <w:tcPr>
            <w:tcW w:type="dxa" w:w="4873"/>
          </w:tcPr>
          <w:p>
            <w:r/>
            <w:r>
              <w:rPr>
                <w:rFonts w:ascii="Calibri" w:hAnsi="Calibri"/>
                <w:b/>
                <w:color w:val="0F172A"/>
                <w:sz w:val="18"/>
              </w:rPr>
              <w:t>Other stakeholders</w:t>
            </w:r>
          </w:p>
        </w:tc>
        <w:tc>
          <w:tcPr>
            <w:tcW w:type="dxa" w:w="4873"/>
          </w:tcPr>
          <w:p>
            <w:r/>
            <w:r>
              <w:rPr>
                <w:rFonts w:ascii="Calibri" w:hAnsi="Calibri"/>
                <w:color w:val="0F172A"/>
                <w:sz w:val="18"/>
              </w:rPr>
              <w:t>Aggregated executive summary only</w:t>
            </w:r>
          </w:p>
        </w:tc>
      </w:tr>
    </w:tbl>
    <w:p/>
    <w:p>
      <w:r>
        <w:rPr>
          <w:rFonts w:ascii="Calibri" w:hAnsi="Calibri"/>
          <w:sz w:val="22"/>
        </w:rPr>
        <w:t>All access logged; quarterly access audit by CISO team; data-access protocol (§3.5) governs the underlying query interface.</w:t>
      </w:r>
    </w:p>
    <w:p>
      <w:r>
        <w:rPr>
          <w:rFonts w:ascii="Calibri" w:hAnsi="Calibri"/>
          <w:b/>
          <w:color w:val="0F172A"/>
          <w:sz w:val="24"/>
        </w:rPr>
        <w:t>7.2.5 Visual Standards</w:t>
      </w:r>
    </w:p>
    <w:p>
      <w:pPr>
        <w:pStyle w:val="ListBullet"/>
      </w:pPr>
      <w:r>
        <w:rPr>
          <w:rFonts w:ascii="Calibri" w:hAnsi="Calibri"/>
          <w:b/>
          <w:sz w:val="22"/>
        </w:rPr>
        <w:t>Time axis:</w:t>
      </w:r>
      <w:r>
        <w:rPr>
          <w:rFonts w:ascii="Calibri" w:hAnsi="Calibri"/>
          <w:sz w:val="22"/>
        </w:rPr>
        <w:t xml:space="preserve"> last 12 weeks as default view; expandable to 24 weeks / 52 weeks</w:t>
      </w:r>
    </w:p>
    <w:p>
      <w:pPr>
        <w:pStyle w:val="ListBullet"/>
      </w:pPr>
      <w:r>
        <w:rPr>
          <w:rFonts w:ascii="Calibri" w:hAnsi="Calibri"/>
          <w:b/>
          <w:sz w:val="22"/>
        </w:rPr>
        <w:t>Color coding:</w:t>
      </w:r>
      <w:r>
        <w:rPr>
          <w:rFonts w:ascii="Calibri" w:hAnsi="Calibri"/>
          <w:sz w:val="22"/>
        </w:rPr>
        <w:t xml:space="preserve"> GREEN / AMBER / RED consistent across all tiles</w:t>
      </w:r>
    </w:p>
    <w:p>
      <w:pPr>
        <w:pStyle w:val="ListBullet"/>
      </w:pPr>
      <w:r>
        <w:rPr>
          <w:rFonts w:ascii="Calibri" w:hAnsi="Calibri"/>
          <w:b/>
          <w:sz w:val="22"/>
        </w:rPr>
        <w:t>Anonymisation:</w:t>
      </w:r>
      <w:r>
        <w:rPr>
          <w:rFonts w:ascii="Calibri" w:hAnsi="Calibri"/>
          <w:sz w:val="22"/>
        </w:rPr>
        <w:t xml:space="preserve"> no asset names, IP addresses, hostnames, or proprietary system identifiers on the dashboard</w:t>
      </w:r>
    </w:p>
    <w:p>
      <w:pPr>
        <w:pStyle w:val="ListBullet"/>
      </w:pPr>
      <w:r>
        <w:rPr>
          <w:rFonts w:ascii="Calibri" w:hAnsi="Calibri"/>
          <w:b/>
          <w:sz w:val="22"/>
        </w:rPr>
        <w:t>Refresh timestamp:</w:t>
      </w:r>
      <w:r>
        <w:rPr>
          <w:rFonts w:ascii="Calibri" w:hAnsi="Calibri"/>
          <w:sz w:val="22"/>
        </w:rPr>
        <w:t xml:space="preserve"> visible on every tile</w:t>
      </w:r>
    </w:p>
    <w:p>
      <w:pPr>
        <w:pStyle w:val="ListBullet"/>
      </w:pPr>
      <w:r>
        <w:rPr>
          <w:rFonts w:ascii="Calibri" w:hAnsi="Calibri"/>
          <w:b/>
          <w:sz w:val="22"/>
        </w:rPr>
        <w:t>Source link:</w:t>
      </w:r>
      <w:r>
        <w:rPr>
          <w:rFonts w:ascii="Calibri" w:hAnsi="Calibri"/>
          <w:sz w:val="22"/>
        </w:rPr>
        <w:t xml:space="preserve"> every metric has a clickable drill-down to the underlying anonymised data (per access control)</w:t>
      </w:r>
    </w:p>
    <w:p>
      <w:pPr>
        <w:pStyle w:val="ListBullet"/>
      </w:pPr>
      <w:r>
        <w:rPr>
          <w:rFonts w:ascii="Calibri" w:hAnsi="Calibri"/>
          <w:b/>
          <w:sz w:val="22"/>
        </w:rPr>
        <w:t>Mobile-friendly:</w:t>
      </w:r>
      <w:r>
        <w:rPr>
          <w:rFonts w:ascii="Calibri" w:hAnsi="Calibri"/>
          <w:sz w:val="22"/>
        </w:rPr>
        <w:t xml:space="preserve"> dashboard is responsive; CISO can view on tablet/phone</w:t>
      </w:r>
    </w:p>
    <w:p>
      <w:pPr>
        <w:pBdr>
          <w:bottom w:val="single" w:sz="6" w:space="1" w:color="CBD5E1"/>
        </w:pBdr>
      </w:pPr>
    </w:p>
    <w:p>
      <w:r>
        <w:rPr>
          <w:rFonts w:ascii="Calibri" w:hAnsi="Calibri"/>
          <w:b/>
          <w:color w:val="0F172A"/>
          <w:sz w:val="28"/>
        </w:rPr>
        <w:t>7.3 Bi-Weekly Briefings</w:t>
      </w:r>
    </w:p>
    <w:p>
      <w:r>
        <w:rPr>
          <w:rFonts w:ascii="Calibri" w:hAnsi="Calibri"/>
          <w:sz w:val="22"/>
        </w:rPr>
        <w:t>The bi-weekly briefing is the CISO's primary synchronous touchpoint with the engagement. It is structured around the dashboard, not a slide deck.</w:t>
      </w:r>
    </w:p>
    <w:p>
      <w:r>
        <w:rPr>
          <w:rFonts w:ascii="Calibri" w:hAnsi="Calibri"/>
          <w:b/>
          <w:color w:val="0F172A"/>
          <w:sz w:val="24"/>
        </w:rPr>
        <w:t>7.3.1 Format</w:t>
      </w:r>
    </w:p>
    <w:tbl>
      <w:tblPr>
        <w:tblStyle w:val="LightGrid-Accent1"/>
        <w:tblW w:type="auto" w:w="0"/>
        <w:tblLook w:firstColumn="1" w:firstRow="1" w:lastColumn="0" w:lastRow="0" w:noHBand="0" w:noVBand="1" w:val="04A0"/>
      </w:tblPr>
      <w:tblGrid>
        <w:gridCol w:w="4873"/>
        <w:gridCol w:w="4873"/>
      </w:tblGrid>
      <w:tr>
        <w:tc>
          <w:tcPr>
            <w:tcW w:type="dxa" w:w="4873"/>
            <w:shd w:val="clear" w:color="auto" w:fill="1E40AF"/>
          </w:tcPr>
          <w:p>
            <w:r/>
            <w:r>
              <w:rPr>
                <w:rFonts w:ascii="Calibri" w:hAnsi="Calibri"/>
                <w:b/>
                <w:color w:val="FFFFFF"/>
                <w:sz w:val="20"/>
              </w:rPr>
              <w:t>Element</w:t>
            </w:r>
          </w:p>
        </w:tc>
        <w:tc>
          <w:tcPr>
            <w:tcW w:type="dxa" w:w="4873"/>
            <w:shd w:val="clear" w:color="auto" w:fill="1E40AF"/>
          </w:tcPr>
          <w:p>
            <w:r/>
            <w:r>
              <w:rPr>
                <w:rFonts w:ascii="Calibri" w:hAnsi="Calibri"/>
                <w:b/>
                <w:color w:val="FFFFFF"/>
                <w:sz w:val="20"/>
              </w:rPr>
              <w:t>Detail</w:t>
            </w:r>
          </w:p>
        </w:tc>
      </w:tr>
      <w:tr>
        <w:tc>
          <w:tcPr>
            <w:tcW w:type="dxa" w:w="4873"/>
          </w:tcPr>
          <w:p>
            <w:r/>
            <w:r>
              <w:rPr>
                <w:rFonts w:ascii="Calibri" w:hAnsi="Calibri"/>
                <w:b/>
                <w:color w:val="0F172A"/>
                <w:sz w:val="18"/>
              </w:rPr>
              <w:t>Duration</w:t>
            </w:r>
          </w:p>
        </w:tc>
        <w:tc>
          <w:tcPr>
            <w:tcW w:type="dxa" w:w="4873"/>
          </w:tcPr>
          <w:p>
            <w:r/>
            <w:r>
              <w:rPr>
                <w:rFonts w:ascii="Calibri" w:hAnsi="Calibri"/>
                <w:color w:val="0F172A"/>
                <w:sz w:val="18"/>
              </w:rPr>
              <w:t>30 minutes</w:t>
            </w:r>
          </w:p>
        </w:tc>
      </w:tr>
      <w:tr>
        <w:tc>
          <w:tcPr>
            <w:tcW w:type="dxa" w:w="4873"/>
          </w:tcPr>
          <w:p>
            <w:r/>
            <w:r>
              <w:rPr>
                <w:rFonts w:ascii="Calibri" w:hAnsi="Calibri"/>
                <w:b/>
                <w:color w:val="0F172A"/>
                <w:sz w:val="18"/>
              </w:rPr>
              <w:t>Cadence</w:t>
            </w:r>
          </w:p>
        </w:tc>
        <w:tc>
          <w:tcPr>
            <w:tcW w:type="dxa" w:w="4873"/>
          </w:tcPr>
          <w:p>
            <w:r/>
            <w:r>
              <w:rPr>
                <w:rFonts w:ascii="Calibri" w:hAnsi="Calibri"/>
                <w:color w:val="0F172A"/>
                <w:sz w:val="18"/>
              </w:rPr>
              <w:t>Every 2 weeks (10 working days)</w:t>
            </w:r>
          </w:p>
        </w:tc>
      </w:tr>
      <w:tr>
        <w:tc>
          <w:tcPr>
            <w:tcW w:type="dxa" w:w="4873"/>
          </w:tcPr>
          <w:p>
            <w:r/>
            <w:r>
              <w:rPr>
                <w:rFonts w:ascii="Calibri" w:hAnsi="Calibri"/>
                <w:b/>
                <w:color w:val="0F172A"/>
                <w:sz w:val="18"/>
              </w:rPr>
              <w:t>Attendees</w:t>
            </w:r>
          </w:p>
        </w:tc>
        <w:tc>
          <w:tcPr>
            <w:tcW w:type="dxa" w:w="4873"/>
          </w:tcPr>
          <w:p>
            <w:r/>
            <w:r>
              <w:rPr>
                <w:rFonts w:ascii="Calibri" w:hAnsi="Calibri"/>
                <w:color w:val="0F172A"/>
                <w:sz w:val="18"/>
              </w:rPr>
              <w:t>CISO (required), MBB (required); Track Leads (required if escalation open or their track is RED); Operations Director (optional, if line-impacting items)</w:t>
            </w:r>
          </w:p>
        </w:tc>
      </w:tr>
      <w:tr>
        <w:tc>
          <w:tcPr>
            <w:tcW w:type="dxa" w:w="4873"/>
          </w:tcPr>
          <w:p>
            <w:r/>
            <w:r>
              <w:rPr>
                <w:rFonts w:ascii="Calibri" w:hAnsi="Calibri"/>
                <w:b/>
                <w:color w:val="0F172A"/>
                <w:sz w:val="18"/>
              </w:rPr>
              <w:t>Pre-read</w:t>
            </w:r>
          </w:p>
        </w:tc>
        <w:tc>
          <w:tcPr>
            <w:tcW w:type="dxa" w:w="4873"/>
          </w:tcPr>
          <w:p>
            <w:r/>
            <w:r>
              <w:rPr>
                <w:rFonts w:ascii="Calibri" w:hAnsi="Calibri"/>
                <w:color w:val="0F172A"/>
                <w:sz w:val="18"/>
              </w:rPr>
              <w:t>Executive Dashboard snapshot (PDF, auto-generated 24h before)</w:t>
            </w:r>
          </w:p>
        </w:tc>
      </w:tr>
      <w:tr>
        <w:tc>
          <w:tcPr>
            <w:tcW w:type="dxa" w:w="4873"/>
          </w:tcPr>
          <w:p>
            <w:r/>
            <w:r>
              <w:rPr>
                <w:rFonts w:ascii="Calibri" w:hAnsi="Calibri"/>
                <w:b/>
                <w:color w:val="0F172A"/>
                <w:sz w:val="18"/>
              </w:rPr>
              <w:t>Decision items</w:t>
            </w:r>
          </w:p>
        </w:tc>
        <w:tc>
          <w:tcPr>
            <w:tcW w:type="dxa" w:w="4873"/>
          </w:tcPr>
          <w:p>
            <w:r/>
            <w:r>
              <w:rPr>
                <w:rFonts w:ascii="Calibri" w:hAnsi="Calibri"/>
                <w:color w:val="0F172A"/>
                <w:sz w:val="18"/>
              </w:rPr>
              <w:t>Pre-circulated by MBB 24h before (max 3 items)</w:t>
            </w:r>
          </w:p>
        </w:tc>
      </w:tr>
    </w:tbl>
    <w:p/>
    <w:p>
      <w:r>
        <w:rPr>
          <w:rFonts w:ascii="Calibri" w:hAnsi="Calibri"/>
          <w:b/>
          <w:color w:val="0F172A"/>
          <w:sz w:val="24"/>
        </w:rPr>
        <w:t>7.3.2 Standing Agenda (30 minutes)</w:t>
      </w:r>
    </w:p>
    <w:tbl>
      <w:tblPr>
        <w:tblStyle w:val="LightGrid-Accent1"/>
        <w:tblW w:type="auto" w:w="0"/>
        <w:tblLook w:firstColumn="1" w:firstRow="1" w:lastColumn="0" w:lastRow="0" w:noHBand="0" w:noVBand="1" w:val="04A0"/>
      </w:tblPr>
      <w:tblGrid>
        <w:gridCol w:w="3249"/>
        <w:gridCol w:w="3249"/>
        <w:gridCol w:w="3249"/>
      </w:tblGrid>
      <w:tr>
        <w:tc>
          <w:tcPr>
            <w:tcW w:type="dxa" w:w="3249"/>
            <w:shd w:val="clear" w:color="auto" w:fill="1E40AF"/>
          </w:tcPr>
          <w:p>
            <w:r/>
            <w:r>
              <w:rPr>
                <w:rFonts w:ascii="Calibri" w:hAnsi="Calibri"/>
                <w:b/>
                <w:color w:val="FFFFFF"/>
                <w:sz w:val="20"/>
              </w:rPr>
              <w:t>Time</w:t>
            </w:r>
          </w:p>
        </w:tc>
        <w:tc>
          <w:tcPr>
            <w:tcW w:type="dxa" w:w="3249"/>
            <w:shd w:val="clear" w:color="auto" w:fill="1E40AF"/>
          </w:tcPr>
          <w:p>
            <w:r/>
            <w:r>
              <w:rPr>
                <w:rFonts w:ascii="Calibri" w:hAnsi="Calibri"/>
                <w:b/>
                <w:color w:val="FFFFFF"/>
                <w:sz w:val="20"/>
              </w:rPr>
              <w:t>Item</w:t>
            </w:r>
          </w:p>
        </w:tc>
        <w:tc>
          <w:tcPr>
            <w:tcW w:type="dxa" w:w="3249"/>
            <w:shd w:val="clear" w:color="auto" w:fill="1E40AF"/>
          </w:tcPr>
          <w:p>
            <w:r/>
            <w:r>
              <w:rPr>
                <w:rFonts w:ascii="Calibri" w:hAnsi="Calibri"/>
                <w:b/>
                <w:color w:val="FFFFFF"/>
                <w:sz w:val="20"/>
              </w:rPr>
              <w:t>Owner</w:t>
            </w:r>
          </w:p>
        </w:tc>
      </w:tr>
      <w:tr>
        <w:tc>
          <w:tcPr>
            <w:tcW w:type="dxa" w:w="3249"/>
          </w:tcPr>
          <w:p>
            <w:r/>
            <w:r>
              <w:rPr>
                <w:rFonts w:ascii="Calibri" w:hAnsi="Calibri"/>
                <w:color w:val="0F172A"/>
                <w:sz w:val="18"/>
              </w:rPr>
              <w:t>0–5 min</w:t>
            </w:r>
          </w:p>
        </w:tc>
        <w:tc>
          <w:tcPr>
            <w:tcW w:type="dxa" w:w="3249"/>
          </w:tcPr>
          <w:p>
            <w:r/>
            <w:r>
              <w:rPr>
                <w:rFonts w:ascii="Calibri" w:hAnsi="Calibri"/>
                <w:color w:val="0F172A"/>
                <w:sz w:val="18"/>
              </w:rPr>
              <w:t>Dashboard walkthrough: Z-score, COPQ avoided, MTTD/MTTR, RPN trend, Kaizen activity, maturity score</w:t>
            </w:r>
          </w:p>
        </w:tc>
        <w:tc>
          <w:tcPr>
            <w:tcW w:type="dxa" w:w="3249"/>
          </w:tcPr>
          <w:p>
            <w:r/>
            <w:r>
              <w:rPr>
                <w:rFonts w:ascii="Calibri" w:hAnsi="Calibri"/>
                <w:color w:val="0F172A"/>
                <w:sz w:val="18"/>
              </w:rPr>
              <w:t>MBB</w:t>
            </w:r>
          </w:p>
        </w:tc>
      </w:tr>
      <w:tr>
        <w:tc>
          <w:tcPr>
            <w:tcW w:type="dxa" w:w="3249"/>
          </w:tcPr>
          <w:p>
            <w:r/>
            <w:r>
              <w:rPr>
                <w:rFonts w:ascii="Calibri" w:hAnsi="Calibri"/>
                <w:color w:val="0F172A"/>
                <w:sz w:val="18"/>
              </w:rPr>
              <w:t>5–10 min</w:t>
            </w:r>
          </w:p>
        </w:tc>
        <w:tc>
          <w:tcPr>
            <w:tcW w:type="dxa" w:w="3249"/>
          </w:tcPr>
          <w:p>
            <w:r/>
            <w:r>
              <w:rPr>
                <w:rFonts w:ascii="Calibri" w:hAnsi="Calibri"/>
                <w:color w:val="0F172A"/>
                <w:sz w:val="18"/>
              </w:rPr>
              <w:t>RED/AMBER status review: any open escalations, open Kaizens &gt; 5 BD, regression alerts</w:t>
            </w:r>
          </w:p>
        </w:tc>
        <w:tc>
          <w:tcPr>
            <w:tcW w:type="dxa" w:w="3249"/>
          </w:tcPr>
          <w:p>
            <w:r/>
            <w:r>
              <w:rPr>
                <w:rFonts w:ascii="Calibri" w:hAnsi="Calibri"/>
                <w:color w:val="0F172A"/>
                <w:sz w:val="18"/>
              </w:rPr>
              <w:t>MBB</w:t>
            </w:r>
          </w:p>
        </w:tc>
      </w:tr>
      <w:tr>
        <w:tc>
          <w:tcPr>
            <w:tcW w:type="dxa" w:w="3249"/>
          </w:tcPr>
          <w:p>
            <w:r/>
            <w:r>
              <w:rPr>
                <w:rFonts w:ascii="Calibri" w:hAnsi="Calibri"/>
                <w:color w:val="0F172A"/>
                <w:sz w:val="18"/>
              </w:rPr>
              <w:t>10–20 min</w:t>
            </w:r>
          </w:p>
        </w:tc>
        <w:tc>
          <w:tcPr>
            <w:tcW w:type="dxa" w:w="3249"/>
          </w:tcPr>
          <w:p>
            <w:r/>
            <w:r>
              <w:rPr>
                <w:rFonts w:ascii="Calibri" w:hAnsi="Calibri"/>
                <w:color w:val="0F172A"/>
                <w:sz w:val="18"/>
              </w:rPr>
              <w:t>Decision items (max 3): budget, scope, risk appetite, vendor changes, personnel moves</w:t>
            </w:r>
          </w:p>
        </w:tc>
        <w:tc>
          <w:tcPr>
            <w:tcW w:type="dxa" w:w="3249"/>
          </w:tcPr>
          <w:p>
            <w:r/>
            <w:r>
              <w:rPr>
                <w:rFonts w:ascii="Calibri" w:hAnsi="Calibri"/>
                <w:color w:val="0F172A"/>
                <w:sz w:val="18"/>
              </w:rPr>
              <w:t>CISO (decision); MBB (presentation)</w:t>
            </w:r>
          </w:p>
        </w:tc>
      </w:tr>
      <w:tr>
        <w:tc>
          <w:tcPr>
            <w:tcW w:type="dxa" w:w="3249"/>
          </w:tcPr>
          <w:p>
            <w:r/>
            <w:r>
              <w:rPr>
                <w:rFonts w:ascii="Calibri" w:hAnsi="Calibri"/>
                <w:color w:val="0F172A"/>
                <w:sz w:val="18"/>
              </w:rPr>
              <w:t>20–25 min</w:t>
            </w:r>
          </w:p>
        </w:tc>
        <w:tc>
          <w:tcPr>
            <w:tcW w:type="dxa" w:w="3249"/>
          </w:tcPr>
          <w:p>
            <w:r/>
            <w:r>
              <w:rPr>
                <w:rFonts w:ascii="Calibri" w:hAnsi="Calibri"/>
                <w:color w:val="0F172A"/>
                <w:sz w:val="18"/>
              </w:rPr>
              <w:t>Forward look: next 2 weeks, upcoming tollgates, scheduled drills, FMEA refresh</w:t>
            </w:r>
          </w:p>
        </w:tc>
        <w:tc>
          <w:tcPr>
            <w:tcW w:type="dxa" w:w="3249"/>
          </w:tcPr>
          <w:p>
            <w:r/>
            <w:r>
              <w:rPr>
                <w:rFonts w:ascii="Calibri" w:hAnsi="Calibri"/>
                <w:color w:val="0F172A"/>
                <w:sz w:val="18"/>
              </w:rPr>
              <w:t>MBB</w:t>
            </w:r>
          </w:p>
        </w:tc>
      </w:tr>
      <w:tr>
        <w:tc>
          <w:tcPr>
            <w:tcW w:type="dxa" w:w="3249"/>
          </w:tcPr>
          <w:p>
            <w:r/>
            <w:r>
              <w:rPr>
                <w:rFonts w:ascii="Calibri" w:hAnsi="Calibri"/>
                <w:color w:val="0F172A"/>
                <w:sz w:val="18"/>
              </w:rPr>
              <w:t>25–30 min</w:t>
            </w:r>
          </w:p>
        </w:tc>
        <w:tc>
          <w:tcPr>
            <w:tcW w:type="dxa" w:w="3249"/>
          </w:tcPr>
          <w:p>
            <w:r/>
            <w:r>
              <w:rPr>
                <w:rFonts w:ascii="Calibri" w:hAnsi="Calibri"/>
                <w:color w:val="0F172A"/>
                <w:sz w:val="18"/>
              </w:rPr>
              <w:t>CISO questions and direction</w:t>
            </w:r>
          </w:p>
        </w:tc>
        <w:tc>
          <w:tcPr>
            <w:tcW w:type="dxa" w:w="3249"/>
          </w:tcPr>
          <w:p>
            <w:r/>
            <w:r>
              <w:rPr>
                <w:rFonts w:ascii="Calibri" w:hAnsi="Calibri"/>
                <w:color w:val="0F172A"/>
                <w:sz w:val="18"/>
              </w:rPr>
              <w:t>CISO</w:t>
            </w:r>
          </w:p>
        </w:tc>
      </w:tr>
    </w:tbl>
    <w:p/>
    <w:p>
      <w:r>
        <w:rPr>
          <w:rFonts w:ascii="Calibri" w:hAnsi="Calibri"/>
          <w:b/>
          <w:color w:val="0F172A"/>
          <w:sz w:val="24"/>
        </w:rPr>
        <w:t>7.3.3 Briefing Outputs</w:t>
      </w:r>
    </w:p>
    <w:p>
      <w:pPr>
        <w:pStyle w:val="ListBullet"/>
      </w:pPr>
      <w:r>
        <w:rPr>
          <w:rFonts w:ascii="Calibri" w:hAnsi="Calibri"/>
          <w:b/>
          <w:sz w:val="22"/>
        </w:rPr>
        <w:t>Meeting notes:</w:t>
      </w:r>
      <w:r>
        <w:rPr>
          <w:rFonts w:ascii="Calibri" w:hAnsi="Calibri"/>
          <w:sz w:val="22"/>
        </w:rPr>
        <w:t xml:space="preserve"> logged in engagement record within 24h</w:t>
      </w:r>
    </w:p>
    <w:p>
      <w:pPr>
        <w:pStyle w:val="ListBullet"/>
      </w:pPr>
      <w:r>
        <w:rPr>
          <w:rFonts w:ascii="Calibri" w:hAnsi="Calibri"/>
          <w:b/>
          <w:sz w:val="22"/>
        </w:rPr>
        <w:t>Action items:</w:t>
      </w:r>
      <w:r>
        <w:rPr>
          <w:rFonts w:ascii="Calibri" w:hAnsi="Calibri"/>
          <w:sz w:val="22"/>
        </w:rPr>
        <w:t xml:space="preserve"> tracked in dashboard action log; surfaced on Tile 5</w:t>
      </w:r>
    </w:p>
    <w:p>
      <w:pPr>
        <w:pStyle w:val="ListBullet"/>
      </w:pPr>
      <w:r>
        <w:rPr>
          <w:rFonts w:ascii="Calibri" w:hAnsi="Calibri"/>
          <w:b/>
          <w:sz w:val="22"/>
        </w:rPr>
        <w:t>CISO decisions:</w:t>
      </w:r>
      <w:r>
        <w:rPr>
          <w:rFonts w:ascii="Calibri" w:hAnsi="Calibri"/>
          <w:sz w:val="22"/>
        </w:rPr>
        <w:t xml:space="preserve"> logged with date and decision rationale</w:t>
      </w:r>
    </w:p>
    <w:p>
      <w:pPr>
        <w:pStyle w:val="ListBullet"/>
      </w:pPr>
      <w:r>
        <w:rPr>
          <w:rFonts w:ascii="Calibri" w:hAnsi="Calibri"/>
          <w:b/>
          <w:sz w:val="22"/>
        </w:rPr>
        <w:t>Escalations opened/closed:</w:t>
      </w:r>
      <w:r>
        <w:rPr>
          <w:rFonts w:ascii="Calibri" w:hAnsi="Calibri"/>
          <w:sz w:val="22"/>
        </w:rPr>
        <w:t xml:space="preserve"> logged in engagement anomaly log</w:t>
      </w:r>
    </w:p>
    <w:p>
      <w:r>
        <w:rPr>
          <w:rFonts w:ascii="Calibri" w:hAnsi="Calibri"/>
          <w:b/>
          <w:color w:val="0F172A"/>
          <w:sz w:val="24"/>
        </w:rPr>
        <w:t>7.3.4 Briefing Cadence Variations</w:t>
      </w:r>
    </w:p>
    <w:p>
      <w:pPr>
        <w:pStyle w:val="ListBullet"/>
      </w:pPr>
      <w:r>
        <w:rPr>
          <w:rFonts w:ascii="Calibri" w:hAnsi="Calibri"/>
          <w:b/>
          <w:sz w:val="22"/>
        </w:rPr>
        <w:t>Crisis mode (engagement-level RED):</w:t>
      </w:r>
      <w:r>
        <w:rPr>
          <w:rFonts w:ascii="Calibri" w:hAnsi="Calibri"/>
          <w:sz w:val="22"/>
        </w:rPr>
        <w:t xml:space="preserve"> bi-weekly becomes weekly; duration extended to 60 min</w:t>
      </w:r>
    </w:p>
    <w:p>
      <w:pPr>
        <w:pStyle w:val="ListBullet"/>
      </w:pPr>
      <w:r>
        <w:rPr>
          <w:rFonts w:ascii="Calibri" w:hAnsi="Calibri"/>
          <w:b/>
          <w:sz w:val="22"/>
        </w:rPr>
        <w:t>Stable mode (3+ consecutive GREEN briefings):</w:t>
      </w:r>
      <w:r>
        <w:rPr>
          <w:rFonts w:ascii="Calibri" w:hAnsi="Calibri"/>
          <w:sz w:val="22"/>
        </w:rPr>
        <w:t xml:space="preserve"> CISO may opt to move to monthly briefings; quarterly CISO touchpoint remains mandatory</w:t>
      </w:r>
    </w:p>
    <w:p>
      <w:pPr>
        <w:pStyle w:val="ListBullet"/>
      </w:pPr>
      <w:r>
        <w:rPr>
          <w:rFonts w:ascii="Calibri" w:hAnsi="Calibri"/>
          <w:b/>
          <w:sz w:val="22"/>
        </w:rPr>
        <w:t>CISO travel / unavailability:</w:t>
      </w:r>
      <w:r>
        <w:rPr>
          <w:rFonts w:ascii="Calibri" w:hAnsi="Calibri"/>
          <w:sz w:val="22"/>
        </w:rPr>
        <w:t xml:space="preserve"> designated CISO delegate (typically CISO's deputy) receives briefing; CISO briefed on return</w:t>
      </w:r>
    </w:p>
    <w:p>
      <w:pPr>
        <w:pBdr>
          <w:bottom w:val="single" w:sz="6" w:space="1" w:color="CBD5E1"/>
        </w:pBdr>
      </w:pPr>
    </w:p>
    <w:p>
      <w:r>
        <w:rPr>
          <w:rFonts w:ascii="Calibri" w:hAnsi="Calibri"/>
          <w:b/>
          <w:color w:val="0F172A"/>
          <w:sz w:val="28"/>
        </w:rPr>
        <w:t>7.4 Bi-Annual Audits</w:t>
      </w:r>
    </w:p>
    <w:p>
      <w:r>
        <w:rPr>
          <w:rFonts w:ascii="Calibri" w:hAnsi="Calibri"/>
          <w:sz w:val="22"/>
        </w:rPr>
        <w:t>The bi-annual audit is the formal governance moment where the CISO assesses engagement health, signs off on continuation, and ratifies any re-scoping.</w:t>
      </w:r>
    </w:p>
    <w:p>
      <w:r>
        <w:rPr>
          <w:rFonts w:ascii="Calibri" w:hAnsi="Calibri"/>
          <w:b/>
          <w:color w:val="0F172A"/>
          <w:sz w:val="24"/>
        </w:rPr>
        <w:t>7.4.1 Format</w:t>
      </w:r>
    </w:p>
    <w:p/>
    <w:tbl>
      <w:tblPr>
        <w:tblStyle w:val="LightGrid-Accent1"/>
        <w:tblW w:type="auto" w:w="0"/>
        <w:tblLook w:firstColumn="1" w:firstRow="1" w:lastColumn="0" w:lastRow="0" w:noHBand="0" w:noVBand="1" w:val="04A0"/>
      </w:tblPr>
      <w:tblGrid>
        <w:gridCol w:w="4873"/>
        <w:gridCol w:w="4873"/>
      </w:tblGrid>
      <w:tr>
        <w:tc>
          <w:tcPr>
            <w:tcW w:type="dxa" w:w="4873"/>
            <w:shd w:val="clear" w:color="auto" w:fill="1E40AF"/>
          </w:tcPr>
          <w:p>
            <w:r/>
            <w:r>
              <w:rPr>
                <w:rFonts w:ascii="Calibri" w:hAnsi="Calibri"/>
                <w:b/>
                <w:color w:val="FFFFFF"/>
                <w:sz w:val="20"/>
              </w:rPr>
              <w:t>**Duration**</w:t>
            </w:r>
          </w:p>
        </w:tc>
        <w:tc>
          <w:tcPr>
            <w:tcW w:type="dxa" w:w="4873"/>
            <w:shd w:val="clear" w:color="auto" w:fill="1E40AF"/>
          </w:tcPr>
          <w:p>
            <w:r/>
            <w:r>
              <w:rPr>
                <w:rFonts w:ascii="Calibri" w:hAnsi="Calibri"/>
                <w:b/>
                <w:color w:val="FFFFFF"/>
                <w:sz w:val="20"/>
              </w:rPr>
              <w:t>2–4 hours (half-day for full audit)</w:t>
            </w:r>
          </w:p>
        </w:tc>
      </w:tr>
      <w:tr>
        <w:tc>
          <w:tcPr>
            <w:tcW w:type="dxa" w:w="4873"/>
          </w:tcPr>
          <w:p>
            <w:r/>
            <w:r>
              <w:rPr>
                <w:rFonts w:ascii="Calibri" w:hAnsi="Calibri"/>
                <w:b/>
                <w:color w:val="0F172A"/>
                <w:sz w:val="18"/>
              </w:rPr>
              <w:t>Cadence</w:t>
            </w:r>
          </w:p>
        </w:tc>
        <w:tc>
          <w:tcPr>
            <w:tcW w:type="dxa" w:w="4873"/>
          </w:tcPr>
          <w:p>
            <w:r/>
            <w:r>
              <w:rPr>
                <w:rFonts w:ascii="Calibri" w:hAnsi="Calibri"/>
                <w:color w:val="0F172A"/>
                <w:sz w:val="18"/>
              </w:rPr>
              <w:t>Every 6 months (2 per year)</w:t>
            </w:r>
          </w:p>
        </w:tc>
      </w:tr>
      <w:tr>
        <w:tc>
          <w:tcPr>
            <w:tcW w:type="dxa" w:w="4873"/>
          </w:tcPr>
          <w:p>
            <w:r/>
            <w:r>
              <w:rPr>
                <w:rFonts w:ascii="Calibri" w:hAnsi="Calibri"/>
                <w:b/>
                <w:color w:val="0F172A"/>
                <w:sz w:val="18"/>
              </w:rPr>
              <w:t>Attendees</w:t>
            </w:r>
          </w:p>
        </w:tc>
        <w:tc>
          <w:tcPr>
            <w:tcW w:type="dxa" w:w="4873"/>
          </w:tcPr>
          <w:p>
            <w:r/>
            <w:r>
              <w:rPr>
                <w:rFonts w:ascii="Calibri" w:hAnsi="Calibri"/>
                <w:color w:val="0F172A"/>
                <w:sz w:val="18"/>
              </w:rPr>
              <w:t>CISO (required), MBB (required), Operations Director (required), IT Security lead (required), Legal/Compliance (required for regulatory tile)</w:t>
            </w:r>
          </w:p>
        </w:tc>
      </w:tr>
      <w:tr>
        <w:tc>
          <w:tcPr>
            <w:tcW w:type="dxa" w:w="4873"/>
          </w:tcPr>
          <w:p>
            <w:r/>
            <w:r>
              <w:rPr>
                <w:rFonts w:ascii="Calibri" w:hAnsi="Calibri"/>
                <w:b/>
                <w:color w:val="0F172A"/>
                <w:sz w:val="18"/>
              </w:rPr>
              <w:t>Pre-read</w:t>
            </w:r>
          </w:p>
        </w:tc>
        <w:tc>
          <w:tcPr>
            <w:tcW w:type="dxa" w:w="4873"/>
          </w:tcPr>
          <w:p>
            <w:r/>
            <w:r>
              <w:rPr>
                <w:rFonts w:ascii="Calibri" w:hAnsi="Calibri"/>
                <w:color w:val="0F172A"/>
                <w:sz w:val="18"/>
              </w:rPr>
              <w:t>Audit pack (compiled by MBB): full dashboard review, control plan status, maturity score, COPQ protected value, audit findings, A3 close-out summary, FMEA delta, cross-site status (if applicable)</w:t>
            </w:r>
          </w:p>
        </w:tc>
      </w:tr>
    </w:tbl>
    <w:p/>
    <w:p>
      <w:r>
        <w:rPr>
          <w:rFonts w:ascii="Calibri" w:hAnsi="Calibri"/>
          <w:b/>
          <w:color w:val="0F172A"/>
          <w:sz w:val="24"/>
        </w:rPr>
        <w:t>7.4.2 Standing Agenda (Half-Day)</w:t>
      </w:r>
    </w:p>
    <w:tbl>
      <w:tblPr>
        <w:tblStyle w:val="LightGrid-Accent1"/>
        <w:tblW w:type="auto" w:w="0"/>
        <w:tblLook w:firstColumn="1" w:firstRow="1" w:lastColumn="0" w:lastRow="0" w:noHBand="0" w:noVBand="1" w:val="04A0"/>
      </w:tblPr>
      <w:tblGrid>
        <w:gridCol w:w="3249"/>
        <w:gridCol w:w="3249"/>
        <w:gridCol w:w="3249"/>
      </w:tblGrid>
      <w:tr>
        <w:tc>
          <w:tcPr>
            <w:tcW w:type="dxa" w:w="3249"/>
            <w:shd w:val="clear" w:color="auto" w:fill="1E40AF"/>
          </w:tcPr>
          <w:p>
            <w:r/>
            <w:r>
              <w:rPr>
                <w:rFonts w:ascii="Calibri" w:hAnsi="Calibri"/>
                <w:b/>
                <w:color w:val="FFFFFF"/>
                <w:sz w:val="20"/>
              </w:rPr>
              <w:t>Time</w:t>
            </w:r>
          </w:p>
        </w:tc>
        <w:tc>
          <w:tcPr>
            <w:tcW w:type="dxa" w:w="3249"/>
            <w:shd w:val="clear" w:color="auto" w:fill="1E40AF"/>
          </w:tcPr>
          <w:p>
            <w:r/>
            <w:r>
              <w:rPr>
                <w:rFonts w:ascii="Calibri" w:hAnsi="Calibri"/>
                <w:b/>
                <w:color w:val="FFFFFF"/>
                <w:sz w:val="20"/>
              </w:rPr>
              <w:t>Item</w:t>
            </w:r>
          </w:p>
        </w:tc>
        <w:tc>
          <w:tcPr>
            <w:tcW w:type="dxa" w:w="3249"/>
            <w:shd w:val="clear" w:color="auto" w:fill="1E40AF"/>
          </w:tcPr>
          <w:p>
            <w:r/>
            <w:r>
              <w:rPr>
                <w:rFonts w:ascii="Calibri" w:hAnsi="Calibri"/>
                <w:b/>
                <w:color w:val="FFFFFF"/>
                <w:sz w:val="20"/>
              </w:rPr>
              <w:t>Owner</w:t>
            </w:r>
          </w:p>
        </w:tc>
      </w:tr>
      <w:tr>
        <w:tc>
          <w:tcPr>
            <w:tcW w:type="dxa" w:w="3249"/>
          </w:tcPr>
          <w:p>
            <w:r/>
            <w:r>
              <w:rPr>
                <w:rFonts w:ascii="Calibri" w:hAnsi="Calibri"/>
                <w:color w:val="0F172A"/>
                <w:sz w:val="18"/>
              </w:rPr>
              <w:t>0–30 min</w:t>
            </w:r>
          </w:p>
        </w:tc>
        <w:tc>
          <w:tcPr>
            <w:tcW w:type="dxa" w:w="3249"/>
          </w:tcPr>
          <w:p>
            <w:r/>
            <w:r>
              <w:rPr>
                <w:rFonts w:ascii="Calibri" w:hAnsi="Calibri"/>
                <w:b/>
                <w:color w:val="0F172A"/>
                <w:sz w:val="18"/>
              </w:rPr>
              <w:t>Dashboard deep-dive:</w:t>
            </w:r>
            <w:r>
              <w:rPr>
                <w:rFonts w:ascii="Calibri" w:hAnsi="Calibri"/>
                <w:color w:val="0F172A"/>
                <w:sz w:val="18"/>
              </w:rPr>
              <w:t xml:space="preserve"> all 8 tiles, source data review, anomaly explanation</w:t>
            </w:r>
          </w:p>
        </w:tc>
        <w:tc>
          <w:tcPr>
            <w:tcW w:type="dxa" w:w="3249"/>
          </w:tcPr>
          <w:p>
            <w:r/>
            <w:r>
              <w:rPr>
                <w:rFonts w:ascii="Calibri" w:hAnsi="Calibri"/>
                <w:color w:val="0F172A"/>
                <w:sz w:val="18"/>
              </w:rPr>
              <w:t>MBB</w:t>
            </w:r>
          </w:p>
        </w:tc>
      </w:tr>
      <w:tr>
        <w:tc>
          <w:tcPr>
            <w:tcW w:type="dxa" w:w="3249"/>
          </w:tcPr>
          <w:p>
            <w:r/>
            <w:r>
              <w:rPr>
                <w:rFonts w:ascii="Calibri" w:hAnsi="Calibri"/>
                <w:color w:val="0F172A"/>
                <w:sz w:val="18"/>
              </w:rPr>
              <w:t>30–60 min</w:t>
            </w:r>
          </w:p>
        </w:tc>
        <w:tc>
          <w:tcPr>
            <w:tcW w:type="dxa" w:w="3249"/>
          </w:tcPr>
          <w:p>
            <w:r/>
            <w:r>
              <w:rPr>
                <w:rFonts w:ascii="Calibri" w:hAnsi="Calibri"/>
                <w:b/>
                <w:color w:val="0F172A"/>
                <w:sz w:val="18"/>
              </w:rPr>
              <w:t>Control plan audit:</w:t>
            </w:r>
            <w:r>
              <w:rPr>
                <w:rFonts w:ascii="Calibri" w:hAnsi="Calibri"/>
                <w:color w:val="0F172A"/>
                <w:sz w:val="18"/>
              </w:rPr>
              <w:t xml:space="preserve"> all controls reviewed against §4.6 control plan; deviations explained; Poka-Yoke enforcement verified</w:t>
            </w:r>
          </w:p>
        </w:tc>
        <w:tc>
          <w:tcPr>
            <w:tcW w:type="dxa" w:w="3249"/>
          </w:tcPr>
          <w:p>
            <w:r/>
            <w:r>
              <w:rPr>
                <w:rFonts w:ascii="Calibri" w:hAnsi="Calibri"/>
                <w:color w:val="0F172A"/>
                <w:sz w:val="18"/>
              </w:rPr>
              <w:t>MBB + Track Leads</w:t>
            </w:r>
          </w:p>
        </w:tc>
      </w:tr>
      <w:tr>
        <w:tc>
          <w:tcPr>
            <w:tcW w:type="dxa" w:w="3249"/>
          </w:tcPr>
          <w:p>
            <w:r/>
            <w:r>
              <w:rPr>
                <w:rFonts w:ascii="Calibri" w:hAnsi="Calibri"/>
                <w:color w:val="0F172A"/>
                <w:sz w:val="18"/>
              </w:rPr>
              <w:t>60–90 min</w:t>
            </w:r>
          </w:p>
        </w:tc>
        <w:tc>
          <w:tcPr>
            <w:tcW w:type="dxa" w:w="3249"/>
          </w:tcPr>
          <w:p>
            <w:r/>
            <w:r>
              <w:rPr>
                <w:rFonts w:ascii="Calibri" w:hAnsi="Calibri"/>
                <w:b/>
                <w:color w:val="0F172A"/>
                <w:sz w:val="18"/>
              </w:rPr>
              <w:t>Maturity score review:</w:t>
            </w:r>
            <w:r>
              <w:rPr>
                <w:rFonts w:ascii="Calibri" w:hAnsi="Calibri"/>
                <w:color w:val="0F172A"/>
                <w:sz w:val="18"/>
              </w:rPr>
              <w:t xml:space="preserve"> current level, sub-indicator scores, regression analysis, external validation (if applicable)</w:t>
            </w:r>
          </w:p>
        </w:tc>
        <w:tc>
          <w:tcPr>
            <w:tcW w:type="dxa" w:w="3249"/>
          </w:tcPr>
          <w:p>
            <w:r/>
            <w:r>
              <w:rPr>
                <w:rFonts w:ascii="Calibri" w:hAnsi="Calibri"/>
                <w:color w:val="0F172A"/>
                <w:sz w:val="18"/>
              </w:rPr>
              <w:t>MBB + external assessor (if applicable)</w:t>
            </w:r>
          </w:p>
        </w:tc>
      </w:tr>
      <w:tr>
        <w:tc>
          <w:tcPr>
            <w:tcW w:type="dxa" w:w="3249"/>
          </w:tcPr>
          <w:p>
            <w:r/>
            <w:r>
              <w:rPr>
                <w:rFonts w:ascii="Calibri" w:hAnsi="Calibri"/>
                <w:color w:val="0F172A"/>
                <w:sz w:val="18"/>
              </w:rPr>
              <w:t>90–120 min</w:t>
            </w:r>
          </w:p>
        </w:tc>
        <w:tc>
          <w:tcPr>
            <w:tcW w:type="dxa" w:w="3249"/>
          </w:tcPr>
          <w:p>
            <w:r/>
            <w:r>
              <w:rPr>
                <w:rFonts w:ascii="Calibri" w:hAnsi="Calibri"/>
                <w:b/>
                <w:color w:val="0F172A"/>
                <w:sz w:val="18"/>
              </w:rPr>
              <w:t>COPQ &amp; protected value:</w:t>
            </w:r>
            <w:r>
              <w:rPr>
                <w:rFonts w:ascii="Calibri" w:hAnsi="Calibri"/>
                <w:color w:val="0F172A"/>
                <w:sz w:val="18"/>
              </w:rPr>
              <w:t xml:space="preserve"> financial outcome review against §2.5 model; FMEA RPN reduction analysis; Tier 2/3 escalation log</w:t>
            </w:r>
          </w:p>
        </w:tc>
        <w:tc>
          <w:tcPr>
            <w:tcW w:type="dxa" w:w="3249"/>
          </w:tcPr>
          <w:p>
            <w:r/>
            <w:r>
              <w:rPr>
                <w:rFonts w:ascii="Calibri" w:hAnsi="Calibri"/>
                <w:color w:val="0F172A"/>
                <w:sz w:val="18"/>
              </w:rPr>
              <w:t>MBB + Finance (if available)</w:t>
            </w:r>
          </w:p>
        </w:tc>
      </w:tr>
      <w:tr>
        <w:tc>
          <w:tcPr>
            <w:tcW w:type="dxa" w:w="3249"/>
          </w:tcPr>
          <w:p>
            <w:r/>
            <w:r>
              <w:rPr>
                <w:rFonts w:ascii="Calibri" w:hAnsi="Calibri"/>
                <w:color w:val="0F172A"/>
                <w:sz w:val="18"/>
              </w:rPr>
              <w:t>120–150 min</w:t>
            </w:r>
          </w:p>
        </w:tc>
        <w:tc>
          <w:tcPr>
            <w:tcW w:type="dxa" w:w="3249"/>
          </w:tcPr>
          <w:p>
            <w:r/>
            <w:r>
              <w:rPr>
                <w:rFonts w:ascii="Calibri" w:hAnsi="Calibri"/>
                <w:b/>
                <w:color w:val="0F172A"/>
                <w:sz w:val="18"/>
              </w:rPr>
              <w:t>Regulatory &amp; compliance:</w:t>
            </w:r>
            <w:r>
              <w:rPr>
                <w:rFonts w:ascii="Calibri" w:hAnsi="Calibri"/>
                <w:color w:val="0F172A"/>
                <w:sz w:val="18"/>
              </w:rPr>
              <w:t xml:space="preserve"> NIS2, IEC 62443, OEM attestation status; audit findings; remediation evidence</w:t>
            </w:r>
          </w:p>
        </w:tc>
        <w:tc>
          <w:tcPr>
            <w:tcW w:type="dxa" w:w="3249"/>
          </w:tcPr>
          <w:p>
            <w:r/>
            <w:r>
              <w:rPr>
                <w:rFonts w:ascii="Calibri" w:hAnsi="Calibri"/>
                <w:color w:val="0F172A"/>
                <w:sz w:val="18"/>
              </w:rPr>
              <w:t>MBB + Legal/Compliance</w:t>
            </w:r>
          </w:p>
        </w:tc>
      </w:tr>
      <w:tr>
        <w:tc>
          <w:tcPr>
            <w:tcW w:type="dxa" w:w="3249"/>
          </w:tcPr>
          <w:p>
            <w:r/>
            <w:r>
              <w:rPr>
                <w:rFonts w:ascii="Calibri" w:hAnsi="Calibri"/>
                <w:color w:val="0F172A"/>
                <w:sz w:val="18"/>
              </w:rPr>
              <w:t>150–180 min</w:t>
            </w:r>
          </w:p>
        </w:tc>
        <w:tc>
          <w:tcPr>
            <w:tcW w:type="dxa" w:w="3249"/>
          </w:tcPr>
          <w:p>
            <w:r/>
            <w:r>
              <w:rPr>
                <w:rFonts w:ascii="Calibri" w:hAnsi="Calibri"/>
                <w:b/>
                <w:color w:val="0F172A"/>
                <w:sz w:val="18"/>
              </w:rPr>
              <w:t>Forward look:</w:t>
            </w:r>
            <w:r>
              <w:rPr>
                <w:rFonts w:ascii="Calibri" w:hAnsi="Calibri"/>
                <w:color w:val="0F172A"/>
                <w:sz w:val="18"/>
              </w:rPr>
              <w:t xml:space="preserve"> next 6 months, upcoming threats, capability gaps, budget</w:t>
            </w:r>
          </w:p>
        </w:tc>
        <w:tc>
          <w:tcPr>
            <w:tcW w:type="dxa" w:w="3249"/>
          </w:tcPr>
          <w:p>
            <w:r/>
            <w:r>
              <w:rPr>
                <w:rFonts w:ascii="Calibri" w:hAnsi="Calibri"/>
                <w:color w:val="0F172A"/>
                <w:sz w:val="18"/>
              </w:rPr>
              <w:t>MBB + Track Leads</w:t>
            </w:r>
          </w:p>
        </w:tc>
      </w:tr>
      <w:tr>
        <w:tc>
          <w:tcPr>
            <w:tcW w:type="dxa" w:w="3249"/>
          </w:tcPr>
          <w:p>
            <w:r/>
            <w:r>
              <w:rPr>
                <w:rFonts w:ascii="Calibri" w:hAnsi="Calibri"/>
                <w:color w:val="0F172A"/>
                <w:sz w:val="18"/>
              </w:rPr>
              <w:t>180–240 min</w:t>
            </w:r>
          </w:p>
        </w:tc>
        <w:tc>
          <w:tcPr>
            <w:tcW w:type="dxa" w:w="3249"/>
          </w:tcPr>
          <w:p>
            <w:r/>
            <w:r>
              <w:rPr>
                <w:rFonts w:ascii="Calibri" w:hAnsi="Calibri"/>
                <w:b/>
                <w:color w:val="0F172A"/>
                <w:sz w:val="18"/>
              </w:rPr>
              <w:t>CISO decisions:</w:t>
            </w:r>
            <w:r>
              <w:rPr>
                <w:rFonts w:ascii="Calibri" w:hAnsi="Calibri"/>
                <w:color w:val="0F172A"/>
                <w:sz w:val="18"/>
              </w:rPr>
              <w:t xml:space="preserve"> continuation, re-scoping, budget approval, risk appetite updates</w:t>
            </w:r>
          </w:p>
        </w:tc>
        <w:tc>
          <w:tcPr>
            <w:tcW w:type="dxa" w:w="3249"/>
          </w:tcPr>
          <w:p>
            <w:r/>
            <w:r>
              <w:rPr>
                <w:rFonts w:ascii="Calibri" w:hAnsi="Calibri"/>
                <w:color w:val="0F172A"/>
                <w:sz w:val="18"/>
              </w:rPr>
              <w:t>CISO</w:t>
            </w:r>
          </w:p>
        </w:tc>
      </w:tr>
    </w:tbl>
    <w:p/>
    <w:p>
      <w:r>
        <w:rPr>
          <w:rFonts w:ascii="Calibri" w:hAnsi="Calibri"/>
          <w:b/>
          <w:color w:val="0F172A"/>
          <w:sz w:val="24"/>
        </w:rPr>
        <w:t>7.4.3 Audit Outputs</w:t>
      </w:r>
    </w:p>
    <w:p>
      <w:pPr>
        <w:pStyle w:val="ListBullet"/>
      </w:pPr>
      <w:r>
        <w:rPr>
          <w:rFonts w:ascii="Calibri" w:hAnsi="Calibri"/>
          <w:b/>
          <w:sz w:val="22"/>
        </w:rPr>
        <w:t>Audit report:</w:t>
      </w:r>
      <w:r>
        <w:rPr>
          <w:rFonts w:ascii="Calibri" w:hAnsi="Calibri"/>
          <w:sz w:val="22"/>
        </w:rPr>
        <w:t xml:space="preserve"> signed by CISO; logged in engagement record</w:t>
      </w:r>
    </w:p>
    <w:p>
      <w:pPr>
        <w:pStyle w:val="ListBullet"/>
      </w:pPr>
      <w:r>
        <w:rPr>
          <w:rFonts w:ascii="Calibri" w:hAnsi="Calibri"/>
          <w:b/>
          <w:sz w:val="22"/>
        </w:rPr>
        <w:t>Continuation decision:</w:t>
      </w:r>
      <w:r>
        <w:rPr>
          <w:rFonts w:ascii="Calibri" w:hAnsi="Calibri"/>
          <w:sz w:val="22"/>
        </w:rPr>
        <w:t xml:space="preserve"> explicit go/no-go for next 6 months</w:t>
      </w:r>
    </w:p>
    <w:p>
      <w:pPr>
        <w:pStyle w:val="ListBullet"/>
      </w:pPr>
      <w:r>
        <w:rPr>
          <w:rFonts w:ascii="Calibri" w:hAnsi="Calibri"/>
          <w:b/>
          <w:sz w:val="22"/>
        </w:rPr>
        <w:t>Re-scope decision (if applicable):</w:t>
      </w:r>
      <w:r>
        <w:rPr>
          <w:rFonts w:ascii="Calibri" w:hAnsi="Calibri"/>
          <w:sz w:val="22"/>
        </w:rPr>
        <w:t xml:space="preserve"> documented with MBB commitment</w:t>
      </w:r>
    </w:p>
    <w:p>
      <w:pPr>
        <w:pStyle w:val="ListBullet"/>
      </w:pPr>
      <w:r>
        <w:rPr>
          <w:rFonts w:ascii="Calibri" w:hAnsi="Calibri"/>
          <w:b/>
          <w:sz w:val="22"/>
        </w:rPr>
        <w:t>Budget re-baseline (if applicable):</w:t>
      </w:r>
      <w:r>
        <w:rPr>
          <w:rFonts w:ascii="Calibri" w:hAnsi="Calibri"/>
          <w:sz w:val="22"/>
        </w:rPr>
        <w:t xml:space="preserve"> documented with executive committee referral if material</w:t>
      </w:r>
    </w:p>
    <w:p>
      <w:pPr>
        <w:pStyle w:val="ListBullet"/>
      </w:pPr>
      <w:r>
        <w:rPr>
          <w:rFonts w:ascii="Calibri" w:hAnsi="Calibri"/>
          <w:b/>
          <w:sz w:val="22"/>
        </w:rPr>
        <w:t>Action items:</w:t>
      </w:r>
      <w:r>
        <w:rPr>
          <w:rFonts w:ascii="Calibri" w:hAnsi="Calibri"/>
          <w:sz w:val="22"/>
        </w:rPr>
        <w:t xml:space="preserve"> tracked in dashboard action log</w:t>
      </w:r>
    </w:p>
    <w:p>
      <w:pPr>
        <w:pBdr>
          <w:bottom w:val="single" w:sz="6" w:space="1" w:color="CBD5E1"/>
        </w:pBdr>
      </w:pPr>
    </w:p>
    <w:p>
      <w:r>
        <w:rPr>
          <w:rFonts w:ascii="Calibri" w:hAnsi="Calibri"/>
          <w:b/>
          <w:color w:val="0F172A"/>
          <w:sz w:val="28"/>
        </w:rPr>
        <w:t>7.5 Annual Strategic Review</w:t>
      </w:r>
    </w:p>
    <w:p>
      <w:r>
        <w:rPr>
          <w:rFonts w:ascii="Calibri" w:hAnsi="Calibri"/>
          <w:sz w:val="22"/>
        </w:rPr>
        <w:t>The annual review is the forward-looking strategic moment. It is the only governance event where the executive committee is involved.</w:t>
      </w:r>
    </w:p>
    <w:p>
      <w:r>
        <w:rPr>
          <w:rFonts w:ascii="Calibri" w:hAnsi="Calibri"/>
          <w:b/>
          <w:color w:val="0F172A"/>
          <w:sz w:val="24"/>
        </w:rPr>
        <w:t>7.5.1 Format</w:t>
      </w:r>
    </w:p>
    <w:tbl>
      <w:tblPr>
        <w:tblStyle w:val="LightGrid-Accent1"/>
        <w:tblW w:type="auto" w:w="0"/>
        <w:tblLook w:firstColumn="1" w:firstRow="1" w:lastColumn="0" w:lastRow="0" w:noHBand="0" w:noVBand="1" w:val="04A0"/>
      </w:tblPr>
      <w:tblGrid>
        <w:gridCol w:w="4873"/>
        <w:gridCol w:w="4873"/>
      </w:tblGrid>
      <w:tr>
        <w:tc>
          <w:tcPr>
            <w:tcW w:type="dxa" w:w="4873"/>
            <w:shd w:val="clear" w:color="auto" w:fill="1E40AF"/>
          </w:tcPr>
          <w:p>
            <w:r/>
            <w:r>
              <w:rPr>
                <w:rFonts w:ascii="Calibri" w:hAnsi="Calibri"/>
                <w:b/>
                <w:color w:val="FFFFFF"/>
                <w:sz w:val="20"/>
              </w:rPr>
              <w:t>Element</w:t>
            </w:r>
          </w:p>
        </w:tc>
        <w:tc>
          <w:tcPr>
            <w:tcW w:type="dxa" w:w="4873"/>
            <w:shd w:val="clear" w:color="auto" w:fill="1E40AF"/>
          </w:tcPr>
          <w:p>
            <w:r/>
            <w:r>
              <w:rPr>
                <w:rFonts w:ascii="Calibri" w:hAnsi="Calibri"/>
                <w:b/>
                <w:color w:val="FFFFFF"/>
                <w:sz w:val="20"/>
              </w:rPr>
              <w:t>Detail</w:t>
            </w:r>
          </w:p>
        </w:tc>
      </w:tr>
      <w:tr>
        <w:tc>
          <w:tcPr>
            <w:tcW w:type="dxa" w:w="4873"/>
          </w:tcPr>
          <w:p>
            <w:r/>
            <w:r>
              <w:rPr>
                <w:rFonts w:ascii="Calibri" w:hAnsi="Calibri"/>
                <w:b/>
                <w:color w:val="0F172A"/>
                <w:sz w:val="18"/>
              </w:rPr>
              <w:t>Duration</w:t>
            </w:r>
          </w:p>
        </w:tc>
        <w:tc>
          <w:tcPr>
            <w:tcW w:type="dxa" w:w="4873"/>
          </w:tcPr>
          <w:p>
            <w:r/>
            <w:r>
              <w:rPr>
                <w:rFonts w:ascii="Calibri" w:hAnsi="Calibri"/>
                <w:color w:val="0F172A"/>
                <w:sz w:val="18"/>
              </w:rPr>
              <w:t>4–8 hours (half-day to full-day)</w:t>
            </w:r>
          </w:p>
        </w:tc>
      </w:tr>
      <w:tr>
        <w:tc>
          <w:tcPr>
            <w:tcW w:type="dxa" w:w="4873"/>
          </w:tcPr>
          <w:p>
            <w:r/>
            <w:r>
              <w:rPr>
                <w:rFonts w:ascii="Calibri" w:hAnsi="Calibri"/>
                <w:b/>
                <w:color w:val="0F172A"/>
                <w:sz w:val="18"/>
              </w:rPr>
              <w:t>Cadence</w:t>
            </w:r>
          </w:p>
        </w:tc>
        <w:tc>
          <w:tcPr>
            <w:tcW w:type="dxa" w:w="4873"/>
          </w:tcPr>
          <w:p>
            <w:r/>
            <w:r>
              <w:rPr>
                <w:rFonts w:ascii="Calibri" w:hAnsi="Calibri"/>
                <w:color w:val="0F172A"/>
                <w:sz w:val="18"/>
              </w:rPr>
              <w:t>Annually</w:t>
            </w:r>
          </w:p>
        </w:tc>
      </w:tr>
      <w:tr>
        <w:tc>
          <w:tcPr>
            <w:tcW w:type="dxa" w:w="4873"/>
          </w:tcPr>
          <w:p>
            <w:r/>
            <w:r>
              <w:rPr>
                <w:rFonts w:ascii="Calibri" w:hAnsi="Calibri"/>
                <w:b/>
                <w:color w:val="0F172A"/>
                <w:sz w:val="18"/>
              </w:rPr>
              <w:t>Attendees</w:t>
            </w:r>
          </w:p>
        </w:tc>
        <w:tc>
          <w:tcPr>
            <w:tcW w:type="dxa" w:w="4873"/>
          </w:tcPr>
          <w:p>
            <w:r/>
            <w:r>
              <w:rPr>
                <w:rFonts w:ascii="Calibri" w:hAnsi="Calibri"/>
                <w:color w:val="0F172A"/>
                <w:sz w:val="18"/>
              </w:rPr>
              <w:t>CISO, MBB, executive committee (CEO / COO / CFO as relevant), Operations Director, IT Security lead, Legal/Compliance, external assessor (for maturity validation)</w:t>
            </w:r>
          </w:p>
        </w:tc>
      </w:tr>
      <w:tr>
        <w:tc>
          <w:tcPr>
            <w:tcW w:type="dxa" w:w="4873"/>
          </w:tcPr>
          <w:p>
            <w:r/>
            <w:r>
              <w:rPr>
                <w:rFonts w:ascii="Calibri" w:hAnsi="Calibri"/>
                <w:b/>
                <w:color w:val="0F172A"/>
                <w:sz w:val="18"/>
              </w:rPr>
              <w:t>Pre-read</w:t>
            </w:r>
          </w:p>
        </w:tc>
        <w:tc>
          <w:tcPr>
            <w:tcW w:type="dxa" w:w="4873"/>
          </w:tcPr>
          <w:p>
            <w:r/>
            <w:r>
              <w:rPr>
                <w:rFonts w:ascii="Calibri" w:hAnsi="Calibri"/>
                <w:color w:val="0F172A"/>
                <w:sz w:val="18"/>
              </w:rPr>
              <w:t>Strategic review pack: full year dashboard trend, all 5 audit reports, FMEA evolution, maturity score trend, COPQ realised, threat landscape evolution, regulatory direction</w:t>
            </w:r>
          </w:p>
        </w:tc>
      </w:tr>
    </w:tbl>
    <w:p/>
    <w:p>
      <w:r>
        <w:rPr>
          <w:rFonts w:ascii="Calibri" w:hAnsi="Calibri"/>
          <w:b/>
          <w:color w:val="0F172A"/>
          <w:sz w:val="24"/>
        </w:rPr>
        <w:t>7.5.2 Standing Agenda (Full-Day)</w:t>
      </w:r>
    </w:p>
    <w:tbl>
      <w:tblPr>
        <w:tblStyle w:val="LightGrid-Accent1"/>
        <w:tblW w:type="auto" w:w="0"/>
        <w:tblLook w:firstColumn="1" w:firstRow="1" w:lastColumn="0" w:lastRow="0" w:noHBand="0" w:noVBand="1" w:val="04A0"/>
      </w:tblPr>
      <w:tblGrid>
        <w:gridCol w:w="3249"/>
        <w:gridCol w:w="3249"/>
        <w:gridCol w:w="3249"/>
      </w:tblGrid>
      <w:tr>
        <w:tc>
          <w:tcPr>
            <w:tcW w:type="dxa" w:w="3249"/>
            <w:shd w:val="clear" w:color="auto" w:fill="1E40AF"/>
          </w:tcPr>
          <w:p>
            <w:r/>
            <w:r>
              <w:rPr>
                <w:rFonts w:ascii="Calibri" w:hAnsi="Calibri"/>
                <w:b/>
                <w:color w:val="FFFFFF"/>
                <w:sz w:val="20"/>
              </w:rPr>
              <w:t>Time</w:t>
            </w:r>
          </w:p>
        </w:tc>
        <w:tc>
          <w:tcPr>
            <w:tcW w:type="dxa" w:w="3249"/>
            <w:shd w:val="clear" w:color="auto" w:fill="1E40AF"/>
          </w:tcPr>
          <w:p>
            <w:r/>
            <w:r>
              <w:rPr>
                <w:rFonts w:ascii="Calibri" w:hAnsi="Calibri"/>
                <w:b/>
                <w:color w:val="FFFFFF"/>
                <w:sz w:val="20"/>
              </w:rPr>
              <w:t>Item</w:t>
            </w:r>
          </w:p>
        </w:tc>
        <w:tc>
          <w:tcPr>
            <w:tcW w:type="dxa" w:w="3249"/>
            <w:shd w:val="clear" w:color="auto" w:fill="1E40AF"/>
          </w:tcPr>
          <w:p>
            <w:r/>
            <w:r>
              <w:rPr>
                <w:rFonts w:ascii="Calibri" w:hAnsi="Calibri"/>
                <w:b/>
                <w:color w:val="FFFFFF"/>
                <w:sz w:val="20"/>
              </w:rPr>
              <w:t>Owner</w:t>
            </w:r>
          </w:p>
        </w:tc>
      </w:tr>
      <w:tr>
        <w:tc>
          <w:tcPr>
            <w:tcW w:type="dxa" w:w="3249"/>
          </w:tcPr>
          <w:p>
            <w:r/>
            <w:r>
              <w:rPr>
                <w:rFonts w:ascii="Calibri" w:hAnsi="Calibri"/>
                <w:color w:val="0F172A"/>
                <w:sz w:val="18"/>
              </w:rPr>
              <w:t>0–60 min</w:t>
            </w:r>
          </w:p>
        </w:tc>
        <w:tc>
          <w:tcPr>
            <w:tcW w:type="dxa" w:w="3249"/>
          </w:tcPr>
          <w:p>
            <w:r/>
            <w:r>
              <w:rPr>
                <w:rFonts w:ascii="Calibri" w:hAnsi="Calibri"/>
                <w:b/>
                <w:color w:val="0F172A"/>
                <w:sz w:val="18"/>
              </w:rPr>
              <w:t>Annual dashboard review:</w:t>
            </w:r>
            <w:r>
              <w:rPr>
                <w:rFonts w:ascii="Calibri" w:hAnsi="Calibri"/>
                <w:color w:val="0F172A"/>
                <w:sz w:val="18"/>
              </w:rPr>
              <w:t xml:space="preserve"> all 8 tiles, 52-week trend, year-over-year comparison</w:t>
            </w:r>
          </w:p>
        </w:tc>
        <w:tc>
          <w:tcPr>
            <w:tcW w:type="dxa" w:w="3249"/>
          </w:tcPr>
          <w:p>
            <w:r/>
            <w:r>
              <w:rPr>
                <w:rFonts w:ascii="Calibri" w:hAnsi="Calibri"/>
                <w:color w:val="0F172A"/>
                <w:sz w:val="18"/>
              </w:rPr>
              <w:t>MBB</w:t>
            </w:r>
          </w:p>
        </w:tc>
      </w:tr>
      <w:tr>
        <w:tc>
          <w:tcPr>
            <w:tcW w:type="dxa" w:w="3249"/>
          </w:tcPr>
          <w:p>
            <w:r/>
            <w:r>
              <w:rPr>
                <w:rFonts w:ascii="Calibri" w:hAnsi="Calibri"/>
                <w:color w:val="0F172A"/>
                <w:sz w:val="18"/>
              </w:rPr>
              <w:t>60–120 min</w:t>
            </w:r>
          </w:p>
        </w:tc>
        <w:tc>
          <w:tcPr>
            <w:tcW w:type="dxa" w:w="3249"/>
          </w:tcPr>
          <w:p>
            <w:r/>
            <w:r>
              <w:rPr>
                <w:rFonts w:ascii="Calibri" w:hAnsi="Calibri"/>
                <w:b/>
                <w:color w:val="0F172A"/>
                <w:sz w:val="18"/>
              </w:rPr>
              <w:t>Maturity score external validation:</w:t>
            </w:r>
            <w:r>
              <w:rPr>
                <w:rFonts w:ascii="Calibri" w:hAnsi="Calibri"/>
                <w:color w:val="0F172A"/>
                <w:sz w:val="18"/>
              </w:rPr>
              <w:t xml:space="preserve"> third-party assessment; gap analysis; recommendations</w:t>
            </w:r>
          </w:p>
        </w:tc>
        <w:tc>
          <w:tcPr>
            <w:tcW w:type="dxa" w:w="3249"/>
          </w:tcPr>
          <w:p>
            <w:r/>
            <w:r>
              <w:rPr>
                <w:rFonts w:ascii="Calibri" w:hAnsi="Calibri"/>
                <w:color w:val="0F172A"/>
                <w:sz w:val="18"/>
              </w:rPr>
              <w:t>External assessor</w:t>
            </w:r>
          </w:p>
        </w:tc>
      </w:tr>
      <w:tr>
        <w:tc>
          <w:tcPr>
            <w:tcW w:type="dxa" w:w="3249"/>
          </w:tcPr>
          <w:p>
            <w:r/>
            <w:r>
              <w:rPr>
                <w:rFonts w:ascii="Calibri" w:hAnsi="Calibri"/>
                <w:color w:val="0F172A"/>
                <w:sz w:val="18"/>
              </w:rPr>
              <w:t>120–180 min</w:t>
            </w:r>
          </w:p>
        </w:tc>
        <w:tc>
          <w:tcPr>
            <w:tcW w:type="dxa" w:w="3249"/>
          </w:tcPr>
          <w:p>
            <w:r/>
            <w:r>
              <w:rPr>
                <w:rFonts w:ascii="Calibri" w:hAnsi="Calibri"/>
                <w:b/>
                <w:color w:val="0F172A"/>
                <w:sz w:val="18"/>
              </w:rPr>
              <w:t>Strategic threat landscape:</w:t>
            </w:r>
            <w:r>
              <w:rPr>
                <w:rFonts w:ascii="Calibri" w:hAnsi="Calibri"/>
                <w:color w:val="0F172A"/>
                <w:sz w:val="18"/>
              </w:rPr>
              <w:t xml:space="preserve"> forward-looking threats, regulatory direction, technology shifts, OEM contractual changes</w:t>
            </w:r>
          </w:p>
        </w:tc>
        <w:tc>
          <w:tcPr>
            <w:tcW w:type="dxa" w:w="3249"/>
          </w:tcPr>
          <w:p>
            <w:r/>
            <w:r>
              <w:rPr>
                <w:rFonts w:ascii="Calibri" w:hAnsi="Calibri"/>
                <w:color w:val="0F172A"/>
                <w:sz w:val="18"/>
              </w:rPr>
              <w:t>CISO + IT Security + external</w:t>
            </w:r>
          </w:p>
        </w:tc>
      </w:tr>
      <w:tr>
        <w:tc>
          <w:tcPr>
            <w:tcW w:type="dxa" w:w="3249"/>
          </w:tcPr>
          <w:p>
            <w:r/>
            <w:r>
              <w:rPr>
                <w:rFonts w:ascii="Calibri" w:hAnsi="Calibri"/>
                <w:color w:val="0F172A"/>
                <w:sz w:val="18"/>
              </w:rPr>
              <w:t>180–240 min</w:t>
            </w:r>
          </w:p>
        </w:tc>
        <w:tc>
          <w:tcPr>
            <w:tcW w:type="dxa" w:w="3249"/>
          </w:tcPr>
          <w:p>
            <w:r/>
            <w:r>
              <w:rPr>
                <w:rFonts w:ascii="Calibri" w:hAnsi="Calibri"/>
                <w:b/>
                <w:color w:val="0F172A"/>
                <w:sz w:val="18"/>
              </w:rPr>
              <w:t>Engagement re-scoping:</w:t>
            </w:r>
            <w:r>
              <w:rPr>
                <w:rFonts w:ascii="Calibri" w:hAnsi="Calibri"/>
                <w:color w:val="0F172A"/>
                <w:sz w:val="18"/>
              </w:rPr>
              <w:t xml:space="preserve"> does the current scope still match the threat? FMEA, control plan, AI agent scope, cross-site replication</w:t>
            </w:r>
          </w:p>
        </w:tc>
        <w:tc>
          <w:tcPr>
            <w:tcW w:type="dxa" w:w="3249"/>
          </w:tcPr>
          <w:p>
            <w:r/>
            <w:r>
              <w:rPr>
                <w:rFonts w:ascii="Calibri" w:hAnsi="Calibri"/>
                <w:color w:val="0F172A"/>
                <w:sz w:val="18"/>
              </w:rPr>
              <w:t>MBB + CISO</w:t>
            </w:r>
          </w:p>
        </w:tc>
      </w:tr>
      <w:tr>
        <w:tc>
          <w:tcPr>
            <w:tcW w:type="dxa" w:w="3249"/>
          </w:tcPr>
          <w:p>
            <w:r/>
            <w:r>
              <w:rPr>
                <w:rFonts w:ascii="Calibri" w:hAnsi="Calibri"/>
                <w:color w:val="0F172A"/>
                <w:sz w:val="18"/>
              </w:rPr>
              <w:t>240–300 min</w:t>
            </w:r>
          </w:p>
        </w:tc>
        <w:tc>
          <w:tcPr>
            <w:tcW w:type="dxa" w:w="3249"/>
          </w:tcPr>
          <w:p>
            <w:r/>
            <w:r>
              <w:rPr>
                <w:rFonts w:ascii="Calibri" w:hAnsi="Calibri"/>
                <w:b/>
                <w:color w:val="0F172A"/>
                <w:sz w:val="18"/>
              </w:rPr>
              <w:t>Budget re-baseline:</w:t>
            </w:r>
            <w:r>
              <w:rPr>
                <w:rFonts w:ascii="Calibri" w:hAnsi="Calibri"/>
                <w:color w:val="0F172A"/>
                <w:sz w:val="18"/>
              </w:rPr>
              <w:t xml:space="preserve"> next-year budget based on revised scope, AI agent platform costs, external advisory</w:t>
            </w:r>
          </w:p>
        </w:tc>
        <w:tc>
          <w:tcPr>
            <w:tcW w:type="dxa" w:w="3249"/>
          </w:tcPr>
          <w:p>
            <w:r/>
            <w:r>
              <w:rPr>
                <w:rFonts w:ascii="Calibri" w:hAnsi="Calibri"/>
                <w:color w:val="0F172A"/>
                <w:sz w:val="18"/>
              </w:rPr>
              <w:t>MBB + Finance + executive committee</w:t>
            </w:r>
          </w:p>
        </w:tc>
      </w:tr>
      <w:tr>
        <w:tc>
          <w:tcPr>
            <w:tcW w:type="dxa" w:w="3249"/>
          </w:tcPr>
          <w:p>
            <w:r/>
            <w:r>
              <w:rPr>
                <w:rFonts w:ascii="Calibri" w:hAnsi="Calibri"/>
                <w:color w:val="0F172A"/>
                <w:sz w:val="18"/>
              </w:rPr>
              <w:t>300–360 min</w:t>
            </w:r>
          </w:p>
        </w:tc>
        <w:tc>
          <w:tcPr>
            <w:tcW w:type="dxa" w:w="3249"/>
          </w:tcPr>
          <w:p>
            <w:r/>
            <w:r>
              <w:rPr>
                <w:rFonts w:ascii="Calibri" w:hAnsi="Calibri"/>
                <w:b/>
                <w:color w:val="0F172A"/>
                <w:sz w:val="18"/>
              </w:rPr>
              <w:t>Insurance &amp; risk transfer review:</w:t>
            </w:r>
            <w:r>
              <w:rPr>
                <w:rFonts w:ascii="Calibri" w:hAnsi="Calibri"/>
                <w:color w:val="0F172A"/>
                <w:sz w:val="18"/>
              </w:rPr>
              <w:t xml:space="preserve"> does current coverage match the residual exposure?</w:t>
            </w:r>
          </w:p>
        </w:tc>
        <w:tc>
          <w:tcPr>
            <w:tcW w:type="dxa" w:w="3249"/>
          </w:tcPr>
          <w:p>
            <w:r/>
            <w:r>
              <w:rPr>
                <w:rFonts w:ascii="Calibri" w:hAnsi="Calibri"/>
                <w:color w:val="0F172A"/>
                <w:sz w:val="18"/>
              </w:rPr>
              <w:t>Legal/Compliance + Finance + external broker</w:t>
            </w:r>
          </w:p>
        </w:tc>
      </w:tr>
      <w:tr>
        <w:tc>
          <w:tcPr>
            <w:tcW w:type="dxa" w:w="3249"/>
          </w:tcPr>
          <w:p>
            <w:r/>
            <w:r>
              <w:rPr>
                <w:rFonts w:ascii="Calibri" w:hAnsi="Calibri"/>
                <w:color w:val="0F172A"/>
                <w:sz w:val="18"/>
              </w:rPr>
              <w:t>360–420 min</w:t>
            </w:r>
          </w:p>
        </w:tc>
        <w:tc>
          <w:tcPr>
            <w:tcW w:type="dxa" w:w="3249"/>
          </w:tcPr>
          <w:p>
            <w:r/>
            <w:r>
              <w:rPr>
                <w:rFonts w:ascii="Calibri" w:hAnsi="Calibri"/>
                <w:b/>
                <w:color w:val="0F172A"/>
                <w:sz w:val="18"/>
              </w:rPr>
              <w:t>Cross-site replication planning:</w:t>
            </w:r>
            <w:r>
              <w:rPr>
                <w:rFonts w:ascii="Calibri" w:hAnsi="Calibri"/>
                <w:color w:val="0F172A"/>
                <w:sz w:val="18"/>
              </w:rPr>
              <w:t xml:space="preserve"> next 12 months' site onboarding; MBB capacity; cross-site audit exchange</w:t>
            </w:r>
          </w:p>
        </w:tc>
        <w:tc>
          <w:tcPr>
            <w:tcW w:type="dxa" w:w="3249"/>
          </w:tcPr>
          <w:p>
            <w:r/>
            <w:r>
              <w:rPr>
                <w:rFonts w:ascii="Calibri" w:hAnsi="Calibri"/>
                <w:color w:val="0F172A"/>
                <w:sz w:val="18"/>
              </w:rPr>
              <w:t>MBB + CISO</w:t>
            </w:r>
          </w:p>
        </w:tc>
      </w:tr>
      <w:tr>
        <w:tc>
          <w:tcPr>
            <w:tcW w:type="dxa" w:w="3249"/>
          </w:tcPr>
          <w:p>
            <w:r/>
            <w:r>
              <w:rPr>
                <w:rFonts w:ascii="Calibri" w:hAnsi="Calibri"/>
                <w:color w:val="0F172A"/>
                <w:sz w:val="18"/>
              </w:rPr>
              <w:t>420–480 min</w:t>
            </w:r>
          </w:p>
        </w:tc>
        <w:tc>
          <w:tcPr>
            <w:tcW w:type="dxa" w:w="3249"/>
          </w:tcPr>
          <w:p>
            <w:r/>
            <w:r>
              <w:rPr>
                <w:rFonts w:ascii="Calibri" w:hAnsi="Calibri"/>
                <w:b/>
                <w:color w:val="0F172A"/>
                <w:sz w:val="18"/>
              </w:rPr>
              <w:t>Executive committee decisions:</w:t>
            </w:r>
            <w:r>
              <w:rPr>
                <w:rFonts w:ascii="Calibri" w:hAnsi="Calibri"/>
                <w:color w:val="0F172A"/>
                <w:sz w:val="18"/>
              </w:rPr>
              <w:t xml:space="preserve"> continuation, scope, budget, insurance, strategic direction</w:t>
            </w:r>
          </w:p>
        </w:tc>
        <w:tc>
          <w:tcPr>
            <w:tcW w:type="dxa" w:w="3249"/>
          </w:tcPr>
          <w:p>
            <w:r/>
            <w:r>
              <w:rPr>
                <w:rFonts w:ascii="Calibri" w:hAnsi="Calibri"/>
                <w:color w:val="0F172A"/>
                <w:sz w:val="18"/>
              </w:rPr>
              <w:t>Executive committee</w:t>
            </w:r>
          </w:p>
        </w:tc>
      </w:tr>
    </w:tbl>
    <w:p/>
    <w:p>
      <w:r>
        <w:rPr>
          <w:rFonts w:ascii="Calibri" w:hAnsi="Calibri"/>
          <w:b/>
          <w:color w:val="0F172A"/>
          <w:sz w:val="24"/>
        </w:rPr>
        <w:t>7.5.3 Review Outputs</w:t>
      </w:r>
    </w:p>
    <w:p>
      <w:pPr>
        <w:pStyle w:val="ListBullet"/>
      </w:pPr>
      <w:r>
        <w:rPr>
          <w:rFonts w:ascii="Calibri" w:hAnsi="Calibri"/>
          <w:b/>
          <w:sz w:val="22"/>
        </w:rPr>
        <w:t>Strategic review report:</w:t>
      </w:r>
      <w:r>
        <w:rPr>
          <w:rFonts w:ascii="Calibri" w:hAnsi="Calibri"/>
          <w:sz w:val="22"/>
        </w:rPr>
        <w:t xml:space="preserve"> signed by CISO and executive committee chair</w:t>
      </w:r>
    </w:p>
    <w:p>
      <w:pPr>
        <w:pStyle w:val="ListBullet"/>
      </w:pPr>
      <w:r>
        <w:rPr>
          <w:rFonts w:ascii="Calibri" w:hAnsi="Calibri"/>
          <w:b/>
          <w:sz w:val="22"/>
        </w:rPr>
        <w:t>Next-year engagement plan:</w:t>
      </w:r>
      <w:r>
        <w:rPr>
          <w:rFonts w:ascii="Calibri" w:hAnsi="Calibri"/>
          <w:sz w:val="22"/>
        </w:rPr>
        <w:t xml:space="preserve"> scope, budget, milestones, risk appetite</w:t>
      </w:r>
    </w:p>
    <w:p>
      <w:pPr>
        <w:pStyle w:val="ListBullet"/>
      </w:pPr>
      <w:r>
        <w:rPr>
          <w:rFonts w:ascii="Calibri" w:hAnsi="Calibri"/>
          <w:b/>
          <w:sz w:val="22"/>
        </w:rPr>
        <w:t>Re-scope decision (if applicable):</w:t>
      </w:r>
      <w:r>
        <w:rPr>
          <w:rFonts w:ascii="Calibri" w:hAnsi="Calibri"/>
          <w:sz w:val="22"/>
        </w:rPr>
        <w:t xml:space="preserve"> documented; tollgates re-baselined</w:t>
      </w:r>
    </w:p>
    <w:p>
      <w:pPr>
        <w:pStyle w:val="ListBullet"/>
      </w:pPr>
      <w:r>
        <w:rPr>
          <w:rFonts w:ascii="Calibri" w:hAnsi="Calibri"/>
          <w:b/>
          <w:sz w:val="22"/>
        </w:rPr>
        <w:t>Insurance review decision:</w:t>
      </w:r>
      <w:r>
        <w:rPr>
          <w:rFonts w:ascii="Calibri" w:hAnsi="Calibri"/>
          <w:sz w:val="22"/>
        </w:rPr>
        <w:t xml:space="preserve"> documented; coverage update if needed</w:t>
      </w:r>
    </w:p>
    <w:p>
      <w:pPr>
        <w:pStyle w:val="ListBullet"/>
      </w:pPr>
      <w:r>
        <w:rPr>
          <w:rFonts w:ascii="Calibri" w:hAnsi="Calibri"/>
          <w:b/>
          <w:sz w:val="22"/>
        </w:rPr>
        <w:t>Maturity score external validation:</w:t>
      </w:r>
      <w:r>
        <w:rPr>
          <w:rFonts w:ascii="Calibri" w:hAnsi="Calibri"/>
          <w:sz w:val="22"/>
        </w:rPr>
        <w:t xml:space="preserve"> appended to next year's audit pack</w:t>
      </w:r>
    </w:p>
    <w:p>
      <w:pPr>
        <w:pBdr>
          <w:bottom w:val="single" w:sz="6" w:space="1" w:color="CBD5E1"/>
        </w:pBdr>
      </w:pPr>
    </w:p>
    <w:p>
      <w:r>
        <w:rPr>
          <w:rFonts w:ascii="Calibri" w:hAnsi="Calibri"/>
          <w:b/>
          <w:color w:val="0F172A"/>
          <w:sz w:val="28"/>
        </w:rPr>
        <w:t>7.6 What Section 7 Does Not Cover</w:t>
      </w:r>
    </w:p>
    <w:p>
      <w:r>
        <w:rPr>
          <w:rFonts w:ascii="Calibri" w:hAnsi="Calibri"/>
          <w:sz w:val="22"/>
        </w:rPr>
        <w:t>Section 7 is the CISO governance cycle. The final substantive section covers:</w:t>
      </w:r>
    </w:p>
    <w:p>
      <w:pPr>
        <w:pStyle w:val="ListBullet"/>
      </w:pPr>
      <w:r>
        <w:rPr>
          <w:rFonts w:ascii="Calibri" w:hAnsi="Calibri"/>
          <w:b/>
          <w:sz w:val="22"/>
        </w:rPr>
        <w:t>§8 Constraints &amp; Risks</w:t>
      </w:r>
      <w:r>
        <w:rPr>
          <w:rFonts w:ascii="Calibri" w:hAnsi="Calibri"/>
          <w:sz w:val="22"/>
        </w:rPr>
        <w:t xml:space="preserve"> — data-blind, confidentiality, vendor remote access, air-gap requirement, scope boundaries, engagement risks</w:t>
      </w:r>
    </w:p>
    <w:p>
      <w:pPr>
        <w:pStyle w:val="ListBullet"/>
      </w:pPr>
      <w:r>
        <w:rPr>
          <w:rFonts w:ascii="Calibri" w:hAnsi="Calibri"/>
          <w:b/>
          <w:sz w:val="22"/>
        </w:rPr>
        <w:t>Appendix A — CISO Elevator Pitch</w:t>
      </w:r>
      <w:r>
        <w:rPr>
          <w:rFonts w:ascii="Calibri" w:hAnsi="Calibri"/>
          <w:sz w:val="22"/>
        </w:rPr>
        <w:t xml:space="preserve"> — standalone, ~1 page</w:t>
      </w:r>
    </w:p>
    <w:p>
      <w:pPr>
        <w:pStyle w:val="ListBullet"/>
      </w:pPr>
      <w:r>
        <w:rPr>
          <w:rFonts w:ascii="Calibri" w:hAnsi="Calibri"/>
          <w:b/>
          <w:sz w:val="22"/>
        </w:rPr>
        <w:t>Appendix B — CISO Executive Dashboard Mockup</w:t>
      </w:r>
      <w:r>
        <w:rPr>
          <w:rFonts w:ascii="Calibri" w:hAnsi="Calibri"/>
          <w:sz w:val="22"/>
        </w:rPr>
        <w:t xml:space="preserve"> — standalone, visual mockup</w:t>
      </w:r>
    </w:p>
    <w:p>
      <w:r>
        <w:br w:type="page"/>
      </w:r>
    </w:p>
    <w:p>
      <w:r>
        <w:rPr>
          <w:rFonts w:ascii="Calibri" w:hAnsi="Calibri"/>
          <w:b/>
          <w:color w:val="1E40AF"/>
          <w:sz w:val="40"/>
        </w:rPr>
        <w:t>Section 8 — Constraints &amp; Risks</w:t>
      </w:r>
    </w:p>
    <w:p>
      <w:pPr>
        <w:pBdr>
          <w:bottom w:val="single" w:sz="6" w:space="1" w:color="CBD5E1"/>
        </w:pBdr>
      </w:pPr>
    </w:p>
    <w:p/>
    <w:p>
      <w:r>
        <w:rPr>
          <w:rFonts w:ascii="Calibri" w:hAnsi="Calibri"/>
          <w:b/>
          <w:sz w:val="22"/>
        </w:rPr>
        <w:t>Section status:</w:t>
      </w:r>
      <w:r>
        <w:rPr>
          <w:rFonts w:ascii="Calibri" w:hAnsi="Calibri"/>
          <w:sz w:val="22"/>
        </w:rPr>
        <w:t xml:space="preserve"> Draft for review</w:t>
      </w:r>
    </w:p>
    <w:p>
      <w:r>
        <w:rPr>
          <w:rFonts w:ascii="Calibri" w:hAnsi="Calibri"/>
          <w:b/>
          <w:sz w:val="22"/>
        </w:rPr>
        <w:t>Reviewer:</w:t>
      </w:r>
      <w:r>
        <w:rPr>
          <w:rFonts w:ascii="Calibri" w:hAnsi="Calibri"/>
          <w:sz w:val="22"/>
        </w:rPr>
        <w:t xml:space="preserve"> Olivia Key (MBB)</w:t>
      </w:r>
    </w:p>
    <w:p>
      <w:r>
        <w:rPr>
          <w:rFonts w:ascii="Calibri" w:hAnsi="Calibri"/>
          <w:b/>
          <w:sz w:val="22"/>
        </w:rPr>
        <w:t>Source:</w:t>
      </w:r>
      <w:r>
        <w:rPr>
          <w:rFonts w:ascii="Calibri" w:hAnsi="Calibri"/>
          <w:sz w:val="22"/>
        </w:rPr>
        <w:t xml:space="preserve"> Synthesis of §§1–7 constraints and risk surfaces, cross-referenced with OSI whitepaper Layer 4 (Governance &amp; Entropy Defence) principles</w:t>
      </w:r>
    </w:p>
    <w:p>
      <w:r>
        <w:rPr>
          <w:rFonts w:ascii="Calibri" w:hAnsi="Calibri"/>
          <w:b/>
          <w:sz w:val="22"/>
        </w:rPr>
        <w:t>Emphasis:</w:t>
      </w:r>
      <w:r>
        <w:rPr>
          <w:rFonts w:ascii="Calibri" w:hAnsi="Calibri"/>
          <w:sz w:val="22"/>
        </w:rPr>
        <w:t xml:space="preserve"> Explicit constraints (the hard boundaries), assumptions (what must be true for the engagement to succeed), engagement risks (what could go wrong), mitigations (how we address each), and residual risk acceptance (what remains after mitigations).</w:t>
      </w:r>
    </w:p>
    <w:p>
      <w:pPr>
        <w:pBdr>
          <w:bottom w:val="single" w:sz="6" w:space="1" w:color="CBD5E1"/>
        </w:pBdr>
      </w:pPr>
    </w:p>
    <w:p>
      <w:r>
        <w:rPr>
          <w:rFonts w:ascii="Calibri" w:hAnsi="Calibri"/>
          <w:b/>
          <w:color w:val="0F172A"/>
          <w:sz w:val="28"/>
        </w:rPr>
        <w:t>8.1 Constraints</w:t>
      </w:r>
    </w:p>
    <w:p>
      <w:r>
        <w:rPr>
          <w:rFonts w:ascii="Calibri" w:hAnsi="Calibri"/>
          <w:sz w:val="22"/>
        </w:rPr>
        <w:t>The engagement operates within five categories of hard constraints. These cannot be relaxed by the MBB; only the CISO can adjust them, and only with explicit trade-offs.</w:t>
      </w:r>
    </w:p>
    <w:p>
      <w:r>
        <w:rPr>
          <w:rFonts w:ascii="Calibri" w:hAnsi="Calibri"/>
          <w:b/>
          <w:color w:val="0F172A"/>
          <w:sz w:val="24"/>
        </w:rPr>
        <w:t>8.1.1 Confidentiality &amp; Data-Access Constraints</w:t>
      </w:r>
    </w:p>
    <w:tbl>
      <w:tblPr>
        <w:tblStyle w:val="LightGrid-Accent1"/>
        <w:tblW w:type="auto" w:w="0"/>
        <w:tblLook w:firstColumn="1" w:firstRow="1" w:lastColumn="0" w:lastRow="0" w:noHBand="0" w:noVBand="1" w:val="04A0"/>
      </w:tblPr>
      <w:tblGrid>
        <w:gridCol w:w="3249"/>
        <w:gridCol w:w="3249"/>
        <w:gridCol w:w="3249"/>
      </w:tblGrid>
      <w:tr>
        <w:tc>
          <w:tcPr>
            <w:tcW w:type="dxa" w:w="3249"/>
            <w:shd w:val="clear" w:color="auto" w:fill="1E40AF"/>
          </w:tcPr>
          <w:p>
            <w:r/>
            <w:r>
              <w:rPr>
                <w:rFonts w:ascii="Calibri" w:hAnsi="Calibri"/>
                <w:b/>
                <w:color w:val="FFFFFF"/>
                <w:sz w:val="20"/>
              </w:rPr>
              <w:t>Constraint</w:t>
            </w:r>
          </w:p>
        </w:tc>
        <w:tc>
          <w:tcPr>
            <w:tcW w:type="dxa" w:w="3249"/>
            <w:shd w:val="clear" w:color="auto" w:fill="1E40AF"/>
          </w:tcPr>
          <w:p>
            <w:r/>
            <w:r>
              <w:rPr>
                <w:rFonts w:ascii="Calibri" w:hAnsi="Calibri"/>
                <w:b/>
                <w:color w:val="FFFFFF"/>
                <w:sz w:val="20"/>
              </w:rPr>
              <w:t>Source</w:t>
            </w:r>
          </w:p>
        </w:tc>
        <w:tc>
          <w:tcPr>
            <w:tcW w:type="dxa" w:w="3249"/>
            <w:shd w:val="clear" w:color="auto" w:fill="1E40AF"/>
          </w:tcPr>
          <w:p>
            <w:r/>
            <w:r>
              <w:rPr>
                <w:rFonts w:ascii="Calibri" w:hAnsi="Calibri"/>
                <w:b/>
                <w:color w:val="FFFFFF"/>
                <w:sz w:val="20"/>
              </w:rPr>
              <w:t>Cannot be relaxed because</w:t>
            </w:r>
          </w:p>
        </w:tc>
      </w:tr>
      <w:tr>
        <w:tc>
          <w:tcPr>
            <w:tcW w:type="dxa" w:w="3249"/>
          </w:tcPr>
          <w:p>
            <w:r/>
            <w:r>
              <w:rPr>
                <w:rFonts w:ascii="Calibri" w:hAnsi="Calibri"/>
                <w:color w:val="0F172A"/>
                <w:sz w:val="18"/>
              </w:rPr>
              <w:t xml:space="preserve">Internal network configurations, IP addresses, hostnames, MAC addresses, raw network logs, vendor remote-access credentials, and proprietary system architectures are </w:t>
            </w:r>
            <w:r>
              <w:rPr>
                <w:rFonts w:ascii="Calibri" w:hAnsi="Calibri"/>
                <w:b/>
                <w:color w:val="0F172A"/>
                <w:sz w:val="18"/>
              </w:rPr>
              <w:t>never accessible</w:t>
            </w:r>
            <w:r>
              <w:rPr>
                <w:rFonts w:ascii="Calibri" w:hAnsi="Calibri"/>
                <w:color w:val="0F172A"/>
                <w:sz w:val="18"/>
              </w:rPr>
              <w:t xml:space="preserve"> to Green Belts</w:t>
            </w:r>
          </w:p>
        </w:tc>
        <w:tc>
          <w:tcPr>
            <w:tcW w:type="dxa" w:w="3249"/>
          </w:tcPr>
          <w:p>
            <w:r/>
            <w:r>
              <w:rPr>
                <w:rFonts w:ascii="Calibri" w:hAnsi="Calibri"/>
                <w:color w:val="0F172A"/>
                <w:sz w:val="18"/>
              </w:rPr>
              <w:t>Corporate confidentiality mandate; OT security best practice (IEC 62443)</w:t>
            </w:r>
          </w:p>
        </w:tc>
        <w:tc>
          <w:tcPr>
            <w:tcW w:type="dxa" w:w="3249"/>
          </w:tcPr>
          <w:p>
            <w:r/>
            <w:r>
              <w:rPr>
                <w:rFonts w:ascii="Calibri" w:hAnsi="Calibri"/>
                <w:color w:val="0F172A"/>
                <w:sz w:val="18"/>
              </w:rPr>
              <w:t>A breach would expose the OT attack surface to an internal team of 19 engineers, materially increasing the blast radius of any single insider compromise</w:t>
            </w:r>
          </w:p>
        </w:tc>
      </w:tr>
      <w:tr>
        <w:tc>
          <w:tcPr>
            <w:tcW w:type="dxa" w:w="3249"/>
          </w:tcPr>
          <w:p>
            <w:r/>
            <w:r>
              <w:rPr>
                <w:rFonts w:ascii="Calibri" w:hAnsi="Calibri"/>
                <w:color w:val="0F172A"/>
                <w:sz w:val="18"/>
              </w:rPr>
              <w:t xml:space="preserve">All GB data access flows through the </w:t>
            </w:r>
            <w:r>
              <w:rPr>
                <w:rFonts w:ascii="Calibri" w:hAnsi="Calibri"/>
                <w:b/>
                <w:color w:val="0F172A"/>
                <w:sz w:val="18"/>
              </w:rPr>
              <w:t>CISO-controlled anonymisation pipeline</w:t>
            </w:r>
          </w:p>
        </w:tc>
        <w:tc>
          <w:tcPr>
            <w:tcW w:type="dxa" w:w="3249"/>
          </w:tcPr>
          <w:p>
            <w:r/>
            <w:r>
              <w:rPr>
                <w:rFonts w:ascii="Calibri" w:hAnsi="Calibri"/>
                <w:color w:val="0F172A"/>
                <w:sz w:val="18"/>
              </w:rPr>
              <w:t>CISO mandate (§3.5)</w:t>
            </w:r>
          </w:p>
        </w:tc>
        <w:tc>
          <w:tcPr>
            <w:tcW w:type="dxa" w:w="3249"/>
          </w:tcPr>
          <w:p>
            <w:r/>
            <w:r>
              <w:rPr>
                <w:rFonts w:ascii="Calibri" w:hAnsi="Calibri"/>
                <w:color w:val="0F172A"/>
                <w:sz w:val="18"/>
              </w:rPr>
              <w:t>Decoupling of operational data from engineering access is the binding trust boundary</w:t>
            </w:r>
          </w:p>
        </w:tc>
      </w:tr>
      <w:tr>
        <w:tc>
          <w:tcPr>
            <w:tcW w:type="dxa" w:w="3249"/>
          </w:tcPr>
          <w:p>
            <w:r/>
            <w:r>
              <w:rPr>
                <w:rFonts w:ascii="Calibri" w:hAnsi="Calibri"/>
                <w:color w:val="0F172A"/>
                <w:sz w:val="18"/>
              </w:rPr>
              <w:t xml:space="preserve">Anonymisation pipeline is </w:t>
            </w:r>
            <w:r>
              <w:rPr>
                <w:rFonts w:ascii="Calibri" w:hAnsi="Calibri"/>
                <w:b/>
                <w:color w:val="0F172A"/>
                <w:sz w:val="18"/>
              </w:rPr>
              <w:t>CISO-team-owned and operated</w:t>
            </w:r>
            <w:r>
              <w:rPr>
                <w:rFonts w:ascii="Calibri" w:hAnsi="Calibri"/>
                <w:color w:val="0F172A"/>
                <w:sz w:val="18"/>
              </w:rPr>
              <w:t>; GBs cannot modify</w:t>
            </w:r>
          </w:p>
        </w:tc>
        <w:tc>
          <w:tcPr>
            <w:tcW w:type="dxa" w:w="3249"/>
          </w:tcPr>
          <w:p>
            <w:r/>
            <w:r>
              <w:rPr>
                <w:rFonts w:ascii="Calibri" w:hAnsi="Calibri"/>
                <w:color w:val="0F172A"/>
                <w:sz w:val="18"/>
              </w:rPr>
              <w:t>CISO mandate (§3.5)</w:t>
            </w:r>
          </w:p>
        </w:tc>
        <w:tc>
          <w:tcPr>
            <w:tcW w:type="dxa" w:w="3249"/>
          </w:tcPr>
          <w:p>
            <w:r/>
            <w:r>
              <w:rPr>
                <w:rFonts w:ascii="Calibri" w:hAnsi="Calibri"/>
                <w:color w:val="0F172A"/>
                <w:sz w:val="18"/>
              </w:rPr>
              <w:t>Pipeline integrity is the structural guarantee of the data-blind architecture</w:t>
            </w:r>
          </w:p>
        </w:tc>
      </w:tr>
      <w:tr>
        <w:tc>
          <w:tcPr>
            <w:tcW w:type="dxa" w:w="3249"/>
          </w:tcPr>
          <w:p>
            <w:r/>
            <w:r>
              <w:rPr>
                <w:rFonts w:ascii="Calibri" w:hAnsi="Calibri"/>
                <w:color w:val="0F172A"/>
                <w:sz w:val="18"/>
              </w:rPr>
              <w:t xml:space="preserve">GB queries are </w:t>
            </w:r>
            <w:r>
              <w:rPr>
                <w:rFonts w:ascii="Calibri" w:hAnsi="Calibri"/>
                <w:b/>
                <w:color w:val="0F172A"/>
                <w:sz w:val="18"/>
              </w:rPr>
              <w:t>logged and audited</w:t>
            </w:r>
            <w:r>
              <w:rPr>
                <w:rFonts w:ascii="Calibri" w:hAnsi="Calibri"/>
                <w:color w:val="0F172A"/>
                <w:sz w:val="18"/>
              </w:rPr>
              <w:t>; quarterly third-party audit of the anonymisation pipeline</w:t>
            </w:r>
          </w:p>
        </w:tc>
        <w:tc>
          <w:tcPr>
            <w:tcW w:type="dxa" w:w="3249"/>
          </w:tcPr>
          <w:p>
            <w:r/>
            <w:r>
              <w:rPr>
                <w:rFonts w:ascii="Calibri" w:hAnsi="Calibri"/>
                <w:color w:val="0F172A"/>
                <w:sz w:val="18"/>
              </w:rPr>
              <w:t>CISO mandate (§3.5)</w:t>
            </w:r>
          </w:p>
        </w:tc>
        <w:tc>
          <w:tcPr>
            <w:tcW w:type="dxa" w:w="3249"/>
          </w:tcPr>
          <w:p>
            <w:r/>
            <w:r>
              <w:rPr>
                <w:rFonts w:ascii="Calibri" w:hAnsi="Calibri"/>
                <w:color w:val="0F172A"/>
                <w:sz w:val="18"/>
              </w:rPr>
              <w:t>Auditability is the only sustainable trust mechanism for the data-blind boundary</w:t>
            </w:r>
          </w:p>
        </w:tc>
      </w:tr>
      <w:tr>
        <w:tc>
          <w:tcPr>
            <w:tcW w:type="dxa" w:w="3249"/>
          </w:tcPr>
          <w:p>
            <w:r/>
            <w:r>
              <w:rPr>
                <w:rFonts w:ascii="Calibri" w:hAnsi="Calibri"/>
                <w:color w:val="0F172A"/>
                <w:sz w:val="18"/>
              </w:rPr>
              <w:t xml:space="preserve">AI agents operate within the data-access protocol; </w:t>
            </w:r>
            <w:r>
              <w:rPr>
                <w:rFonts w:ascii="Calibri" w:hAnsi="Calibri"/>
                <w:b/>
                <w:color w:val="0F172A"/>
                <w:sz w:val="18"/>
              </w:rPr>
              <w:t>no raw data access</w:t>
            </w:r>
          </w:p>
        </w:tc>
        <w:tc>
          <w:tcPr>
            <w:tcW w:type="dxa" w:w="3249"/>
          </w:tcPr>
          <w:p>
            <w:r/>
            <w:r>
              <w:rPr>
                <w:rFonts w:ascii="Calibri" w:hAnsi="Calibri"/>
                <w:color w:val="0F172A"/>
                <w:sz w:val="18"/>
              </w:rPr>
              <w:t>CISO mandate; AI governance best practice</w:t>
            </w:r>
          </w:p>
        </w:tc>
        <w:tc>
          <w:tcPr>
            <w:tcW w:type="dxa" w:w="3249"/>
          </w:tcPr>
          <w:p>
            <w:r/>
            <w:r>
              <w:rPr>
                <w:rFonts w:ascii="Calibri" w:hAnsi="Calibri"/>
                <w:color w:val="0F172A"/>
                <w:sz w:val="18"/>
              </w:rPr>
              <w:t>Agents cannot have privileges GBs do not have</w:t>
            </w:r>
          </w:p>
        </w:tc>
      </w:tr>
    </w:tbl>
    <w:p/>
    <w:p>
      <w:r>
        <w:rPr>
          <w:rFonts w:ascii="Calibri" w:hAnsi="Calibri"/>
          <w:b/>
          <w:sz w:val="22"/>
        </w:rPr>
        <w:t>Implication:</w:t>
      </w:r>
      <w:r>
        <w:rPr>
          <w:rFonts w:ascii="Calibri" w:hAnsi="Calibri"/>
          <w:sz w:val="22"/>
        </w:rPr>
        <w:t xml:space="preserve"> Any MBB decision that would require raw data access (e.g. "let me see the actual firewall rules") must be escalated to the CISO for explicit override. The default posture is data-blind.</w:t>
      </w:r>
    </w:p>
    <w:p>
      <w:r>
        <w:rPr>
          <w:rFonts w:ascii="Calibri" w:hAnsi="Calibri"/>
          <w:b/>
          <w:color w:val="0F172A"/>
          <w:sz w:val="24"/>
        </w:rPr>
        <w:t>8.1.2 Resource Constraints</w:t>
      </w:r>
    </w:p>
    <w:tbl>
      <w:tblPr>
        <w:tblStyle w:val="LightGrid-Accent1"/>
        <w:tblW w:type="auto" w:w="0"/>
        <w:tblLook w:firstColumn="1" w:firstRow="1" w:lastColumn="0" w:lastRow="0" w:noHBand="0" w:noVBand="1" w:val="04A0"/>
      </w:tblPr>
      <w:tblGrid>
        <w:gridCol w:w="3249"/>
        <w:gridCol w:w="3249"/>
        <w:gridCol w:w="3249"/>
      </w:tblGrid>
      <w:tr>
        <w:tc>
          <w:tcPr>
            <w:tcW w:type="dxa" w:w="3249"/>
            <w:shd w:val="clear" w:color="auto" w:fill="1E40AF"/>
          </w:tcPr>
          <w:p>
            <w:r/>
            <w:r>
              <w:rPr>
                <w:rFonts w:ascii="Calibri" w:hAnsi="Calibri"/>
                <w:b/>
                <w:color w:val="FFFFFF"/>
                <w:sz w:val="20"/>
              </w:rPr>
              <w:t>Constraint</w:t>
            </w:r>
          </w:p>
        </w:tc>
        <w:tc>
          <w:tcPr>
            <w:tcW w:type="dxa" w:w="3249"/>
            <w:shd w:val="clear" w:color="auto" w:fill="1E40AF"/>
          </w:tcPr>
          <w:p>
            <w:r/>
            <w:r>
              <w:rPr>
                <w:rFonts w:ascii="Calibri" w:hAnsi="Calibri"/>
                <w:b/>
                <w:color w:val="FFFFFF"/>
                <w:sz w:val="20"/>
              </w:rPr>
              <w:t>Source</w:t>
            </w:r>
          </w:p>
        </w:tc>
        <w:tc>
          <w:tcPr>
            <w:tcW w:type="dxa" w:w="3249"/>
            <w:shd w:val="clear" w:color="auto" w:fill="1E40AF"/>
          </w:tcPr>
          <w:p>
            <w:r/>
            <w:r>
              <w:rPr>
                <w:rFonts w:ascii="Calibri" w:hAnsi="Calibri"/>
                <w:b/>
                <w:color w:val="FFFFFF"/>
                <w:sz w:val="20"/>
              </w:rPr>
              <w:t>Cannot be relaxed because</w:t>
            </w:r>
          </w:p>
        </w:tc>
      </w:tr>
      <w:tr>
        <w:tc>
          <w:tcPr>
            <w:tcW w:type="dxa" w:w="3249"/>
          </w:tcPr>
          <w:p>
            <w:r/>
            <w:r>
              <w:rPr>
                <w:rFonts w:ascii="Calibri" w:hAnsi="Calibri"/>
                <w:color w:val="0F172A"/>
                <w:sz w:val="18"/>
              </w:rPr>
              <w:t xml:space="preserve">Green Belt allocation: </w:t>
            </w:r>
            <w:r>
              <w:rPr>
                <w:rFonts w:ascii="Calibri" w:hAnsi="Calibri"/>
                <w:b/>
                <w:color w:val="0F172A"/>
                <w:sz w:val="18"/>
              </w:rPr>
              <w:t>10% per GB, 1.9 FTE effective team</w:t>
            </w:r>
          </w:p>
        </w:tc>
        <w:tc>
          <w:tcPr>
            <w:tcW w:type="dxa" w:w="3249"/>
          </w:tcPr>
          <w:p>
            <w:r/>
            <w:r>
              <w:rPr>
                <w:rFonts w:ascii="Calibri" w:hAnsi="Calibri"/>
                <w:color w:val="0F172A"/>
                <w:sz w:val="18"/>
              </w:rPr>
              <w:t>CISO capacity allocation (§5.7)</w:t>
            </w:r>
          </w:p>
        </w:tc>
        <w:tc>
          <w:tcPr>
            <w:tcW w:type="dxa" w:w="3249"/>
          </w:tcPr>
          <w:p>
            <w:r/>
            <w:r>
              <w:rPr>
                <w:rFonts w:ascii="Calibri" w:hAnsi="Calibri"/>
                <w:color w:val="0F172A"/>
                <w:sz w:val="18"/>
              </w:rPr>
              <w:t>The 19 GBs have other primary duties; &gt;10% allocation would require a separate CISO decision and engagement re-scoping</w:t>
            </w:r>
          </w:p>
        </w:tc>
      </w:tr>
      <w:tr>
        <w:tc>
          <w:tcPr>
            <w:tcW w:type="dxa" w:w="3249"/>
          </w:tcPr>
          <w:p>
            <w:r/>
            <w:r>
              <w:rPr>
                <w:rFonts w:ascii="Calibri" w:hAnsi="Calibri"/>
                <w:color w:val="0F172A"/>
                <w:sz w:val="18"/>
              </w:rPr>
              <w:t xml:space="preserve">MBB: </w:t>
            </w:r>
            <w:r>
              <w:rPr>
                <w:rFonts w:ascii="Calibri" w:hAnsi="Calibri"/>
                <w:b/>
                <w:color w:val="0F172A"/>
                <w:sz w:val="18"/>
              </w:rPr>
              <w:t>1.0 FTE dedicated</w:t>
            </w:r>
            <w:r>
              <w:rPr>
                <w:rFonts w:ascii="Calibri" w:hAnsi="Calibri"/>
                <w:color w:val="0F172A"/>
                <w:sz w:val="18"/>
              </w:rPr>
              <w:t xml:space="preserve"> for 12 weeks; reduced allocation in continuation phase</w:t>
            </w:r>
          </w:p>
        </w:tc>
        <w:tc>
          <w:tcPr>
            <w:tcW w:type="dxa" w:w="3249"/>
          </w:tcPr>
          <w:p>
            <w:r/>
            <w:r>
              <w:rPr>
                <w:rFonts w:ascii="Calibri" w:hAnsi="Calibri"/>
                <w:color w:val="0F172A"/>
                <w:sz w:val="18"/>
              </w:rPr>
              <w:t>MBB's consulting engagement terms</w:t>
            </w:r>
          </w:p>
        </w:tc>
        <w:tc>
          <w:tcPr>
            <w:tcW w:type="dxa" w:w="3249"/>
          </w:tcPr>
          <w:p>
            <w:r/>
            <w:r>
              <w:rPr>
                <w:rFonts w:ascii="Calibri" w:hAnsi="Calibri"/>
                <w:color w:val="0F172A"/>
                <w:sz w:val="18"/>
              </w:rPr>
              <w:t>MBB is the methodology lead and sole presenter to CISO; under-allocation would compromise both</w:t>
            </w:r>
          </w:p>
        </w:tc>
      </w:tr>
      <w:tr>
        <w:tc>
          <w:tcPr>
            <w:tcW w:type="dxa" w:w="3249"/>
          </w:tcPr>
          <w:p>
            <w:r/>
            <w:r>
              <w:rPr>
                <w:rFonts w:ascii="Calibri" w:hAnsi="Calibri"/>
                <w:color w:val="0F172A"/>
                <w:sz w:val="18"/>
              </w:rPr>
              <w:t>No additional headcount available for the 12-week push</w:t>
            </w:r>
          </w:p>
        </w:tc>
        <w:tc>
          <w:tcPr>
            <w:tcW w:type="dxa" w:w="3249"/>
          </w:tcPr>
          <w:p>
            <w:r/>
            <w:r>
              <w:rPr>
                <w:rFonts w:ascii="Calibri" w:hAnsi="Calibri"/>
                <w:color w:val="0F172A"/>
                <w:sz w:val="18"/>
              </w:rPr>
              <w:t>CISO capacity decision</w:t>
            </w:r>
          </w:p>
        </w:tc>
        <w:tc>
          <w:tcPr>
            <w:tcW w:type="dxa" w:w="3249"/>
          </w:tcPr>
          <w:p>
            <w:r/>
            <w:r>
              <w:rPr>
                <w:rFonts w:ascii="Calibri" w:hAnsi="Calibri"/>
                <w:color w:val="0F172A"/>
                <w:sz w:val="18"/>
              </w:rPr>
              <w:t>The 19 GBs are the maximum engineering capacity allocated; any expansion requires CISO decision</w:t>
            </w:r>
          </w:p>
        </w:tc>
      </w:tr>
      <w:tr>
        <w:tc>
          <w:tcPr>
            <w:tcW w:type="dxa" w:w="3249"/>
          </w:tcPr>
          <w:p>
            <w:r/>
            <w:r>
              <w:rPr>
                <w:rFonts w:ascii="Calibri" w:hAnsi="Calibri"/>
                <w:color w:val="0F172A"/>
                <w:sz w:val="18"/>
              </w:rPr>
              <w:t xml:space="preserve">External advisory budget: </w:t>
            </w:r>
            <w:r>
              <w:rPr>
                <w:rFonts w:ascii="Calibri" w:hAnsi="Calibri"/>
                <w:b/>
                <w:color w:val="0F172A"/>
                <w:sz w:val="18"/>
              </w:rPr>
              <w:t>modest</w:t>
            </w:r>
            <w:r>
              <w:rPr>
                <w:rFonts w:ascii="Calibri" w:hAnsi="Calibri"/>
                <w:color w:val="0F172A"/>
                <w:sz w:val="18"/>
              </w:rPr>
              <w:t>; large tooling purchases require CISO sign-off</w:t>
            </w:r>
          </w:p>
        </w:tc>
        <w:tc>
          <w:tcPr>
            <w:tcW w:type="dxa" w:w="3249"/>
          </w:tcPr>
          <w:p>
            <w:r/>
            <w:r>
              <w:rPr>
                <w:rFonts w:ascii="Calibri" w:hAnsi="Calibri"/>
                <w:color w:val="0F172A"/>
                <w:sz w:val="18"/>
              </w:rPr>
              <w:t>CISO procurement policy</w:t>
            </w:r>
          </w:p>
        </w:tc>
        <w:tc>
          <w:tcPr>
            <w:tcW w:type="dxa" w:w="3249"/>
          </w:tcPr>
          <w:p>
            <w:r/>
            <w:r>
              <w:rPr>
                <w:rFonts w:ascii="Calibri" w:hAnsi="Calibri"/>
                <w:color w:val="0F172A"/>
                <w:sz w:val="18"/>
              </w:rPr>
              <w:t>Material expenditure requires separate business case; engagement operates within existing tooling where possible</w:t>
            </w:r>
          </w:p>
        </w:tc>
      </w:tr>
    </w:tbl>
    <w:p/>
    <w:p>
      <w:r>
        <w:rPr>
          <w:rFonts w:ascii="Calibri" w:hAnsi="Calibri"/>
          <w:b/>
          <w:sz w:val="22"/>
        </w:rPr>
        <w:t>Implication:</w:t>
      </w:r>
      <w:r>
        <w:rPr>
          <w:rFonts w:ascii="Calibri" w:hAnsi="Calibri"/>
          <w:sz w:val="22"/>
        </w:rPr>
        <w:t xml:space="preserve"> The engagement's 1.9 FTE is the binding capacity constraint. Any scope addition must be matched with capacity addition (CISO decision).</w:t>
      </w:r>
    </w:p>
    <w:p>
      <w:r>
        <w:rPr>
          <w:rFonts w:ascii="Calibri" w:hAnsi="Calibri"/>
          <w:b/>
          <w:color w:val="0F172A"/>
          <w:sz w:val="24"/>
        </w:rPr>
        <w:t>8.1.3 Time Constraints</w:t>
      </w:r>
    </w:p>
    <w:tbl>
      <w:tblPr>
        <w:tblStyle w:val="LightGrid-Accent1"/>
        <w:tblW w:type="auto" w:w="0"/>
        <w:tblLook w:firstColumn="1" w:firstRow="1" w:lastColumn="0" w:lastRow="0" w:noHBand="0" w:noVBand="1" w:val="04A0"/>
      </w:tblPr>
      <w:tblGrid>
        <w:gridCol w:w="3249"/>
        <w:gridCol w:w="3249"/>
        <w:gridCol w:w="3249"/>
      </w:tblGrid>
      <w:tr>
        <w:tc>
          <w:tcPr>
            <w:tcW w:type="dxa" w:w="3249"/>
            <w:shd w:val="clear" w:color="auto" w:fill="1E40AF"/>
          </w:tcPr>
          <w:p>
            <w:r/>
            <w:r>
              <w:rPr>
                <w:rFonts w:ascii="Calibri" w:hAnsi="Calibri"/>
                <w:b/>
                <w:color w:val="FFFFFF"/>
                <w:sz w:val="20"/>
              </w:rPr>
              <w:t>Constraint</w:t>
            </w:r>
          </w:p>
        </w:tc>
        <w:tc>
          <w:tcPr>
            <w:tcW w:type="dxa" w:w="3249"/>
            <w:shd w:val="clear" w:color="auto" w:fill="1E40AF"/>
          </w:tcPr>
          <w:p>
            <w:r/>
            <w:r>
              <w:rPr>
                <w:rFonts w:ascii="Calibri" w:hAnsi="Calibri"/>
                <w:b/>
                <w:color w:val="FFFFFF"/>
                <w:sz w:val="20"/>
              </w:rPr>
              <w:t>Source</w:t>
            </w:r>
          </w:p>
        </w:tc>
        <w:tc>
          <w:tcPr>
            <w:tcW w:type="dxa" w:w="3249"/>
            <w:shd w:val="clear" w:color="auto" w:fill="1E40AF"/>
          </w:tcPr>
          <w:p>
            <w:r/>
            <w:r>
              <w:rPr>
                <w:rFonts w:ascii="Calibri" w:hAnsi="Calibri"/>
                <w:b/>
                <w:color w:val="FFFFFF"/>
                <w:sz w:val="20"/>
              </w:rPr>
              <w:t>Cannot be relaxed because</w:t>
            </w:r>
          </w:p>
        </w:tc>
      </w:tr>
      <w:tr>
        <w:tc>
          <w:tcPr>
            <w:tcW w:type="dxa" w:w="3249"/>
          </w:tcPr>
          <w:p>
            <w:r/>
            <w:r>
              <w:rPr>
                <w:rFonts w:ascii="Calibri" w:hAnsi="Calibri"/>
                <w:b/>
                <w:color w:val="0F172A"/>
                <w:sz w:val="18"/>
              </w:rPr>
              <w:t>12-week engagement</w:t>
            </w:r>
            <w:r>
              <w:rPr>
                <w:rFonts w:ascii="Calibri" w:hAnsi="Calibri"/>
                <w:color w:val="0F172A"/>
                <w:sz w:val="18"/>
              </w:rPr>
              <w:t xml:space="preserve"> with 5 fixed tollgates (G1–G5)</w:t>
            </w:r>
          </w:p>
        </w:tc>
        <w:tc>
          <w:tcPr>
            <w:tcW w:type="dxa" w:w="3249"/>
          </w:tcPr>
          <w:p>
            <w:r/>
            <w:r>
              <w:rPr>
                <w:rFonts w:ascii="Calibri" w:hAnsi="Calibri"/>
                <w:color w:val="0F172A"/>
                <w:sz w:val="18"/>
              </w:rPr>
              <w:t>Engagement design</w:t>
            </w:r>
          </w:p>
        </w:tc>
        <w:tc>
          <w:tcPr>
            <w:tcW w:type="dxa" w:w="3249"/>
          </w:tcPr>
          <w:p>
            <w:r/>
            <w:r>
              <w:rPr>
                <w:rFonts w:ascii="Calibri" w:hAnsi="Calibri"/>
                <w:color w:val="0F172A"/>
                <w:sz w:val="18"/>
              </w:rPr>
              <w:t>Tollgates are the CISO's decision points; extending the timeline changes the CISO cadence</w:t>
            </w:r>
          </w:p>
        </w:tc>
      </w:tr>
      <w:tr>
        <w:tc>
          <w:tcPr>
            <w:tcW w:type="dxa" w:w="3249"/>
          </w:tcPr>
          <w:p>
            <w:r/>
            <w:r>
              <w:rPr>
                <w:rFonts w:ascii="Calibri" w:hAnsi="Calibri"/>
                <w:color w:val="0F172A"/>
                <w:sz w:val="18"/>
              </w:rPr>
              <w:t>5 risk-based decision points (DP-1 through DP-4) may extend timeline by 1–2 weeks per point</w:t>
            </w:r>
          </w:p>
        </w:tc>
        <w:tc>
          <w:tcPr>
            <w:tcW w:type="dxa" w:w="3249"/>
          </w:tcPr>
          <w:p>
            <w:r/>
            <w:r>
              <w:rPr>
                <w:rFonts w:ascii="Calibri" w:hAnsi="Calibri"/>
                <w:color w:val="0F172A"/>
                <w:sz w:val="18"/>
              </w:rPr>
              <w:t>§5.8 design</w:t>
            </w:r>
          </w:p>
        </w:tc>
        <w:tc>
          <w:tcPr>
            <w:tcW w:type="dxa" w:w="3249"/>
          </w:tcPr>
          <w:p>
            <w:r/>
            <w:r>
              <w:rPr>
                <w:rFonts w:ascii="Calibri" w:hAnsi="Calibri"/>
                <w:color w:val="0F172A"/>
                <w:sz w:val="18"/>
              </w:rPr>
              <w:t>DPs are the safety valves for foreseeable risks; ad-hoc extension is not allowed</w:t>
            </w:r>
          </w:p>
        </w:tc>
      </w:tr>
      <w:tr>
        <w:tc>
          <w:tcPr>
            <w:tcW w:type="dxa" w:w="3249"/>
          </w:tcPr>
          <w:p>
            <w:r/>
            <w:r>
              <w:rPr>
                <w:rFonts w:ascii="Calibri" w:hAnsi="Calibri"/>
                <w:color w:val="0F172A"/>
                <w:sz w:val="18"/>
              </w:rPr>
              <w:t>Cross-site replication timeline: 5 sites in 15 months post-G5</w:t>
            </w:r>
          </w:p>
        </w:tc>
        <w:tc>
          <w:tcPr>
            <w:tcW w:type="dxa" w:w="3249"/>
          </w:tcPr>
          <w:p>
            <w:r/>
            <w:r>
              <w:rPr>
                <w:rFonts w:ascii="Calibri" w:hAnsi="Calibri"/>
                <w:color w:val="0F172A"/>
                <w:sz w:val="18"/>
              </w:rPr>
              <w:t>§6.5 design</w:t>
            </w:r>
          </w:p>
        </w:tc>
        <w:tc>
          <w:tcPr>
            <w:tcW w:type="dxa" w:w="3249"/>
          </w:tcPr>
          <w:p>
            <w:r/>
            <w:r>
              <w:rPr>
                <w:rFonts w:ascii="Calibri" w:hAnsi="Calibri"/>
                <w:color w:val="0F172A"/>
                <w:sz w:val="18"/>
              </w:rPr>
              <w:t>Replication is bounded by site MBB availability and the engagement MBB's mentorship capacity</w:t>
            </w:r>
          </w:p>
        </w:tc>
      </w:tr>
      <w:tr>
        <w:tc>
          <w:tcPr>
            <w:tcW w:type="dxa" w:w="3249"/>
          </w:tcPr>
          <w:p>
            <w:r/>
            <w:r>
              <w:rPr>
                <w:rFonts w:ascii="Calibri" w:hAnsi="Calibri"/>
                <w:color w:val="0F172A"/>
                <w:sz w:val="18"/>
              </w:rPr>
              <w:t>Bi-weekly briefing cadence is fixed (every 2 weeks)</w:t>
            </w:r>
          </w:p>
        </w:tc>
        <w:tc>
          <w:tcPr>
            <w:tcW w:type="dxa" w:w="3249"/>
          </w:tcPr>
          <w:p>
            <w:r/>
            <w:r>
              <w:rPr>
                <w:rFonts w:ascii="Calibri" w:hAnsi="Calibri"/>
                <w:color w:val="0F172A"/>
                <w:sz w:val="18"/>
              </w:rPr>
              <w:t>§7.3 design</w:t>
            </w:r>
          </w:p>
        </w:tc>
        <w:tc>
          <w:tcPr>
            <w:tcW w:type="dxa" w:w="3249"/>
          </w:tcPr>
          <w:p>
            <w:r/>
            <w:r>
              <w:rPr>
                <w:rFonts w:ascii="Calibri" w:hAnsi="Calibri"/>
                <w:color w:val="0F172A"/>
                <w:sz w:val="18"/>
              </w:rPr>
              <w:t>Cadence is the CISO's primary synchronous touchpoint; ad-hoc rescheduling signals crisis</w:t>
            </w:r>
          </w:p>
        </w:tc>
      </w:tr>
    </w:tbl>
    <w:p/>
    <w:p>
      <w:r>
        <w:rPr>
          <w:rFonts w:ascii="Calibri" w:hAnsi="Calibri"/>
          <w:b/>
          <w:sz w:val="22"/>
        </w:rPr>
        <w:t>Implication:</w:t>
      </w:r>
      <w:r>
        <w:rPr>
          <w:rFonts w:ascii="Calibri" w:hAnsi="Calibri"/>
          <w:sz w:val="22"/>
        </w:rPr>
        <w:t xml:space="preserve"> The 12-week timeline is the binding commitment. If risks materialise, the DPs are the structured extension mechanism; ad-hoc extension is not the path.</w:t>
      </w:r>
    </w:p>
    <w:p>
      <w:r>
        <w:rPr>
          <w:rFonts w:ascii="Calibri" w:hAnsi="Calibri"/>
          <w:b/>
          <w:color w:val="0F172A"/>
          <w:sz w:val="24"/>
        </w:rPr>
        <w:t>8.1.4 Technical Constraints</w:t>
      </w:r>
    </w:p>
    <w:tbl>
      <w:tblPr>
        <w:tblStyle w:val="LightGrid-Accent1"/>
        <w:tblW w:type="auto" w:w="0"/>
        <w:tblLook w:firstColumn="1" w:firstRow="1" w:lastColumn="0" w:lastRow="0" w:noHBand="0" w:noVBand="1" w:val="04A0"/>
      </w:tblPr>
      <w:tblGrid>
        <w:gridCol w:w="3249"/>
        <w:gridCol w:w="3249"/>
        <w:gridCol w:w="3249"/>
      </w:tblGrid>
      <w:tr>
        <w:tc>
          <w:tcPr>
            <w:tcW w:type="dxa" w:w="3249"/>
            <w:shd w:val="clear" w:color="auto" w:fill="1E40AF"/>
          </w:tcPr>
          <w:p>
            <w:r/>
            <w:r>
              <w:rPr>
                <w:rFonts w:ascii="Calibri" w:hAnsi="Calibri"/>
                <w:b/>
                <w:color w:val="FFFFFF"/>
                <w:sz w:val="20"/>
              </w:rPr>
              <w:t>Constraint</w:t>
            </w:r>
          </w:p>
        </w:tc>
        <w:tc>
          <w:tcPr>
            <w:tcW w:type="dxa" w:w="3249"/>
            <w:shd w:val="clear" w:color="auto" w:fill="1E40AF"/>
          </w:tcPr>
          <w:p>
            <w:r/>
            <w:r>
              <w:rPr>
                <w:rFonts w:ascii="Calibri" w:hAnsi="Calibri"/>
                <w:b/>
                <w:color w:val="FFFFFF"/>
                <w:sz w:val="20"/>
              </w:rPr>
              <w:t>Source</w:t>
            </w:r>
          </w:p>
        </w:tc>
        <w:tc>
          <w:tcPr>
            <w:tcW w:type="dxa" w:w="3249"/>
            <w:shd w:val="clear" w:color="auto" w:fill="1E40AF"/>
          </w:tcPr>
          <w:p>
            <w:r/>
            <w:r>
              <w:rPr>
                <w:rFonts w:ascii="Calibri" w:hAnsi="Calibri"/>
                <w:b/>
                <w:color w:val="FFFFFF"/>
                <w:sz w:val="20"/>
              </w:rPr>
              <w:t>Cannot be relaxed because</w:t>
            </w:r>
          </w:p>
        </w:tc>
      </w:tr>
      <w:tr>
        <w:tc>
          <w:tcPr>
            <w:tcW w:type="dxa" w:w="3249"/>
          </w:tcPr>
          <w:p>
            <w:r/>
            <w:r>
              <w:rPr>
                <w:rFonts w:ascii="Calibri" w:hAnsi="Calibri"/>
                <w:b/>
                <w:color w:val="0F172A"/>
                <w:sz w:val="18"/>
              </w:rPr>
              <w:t>Air-gap requirement</w:t>
            </w:r>
            <w:r>
              <w:rPr>
                <w:rFonts w:ascii="Calibri" w:hAnsi="Calibri"/>
                <w:color w:val="0F172A"/>
                <w:sz w:val="18"/>
              </w:rPr>
              <w:t xml:space="preserve"> for safety-critical control systems (formation cycling, electrolyte injection)</w:t>
            </w:r>
          </w:p>
        </w:tc>
        <w:tc>
          <w:tcPr>
            <w:tcW w:type="dxa" w:w="3249"/>
          </w:tcPr>
          <w:p>
            <w:r/>
            <w:r>
              <w:rPr>
                <w:rFonts w:ascii="Calibri" w:hAnsi="Calibri"/>
                <w:color w:val="0F172A"/>
                <w:sz w:val="18"/>
              </w:rPr>
              <w:t>§4.5.3 Cyber Poka-Yoke</w:t>
            </w:r>
          </w:p>
        </w:tc>
        <w:tc>
          <w:tcPr>
            <w:tcW w:type="dxa" w:w="3249"/>
          </w:tcPr>
          <w:p>
            <w:r/>
            <w:r>
              <w:rPr>
                <w:rFonts w:ascii="Calibri" w:hAnsi="Calibri"/>
                <w:color w:val="0F172A"/>
                <w:sz w:val="18"/>
              </w:rPr>
              <w:t>One-way data diodes on safety-critical paths prevent command injection; the only viable structural protection against RPN ≥ 320 safety modes</w:t>
            </w:r>
          </w:p>
        </w:tc>
      </w:tr>
      <w:tr>
        <w:tc>
          <w:tcPr>
            <w:tcW w:type="dxa" w:w="3249"/>
          </w:tcPr>
          <w:p>
            <w:r/>
            <w:r>
              <w:rPr>
                <w:rFonts w:ascii="Calibri" w:hAnsi="Calibri"/>
                <w:b/>
                <w:color w:val="0F172A"/>
                <w:sz w:val="18"/>
              </w:rPr>
              <w:t>Cryptographic signing</w:t>
            </w:r>
            <w:r>
              <w:rPr>
                <w:rFonts w:ascii="Calibri" w:hAnsi="Calibri"/>
                <w:color w:val="0F172A"/>
                <w:sz w:val="18"/>
              </w:rPr>
              <w:t xml:space="preserve"> required for all process recipes (formation, coating, dosing, aging) and firmware updates</w:t>
            </w:r>
          </w:p>
        </w:tc>
        <w:tc>
          <w:tcPr>
            <w:tcW w:type="dxa" w:w="3249"/>
          </w:tcPr>
          <w:p>
            <w:r/>
            <w:r>
              <w:rPr>
                <w:rFonts w:ascii="Calibri" w:hAnsi="Calibri"/>
                <w:color w:val="0F172A"/>
                <w:sz w:val="18"/>
              </w:rPr>
              <w:t>§4.5.3 Poka-Yoke</w:t>
            </w:r>
          </w:p>
        </w:tc>
        <w:tc>
          <w:tcPr>
            <w:tcW w:type="dxa" w:w="3249"/>
          </w:tcPr>
          <w:p>
            <w:r/>
            <w:r>
              <w:rPr>
                <w:rFonts w:ascii="Calibri" w:hAnsi="Calibri"/>
                <w:color w:val="0F172A"/>
                <w:sz w:val="18"/>
              </w:rPr>
              <w:t>Parameter integrity is the binding control for the 7 silent corruption modes in the FMEA</w:t>
            </w:r>
          </w:p>
        </w:tc>
      </w:tr>
      <w:tr>
        <w:tc>
          <w:tcPr>
            <w:tcW w:type="dxa" w:w="3249"/>
          </w:tcPr>
          <w:p>
            <w:r/>
            <w:r>
              <w:rPr>
                <w:rFonts w:ascii="Calibri" w:hAnsi="Calibri"/>
                <w:b/>
                <w:color w:val="0F172A"/>
                <w:sz w:val="18"/>
              </w:rPr>
              <w:t>Vendor remote access</w:t>
            </w:r>
            <w:r>
              <w:rPr>
                <w:rFonts w:ascii="Calibri" w:hAnsi="Calibri"/>
                <w:color w:val="0F172A"/>
                <w:sz w:val="18"/>
              </w:rPr>
              <w:t xml:space="preserve"> must flow through authenticated broker with cryptographic handshake</w:t>
            </w:r>
          </w:p>
        </w:tc>
        <w:tc>
          <w:tcPr>
            <w:tcW w:type="dxa" w:w="3249"/>
          </w:tcPr>
          <w:p>
            <w:r/>
            <w:r>
              <w:rPr>
                <w:rFonts w:ascii="Calibri" w:hAnsi="Calibri"/>
                <w:color w:val="0F172A"/>
                <w:sz w:val="18"/>
              </w:rPr>
              <w:t>§4.5.3 Poka-Yoke; NIST SP 800-82</w:t>
            </w:r>
          </w:p>
        </w:tc>
        <w:tc>
          <w:tcPr>
            <w:tcW w:type="dxa" w:w="3249"/>
          </w:tcPr>
          <w:p>
            <w:r/>
            <w:r>
              <w:rPr>
                <w:rFonts w:ascii="Calibri" w:hAnsi="Calibri"/>
                <w:color w:val="0F172A"/>
                <w:sz w:val="18"/>
              </w:rPr>
              <w:t>Vendor remote access is the #1 industrial ransomware vector (Dragos, Mandiant)</w:t>
            </w:r>
          </w:p>
        </w:tc>
      </w:tr>
      <w:tr>
        <w:tc>
          <w:tcPr>
            <w:tcW w:type="dxa" w:w="3249"/>
          </w:tcPr>
          <w:p>
            <w:r/>
            <w:r>
              <w:rPr>
                <w:rFonts w:ascii="Calibri" w:hAnsi="Calibri"/>
                <w:b/>
                <w:color w:val="0F172A"/>
                <w:sz w:val="18"/>
              </w:rPr>
              <w:t>Legacy protocols</w:t>
            </w:r>
            <w:r>
              <w:rPr>
                <w:rFonts w:ascii="Calibri" w:hAnsi="Calibri"/>
                <w:color w:val="0F172A"/>
                <w:sz w:val="18"/>
              </w:rPr>
              <w:t xml:space="preserve"> (Telnet, FTP, SMBv1) must be decommissioned</w:t>
            </w:r>
          </w:p>
        </w:tc>
        <w:tc>
          <w:tcPr>
            <w:tcW w:type="dxa" w:w="3249"/>
          </w:tcPr>
          <w:p>
            <w:r/>
            <w:r>
              <w:rPr>
                <w:rFonts w:ascii="Calibri" w:hAnsi="Calibri"/>
                <w:color w:val="0F172A"/>
                <w:sz w:val="18"/>
              </w:rPr>
              <w:t>§4.5.2 Digital 5C Sort</w:t>
            </w:r>
          </w:p>
        </w:tc>
        <w:tc>
          <w:tcPr>
            <w:tcW w:type="dxa" w:w="3249"/>
          </w:tcPr>
          <w:p>
            <w:r/>
            <w:r>
              <w:rPr>
                <w:rFonts w:ascii="Calibri" w:hAnsi="Calibri"/>
                <w:color w:val="0F172A"/>
                <w:sz w:val="18"/>
              </w:rPr>
              <w:t>Legacy protocols are unauthenticated or weakly authenticated; the FMEA root cause for several top-12 modes</w:t>
            </w:r>
          </w:p>
        </w:tc>
      </w:tr>
      <w:tr>
        <w:tc>
          <w:tcPr>
            <w:tcW w:type="dxa" w:w="3249"/>
          </w:tcPr>
          <w:p>
            <w:r/>
            <w:r>
              <w:rPr>
                <w:rFonts w:ascii="Calibri" w:hAnsi="Calibri"/>
                <w:b/>
                <w:color w:val="0F172A"/>
                <w:sz w:val="18"/>
              </w:rPr>
              <w:t>No direct VPN access</w:t>
            </w:r>
            <w:r>
              <w:rPr>
                <w:rFonts w:ascii="Calibri" w:hAnsi="Calibri"/>
                <w:color w:val="0F172A"/>
                <w:sz w:val="18"/>
              </w:rPr>
              <w:t xml:space="preserve"> for vendors or non-engagement personnel</w:t>
            </w:r>
          </w:p>
        </w:tc>
        <w:tc>
          <w:tcPr>
            <w:tcW w:type="dxa" w:w="3249"/>
          </w:tcPr>
          <w:p>
            <w:r/>
            <w:r>
              <w:rPr>
                <w:rFonts w:ascii="Calibri" w:hAnsi="Calibri"/>
                <w:color w:val="0F172A"/>
                <w:sz w:val="18"/>
              </w:rPr>
              <w:t>§4.5.3 Poka-Yoke</w:t>
            </w:r>
          </w:p>
        </w:tc>
        <w:tc>
          <w:tcPr>
            <w:tcW w:type="dxa" w:w="3249"/>
          </w:tcPr>
          <w:p>
            <w:r/>
            <w:r>
              <w:rPr>
                <w:rFonts w:ascii="Calibri" w:hAnsi="Calibri"/>
                <w:color w:val="0F172A"/>
                <w:sz w:val="18"/>
              </w:rPr>
              <w:t>Direct VPN bypasses all access controls; the only viable vendor model is brokered</w:t>
            </w:r>
          </w:p>
        </w:tc>
      </w:tr>
    </w:tbl>
    <w:p/>
    <w:p>
      <w:r>
        <w:rPr>
          <w:rFonts w:ascii="Calibri" w:hAnsi="Calibri"/>
          <w:b/>
          <w:sz w:val="22"/>
        </w:rPr>
        <w:t>Implication:</w:t>
      </w:r>
      <w:r>
        <w:rPr>
          <w:rFonts w:ascii="Calibri" w:hAnsi="Calibri"/>
          <w:sz w:val="22"/>
        </w:rPr>
        <w:t xml:space="preserve"> The technical controls in §4.5 are not negotiable with vendors or internal teams. Any pushback escalates to the CISO.</w:t>
      </w:r>
    </w:p>
    <w:p>
      <w:r>
        <w:rPr>
          <w:rFonts w:ascii="Calibri" w:hAnsi="Calibri"/>
          <w:b/>
          <w:color w:val="0F172A"/>
          <w:sz w:val="24"/>
        </w:rPr>
        <w:t>8.1.5 Regulatory &amp; Contractual Constraints</w:t>
      </w:r>
    </w:p>
    <w:tbl>
      <w:tblPr>
        <w:tblStyle w:val="LightGrid-Accent1"/>
        <w:tblW w:type="auto" w:w="0"/>
        <w:tblLook w:firstColumn="1" w:firstRow="1" w:lastColumn="0" w:lastRow="0" w:noHBand="0" w:noVBand="1" w:val="04A0"/>
      </w:tblPr>
      <w:tblGrid>
        <w:gridCol w:w="3249"/>
        <w:gridCol w:w="3249"/>
        <w:gridCol w:w="3249"/>
      </w:tblGrid>
      <w:tr>
        <w:tc>
          <w:tcPr>
            <w:tcW w:type="dxa" w:w="3249"/>
            <w:shd w:val="clear" w:color="auto" w:fill="1E40AF"/>
          </w:tcPr>
          <w:p>
            <w:r/>
            <w:r>
              <w:rPr>
                <w:rFonts w:ascii="Calibri" w:hAnsi="Calibri"/>
                <w:b/>
                <w:color w:val="FFFFFF"/>
                <w:sz w:val="20"/>
              </w:rPr>
              <w:t>Constraint</w:t>
            </w:r>
          </w:p>
        </w:tc>
        <w:tc>
          <w:tcPr>
            <w:tcW w:type="dxa" w:w="3249"/>
            <w:shd w:val="clear" w:color="auto" w:fill="1E40AF"/>
          </w:tcPr>
          <w:p>
            <w:r/>
            <w:r>
              <w:rPr>
                <w:rFonts w:ascii="Calibri" w:hAnsi="Calibri"/>
                <w:b/>
                <w:color w:val="FFFFFF"/>
                <w:sz w:val="20"/>
              </w:rPr>
              <w:t>Source</w:t>
            </w:r>
          </w:p>
        </w:tc>
        <w:tc>
          <w:tcPr>
            <w:tcW w:type="dxa" w:w="3249"/>
            <w:shd w:val="clear" w:color="auto" w:fill="1E40AF"/>
          </w:tcPr>
          <w:p>
            <w:r/>
            <w:r>
              <w:rPr>
                <w:rFonts w:ascii="Calibri" w:hAnsi="Calibri"/>
                <w:b/>
                <w:color w:val="FFFFFF"/>
                <w:sz w:val="20"/>
              </w:rPr>
              <w:t>Cannot be relaxed because</w:t>
            </w:r>
          </w:p>
        </w:tc>
      </w:tr>
      <w:tr>
        <w:tc>
          <w:tcPr>
            <w:tcW w:type="dxa" w:w="3249"/>
          </w:tcPr>
          <w:p>
            <w:r/>
            <w:r>
              <w:rPr>
                <w:rFonts w:ascii="Calibri" w:hAnsi="Calibri"/>
                <w:b/>
                <w:color w:val="0F172A"/>
                <w:sz w:val="18"/>
              </w:rPr>
              <w:t>NIS2 (EU)</w:t>
            </w:r>
            <w:r>
              <w:rPr>
                <w:rFonts w:ascii="Calibri" w:hAnsi="Calibri"/>
                <w:color w:val="0F172A"/>
                <w:sz w:val="18"/>
              </w:rPr>
              <w:t xml:space="preserve"> compliance: administrative fines up to €10M or 2% of global turnover</w:t>
            </w:r>
          </w:p>
        </w:tc>
        <w:tc>
          <w:tcPr>
            <w:tcW w:type="dxa" w:w="3249"/>
          </w:tcPr>
          <w:p>
            <w:r/>
            <w:r>
              <w:rPr>
                <w:rFonts w:ascii="Calibri" w:hAnsi="Calibri"/>
                <w:color w:val="0F172A"/>
                <w:sz w:val="18"/>
              </w:rPr>
              <w:t>EU NIS2 Directive Art. 34</w:t>
            </w:r>
          </w:p>
        </w:tc>
        <w:tc>
          <w:tcPr>
            <w:tcW w:type="dxa" w:w="3249"/>
          </w:tcPr>
          <w:p>
            <w:r/>
            <w:r>
              <w:rPr>
                <w:rFonts w:ascii="Calibri" w:hAnsi="Calibri"/>
                <w:color w:val="0F172A"/>
                <w:sz w:val="18"/>
              </w:rPr>
              <w:t>EU regulation; non-compliance is a board-level liability</w:t>
            </w:r>
          </w:p>
        </w:tc>
      </w:tr>
      <w:tr>
        <w:tc>
          <w:tcPr>
            <w:tcW w:type="dxa" w:w="3249"/>
          </w:tcPr>
          <w:p>
            <w:r/>
            <w:r>
              <w:rPr>
                <w:rFonts w:ascii="Calibri" w:hAnsi="Calibri"/>
                <w:b/>
                <w:color w:val="0F172A"/>
                <w:sz w:val="18"/>
              </w:rPr>
              <w:t>IEC 62443</w:t>
            </w:r>
            <w:r>
              <w:rPr>
                <w:rFonts w:ascii="Calibri" w:hAnsi="Calibri"/>
                <w:color w:val="0F172A"/>
                <w:sz w:val="18"/>
              </w:rPr>
              <w:t xml:space="preserve"> compliance for OT security</w:t>
            </w:r>
          </w:p>
        </w:tc>
        <w:tc>
          <w:tcPr>
            <w:tcW w:type="dxa" w:w="3249"/>
          </w:tcPr>
          <w:p>
            <w:r/>
            <w:r>
              <w:rPr>
                <w:rFonts w:ascii="Calibri" w:hAnsi="Calibri"/>
                <w:color w:val="0F172A"/>
                <w:sz w:val="18"/>
              </w:rPr>
              <w:t>Industry standard; OEM contractual requirement</w:t>
            </w:r>
          </w:p>
        </w:tc>
        <w:tc>
          <w:tcPr>
            <w:tcW w:type="dxa" w:w="3249"/>
          </w:tcPr>
          <w:p>
            <w:r/>
            <w:r>
              <w:rPr>
                <w:rFonts w:ascii="Calibri" w:hAnsi="Calibri"/>
                <w:color w:val="0F172A"/>
                <w:sz w:val="18"/>
              </w:rPr>
              <w:t>Standard practice; OEM attestation requires it</w:t>
            </w:r>
          </w:p>
        </w:tc>
      </w:tr>
      <w:tr>
        <w:tc>
          <w:tcPr>
            <w:tcW w:type="dxa" w:w="3249"/>
          </w:tcPr>
          <w:p>
            <w:r/>
            <w:r>
              <w:rPr>
                <w:rFonts w:ascii="Calibri" w:hAnsi="Calibri"/>
                <w:b/>
                <w:color w:val="0F172A"/>
                <w:sz w:val="18"/>
              </w:rPr>
              <w:t>OEM cyber attestation</w:t>
            </w:r>
            <w:r>
              <w:rPr>
                <w:rFonts w:ascii="Calibri" w:hAnsi="Calibri"/>
                <w:color w:val="0F172A"/>
                <w:sz w:val="18"/>
              </w:rPr>
              <w:t xml:space="preserve"> requirements (VW, BMW, Stellantis, others)</w:t>
            </w:r>
          </w:p>
        </w:tc>
        <w:tc>
          <w:tcPr>
            <w:tcW w:type="dxa" w:w="3249"/>
          </w:tcPr>
          <w:p>
            <w:r/>
            <w:r>
              <w:rPr>
                <w:rFonts w:ascii="Calibri" w:hAnsi="Calibri"/>
                <w:color w:val="0F172A"/>
                <w:sz w:val="18"/>
              </w:rPr>
              <w:t>OEM supplier contracts</w:t>
            </w:r>
          </w:p>
        </w:tc>
        <w:tc>
          <w:tcPr>
            <w:tcW w:type="dxa" w:w="3249"/>
          </w:tcPr>
          <w:p>
            <w:r/>
            <w:r>
              <w:rPr>
                <w:rFonts w:ascii="Calibri" w:hAnsi="Calibri"/>
                <w:color w:val="0F172A"/>
                <w:sz w:val="18"/>
              </w:rPr>
              <w:t>Loss of attestation = loss of supply contract</w:t>
            </w:r>
          </w:p>
        </w:tc>
      </w:tr>
      <w:tr>
        <w:tc>
          <w:tcPr>
            <w:tcW w:type="dxa" w:w="3249"/>
          </w:tcPr>
          <w:p>
            <w:r/>
            <w:r>
              <w:rPr>
                <w:rFonts w:ascii="Calibri" w:hAnsi="Calibri"/>
                <w:b/>
                <w:color w:val="0F172A"/>
                <w:sz w:val="18"/>
              </w:rPr>
              <w:t>GDPR</w:t>
            </w:r>
            <w:r>
              <w:rPr>
                <w:rFonts w:ascii="Calibri" w:hAnsi="Calibri"/>
                <w:color w:val="0F172A"/>
                <w:sz w:val="18"/>
              </w:rPr>
              <w:t xml:space="preserve"> (where personal data is in scope, e.g. operator credentials, audit logs)</w:t>
            </w:r>
          </w:p>
        </w:tc>
        <w:tc>
          <w:tcPr>
            <w:tcW w:type="dxa" w:w="3249"/>
          </w:tcPr>
          <w:p>
            <w:r/>
            <w:r>
              <w:rPr>
                <w:rFonts w:ascii="Calibri" w:hAnsi="Calibri"/>
                <w:color w:val="0F172A"/>
                <w:sz w:val="18"/>
              </w:rPr>
              <w:t>EU GDPR Art. 83</w:t>
            </w:r>
          </w:p>
        </w:tc>
        <w:tc>
          <w:tcPr>
            <w:tcW w:type="dxa" w:w="3249"/>
          </w:tcPr>
          <w:p>
            <w:r/>
            <w:r>
              <w:rPr>
                <w:rFonts w:ascii="Calibri" w:hAnsi="Calibri"/>
                <w:color w:val="0F172A"/>
                <w:sz w:val="18"/>
              </w:rPr>
              <w:t>Up to €20M or 4% of global turnover</w:t>
            </w:r>
          </w:p>
        </w:tc>
      </w:tr>
      <w:tr>
        <w:tc>
          <w:tcPr>
            <w:tcW w:type="dxa" w:w="3249"/>
          </w:tcPr>
          <w:p>
            <w:r/>
            <w:r>
              <w:rPr>
                <w:rFonts w:ascii="Calibri" w:hAnsi="Calibri"/>
                <w:b/>
                <w:color w:val="0F172A"/>
                <w:sz w:val="18"/>
              </w:rPr>
              <w:t>EU Product Liability Directive 2024/2853</w:t>
            </w:r>
            <w:r>
              <w:rPr>
                <w:rFonts w:ascii="Calibri" w:hAnsi="Calibri"/>
                <w:color w:val="0F172A"/>
                <w:sz w:val="18"/>
              </w:rPr>
              <w:t xml:space="preserve"> (safety-critical compromise)</w:t>
            </w:r>
          </w:p>
        </w:tc>
        <w:tc>
          <w:tcPr>
            <w:tcW w:type="dxa" w:w="3249"/>
          </w:tcPr>
          <w:p>
            <w:r/>
            <w:r>
              <w:rPr>
                <w:rFonts w:ascii="Calibri" w:hAnsi="Calibri"/>
                <w:color w:val="0F172A"/>
                <w:sz w:val="18"/>
              </w:rPr>
              <w:t>EU PLD</w:t>
            </w:r>
          </w:p>
        </w:tc>
        <w:tc>
          <w:tcPr>
            <w:tcW w:type="dxa" w:w="3249"/>
          </w:tcPr>
          <w:p>
            <w:r/>
            <w:r>
              <w:rPr>
                <w:rFonts w:ascii="Calibri" w:hAnsi="Calibri"/>
                <w:color w:val="0F172A"/>
                <w:sz w:val="18"/>
              </w:rPr>
              <w:t>Strict liability, uncapped</w:t>
            </w:r>
          </w:p>
        </w:tc>
      </w:tr>
    </w:tbl>
    <w:p/>
    <w:p>
      <w:r>
        <w:rPr>
          <w:rFonts w:ascii="Calibri" w:hAnsi="Calibri"/>
          <w:b/>
          <w:sz w:val="22"/>
        </w:rPr>
        <w:t>Implication:</w:t>
      </w:r>
      <w:r>
        <w:rPr>
          <w:rFonts w:ascii="Calibri" w:hAnsi="Calibri"/>
          <w:sz w:val="22"/>
        </w:rPr>
        <w:t xml:space="preserve"> Regulatory non-compliance is a Tier 4 escalation. The engagement's Tile 8 (Regulatory &amp; Compliance) on the Executive Dashboard is the primary tracking mechanism.</w:t>
      </w:r>
    </w:p>
    <w:p>
      <w:pPr>
        <w:pBdr>
          <w:bottom w:val="single" w:sz="6" w:space="1" w:color="CBD5E1"/>
        </w:pBdr>
      </w:pPr>
    </w:p>
    <w:p>
      <w:r>
        <w:rPr>
          <w:rFonts w:ascii="Calibri" w:hAnsi="Calibri"/>
          <w:b/>
          <w:color w:val="0F172A"/>
          <w:sz w:val="28"/>
        </w:rPr>
        <w:t>8.2 Assumptions</w:t>
      </w:r>
    </w:p>
    <w:p>
      <w:r>
        <w:rPr>
          <w:rFonts w:ascii="Calibri" w:hAnsi="Calibri"/>
          <w:sz w:val="22"/>
        </w:rPr>
        <w:t>The engagement's plan is built on the following assumptions. If any of these is materially wrong, the engagement scope or timeline may need to be re-baselined (Tier 3 escalation to CISO).</w:t>
      </w:r>
    </w:p>
    <w:tbl>
      <w:tblPr>
        <w:tblStyle w:val="LightGrid-Accent1"/>
        <w:tblW w:type="auto" w:w="0"/>
        <w:tblLook w:firstColumn="1" w:firstRow="1" w:lastColumn="0" w:lastRow="0" w:noHBand="0" w:noVBand="1" w:val="04A0"/>
      </w:tblPr>
      <w:tblGrid>
        <w:gridCol w:w="3249"/>
        <w:gridCol w:w="3249"/>
        <w:gridCol w:w="3249"/>
      </w:tblGrid>
      <w:tr>
        <w:tc>
          <w:tcPr>
            <w:tcW w:type="dxa" w:w="3249"/>
            <w:shd w:val="clear" w:color="auto" w:fill="1E40AF"/>
          </w:tcPr>
          <w:p>
            <w:r/>
            <w:r>
              <w:rPr>
                <w:rFonts w:ascii="Calibri" w:hAnsi="Calibri"/>
                <w:b/>
                <w:color w:val="FFFFFF"/>
                <w:sz w:val="20"/>
              </w:rPr>
              <w:t>#</w:t>
            </w:r>
          </w:p>
        </w:tc>
        <w:tc>
          <w:tcPr>
            <w:tcW w:type="dxa" w:w="3249"/>
            <w:shd w:val="clear" w:color="auto" w:fill="1E40AF"/>
          </w:tcPr>
          <w:p>
            <w:r/>
            <w:r>
              <w:rPr>
                <w:rFonts w:ascii="Calibri" w:hAnsi="Calibri"/>
                <w:b/>
                <w:color w:val="FFFFFF"/>
                <w:sz w:val="20"/>
              </w:rPr>
              <w:t>Assumption</w:t>
            </w:r>
          </w:p>
        </w:tc>
        <w:tc>
          <w:tcPr>
            <w:tcW w:type="dxa" w:w="3249"/>
            <w:shd w:val="clear" w:color="auto" w:fill="1E40AF"/>
          </w:tcPr>
          <w:p>
            <w:r/>
            <w:r>
              <w:rPr>
                <w:rFonts w:ascii="Calibri" w:hAnsi="Calibri"/>
                <w:b/>
                <w:color w:val="FFFFFF"/>
                <w:sz w:val="20"/>
              </w:rPr>
              <w:t>If wrong, impact</w:t>
            </w:r>
          </w:p>
        </w:tc>
      </w:tr>
      <w:tr>
        <w:tc>
          <w:tcPr>
            <w:tcW w:type="dxa" w:w="3249"/>
          </w:tcPr>
          <w:p>
            <w:r/>
            <w:r>
              <w:rPr>
                <w:rFonts w:ascii="Calibri" w:hAnsi="Calibri"/>
                <w:color w:val="0F172A"/>
                <w:sz w:val="18"/>
              </w:rPr>
              <w:t>A1</w:t>
            </w:r>
          </w:p>
        </w:tc>
        <w:tc>
          <w:tcPr>
            <w:tcW w:type="dxa" w:w="3249"/>
          </w:tcPr>
          <w:p>
            <w:r/>
            <w:r>
              <w:rPr>
                <w:rFonts w:ascii="Calibri" w:hAnsi="Calibri"/>
                <w:color w:val="0F172A"/>
                <w:sz w:val="18"/>
              </w:rPr>
              <w:t>The 19 Green Belts can be allocated at 10% weekly capacity for the 12-week push</w:t>
            </w:r>
          </w:p>
        </w:tc>
        <w:tc>
          <w:tcPr>
            <w:tcW w:type="dxa" w:w="3249"/>
          </w:tcPr>
          <w:p>
            <w:r/>
            <w:r>
              <w:rPr>
                <w:rFonts w:ascii="Calibri" w:hAnsi="Calibri"/>
                <w:color w:val="0F172A"/>
                <w:sz w:val="18"/>
              </w:rPr>
              <w:t>Engagement re-scope; capacity extension to CISO</w:t>
            </w:r>
          </w:p>
        </w:tc>
      </w:tr>
      <w:tr>
        <w:tc>
          <w:tcPr>
            <w:tcW w:type="dxa" w:w="3249"/>
          </w:tcPr>
          <w:p>
            <w:r/>
            <w:r>
              <w:rPr>
                <w:rFonts w:ascii="Calibri" w:hAnsi="Calibri"/>
                <w:color w:val="0F172A"/>
                <w:sz w:val="18"/>
              </w:rPr>
              <w:t>A2</w:t>
            </w:r>
          </w:p>
        </w:tc>
        <w:tc>
          <w:tcPr>
            <w:tcW w:type="dxa" w:w="3249"/>
          </w:tcPr>
          <w:p>
            <w:r/>
            <w:r>
              <w:rPr>
                <w:rFonts w:ascii="Calibri" w:hAnsi="Calibri"/>
                <w:color w:val="0F172A"/>
                <w:sz w:val="18"/>
              </w:rPr>
              <w:t>The CISO's team can stand up the anonymisation pipeline within the first 3 weeks (G1)</w:t>
            </w:r>
          </w:p>
        </w:tc>
        <w:tc>
          <w:tcPr>
            <w:tcW w:type="dxa" w:w="3249"/>
          </w:tcPr>
          <w:p>
            <w:r/>
            <w:r>
              <w:rPr>
                <w:rFonts w:ascii="Calibri" w:hAnsi="Calibri"/>
                <w:color w:val="0F172A"/>
                <w:sz w:val="18"/>
              </w:rPr>
              <w:t>Data lake deployment slips; DP-1 triggered; possible 2-week extension</w:t>
            </w:r>
          </w:p>
        </w:tc>
      </w:tr>
      <w:tr>
        <w:tc>
          <w:tcPr>
            <w:tcW w:type="dxa" w:w="3249"/>
          </w:tcPr>
          <w:p>
            <w:r/>
            <w:r>
              <w:rPr>
                <w:rFonts w:ascii="Calibri" w:hAnsi="Calibri"/>
                <w:color w:val="0F172A"/>
                <w:sz w:val="18"/>
              </w:rPr>
              <w:t>A3</w:t>
            </w:r>
          </w:p>
        </w:tc>
        <w:tc>
          <w:tcPr>
            <w:tcW w:type="dxa" w:w="3249"/>
          </w:tcPr>
          <w:p>
            <w:r/>
            <w:r>
              <w:rPr>
                <w:rFonts w:ascii="Calibri" w:hAnsi="Calibri"/>
                <w:color w:val="0F172A"/>
                <w:sz w:val="18"/>
              </w:rPr>
              <w:t>The current OT environment has a baseline capability of Z = 2.0–3.0 (industry typical)</w:t>
            </w:r>
          </w:p>
        </w:tc>
        <w:tc>
          <w:tcPr>
            <w:tcW w:type="dxa" w:w="3249"/>
          </w:tcPr>
          <w:p>
            <w:r/>
            <w:r>
              <w:rPr>
                <w:rFonts w:ascii="Calibri" w:hAnsi="Calibri"/>
                <w:color w:val="0F172A"/>
                <w:sz w:val="18"/>
              </w:rPr>
              <w:t>If baseline is materially lower, the 12-week timeline may be insufficient; if materially higher, the timeline may compress</w:t>
            </w:r>
          </w:p>
        </w:tc>
      </w:tr>
      <w:tr>
        <w:tc>
          <w:tcPr>
            <w:tcW w:type="dxa" w:w="3249"/>
          </w:tcPr>
          <w:p>
            <w:r/>
            <w:r>
              <w:rPr>
                <w:rFonts w:ascii="Calibri" w:hAnsi="Calibri"/>
                <w:color w:val="0F172A"/>
                <w:sz w:val="18"/>
              </w:rPr>
              <w:t>A4</w:t>
            </w:r>
          </w:p>
        </w:tc>
        <w:tc>
          <w:tcPr>
            <w:tcW w:type="dxa" w:w="3249"/>
          </w:tcPr>
          <w:p>
            <w:r/>
            <w:r>
              <w:rPr>
                <w:rFonts w:ascii="Calibri" w:hAnsi="Calibri"/>
                <w:color w:val="0F172A"/>
                <w:sz w:val="18"/>
              </w:rPr>
              <w:t>Vendor remote-access landscape can be audited and brokered within 8 weeks</w:t>
            </w:r>
          </w:p>
        </w:tc>
        <w:tc>
          <w:tcPr>
            <w:tcW w:type="dxa" w:w="3249"/>
          </w:tcPr>
          <w:p>
            <w:r/>
            <w:r>
              <w:rPr>
                <w:rFonts w:ascii="Calibri" w:hAnsi="Calibri"/>
                <w:color w:val="0F172A"/>
                <w:sz w:val="18"/>
              </w:rPr>
              <w:t>If vendors are uncooperative or technically incompatible, the FMEA root causes for #7, #8, #11 cannot be fully remediated</w:t>
            </w:r>
          </w:p>
        </w:tc>
      </w:tr>
      <w:tr>
        <w:tc>
          <w:tcPr>
            <w:tcW w:type="dxa" w:w="3249"/>
          </w:tcPr>
          <w:p>
            <w:r/>
            <w:r>
              <w:rPr>
                <w:rFonts w:ascii="Calibri" w:hAnsi="Calibri"/>
                <w:color w:val="0F172A"/>
                <w:sz w:val="18"/>
              </w:rPr>
              <w:t>A5</w:t>
            </w:r>
          </w:p>
        </w:tc>
        <w:tc>
          <w:tcPr>
            <w:tcW w:type="dxa" w:w="3249"/>
          </w:tcPr>
          <w:p>
            <w:r/>
            <w:r>
              <w:rPr>
                <w:rFonts w:ascii="Calibri" w:hAnsi="Calibri"/>
                <w:color w:val="0F172A"/>
                <w:sz w:val="18"/>
              </w:rPr>
              <w:t>The AI agent feasibility decision (build/buy/defer) can be made by end of Measure (W5)</w:t>
            </w:r>
          </w:p>
        </w:tc>
        <w:tc>
          <w:tcPr>
            <w:tcW w:type="dxa" w:w="3249"/>
          </w:tcPr>
          <w:p>
            <w:r/>
            <w:r>
              <w:rPr>
                <w:rFonts w:ascii="Calibri" w:hAnsi="Calibri"/>
                <w:color w:val="0F172A"/>
                <w:sz w:val="18"/>
              </w:rPr>
              <w:t>If unclear, DP-3 triggered; Track C allocation adjustment</w:t>
            </w:r>
          </w:p>
        </w:tc>
      </w:tr>
      <w:tr>
        <w:tc>
          <w:tcPr>
            <w:tcW w:type="dxa" w:w="3249"/>
          </w:tcPr>
          <w:p>
            <w:r/>
            <w:r>
              <w:rPr>
                <w:rFonts w:ascii="Calibri" w:hAnsi="Calibri"/>
                <w:color w:val="0F172A"/>
                <w:sz w:val="18"/>
              </w:rPr>
              <w:t>A6</w:t>
            </w:r>
          </w:p>
        </w:tc>
        <w:tc>
          <w:tcPr>
            <w:tcW w:type="dxa" w:w="3249"/>
          </w:tcPr>
          <w:p>
            <w:r/>
            <w:r>
              <w:rPr>
                <w:rFonts w:ascii="Calibri" w:hAnsi="Calibri"/>
                <w:color w:val="0F172A"/>
                <w:sz w:val="18"/>
              </w:rPr>
              <w:t>The CISO is available for the 5 tollgates (G1–G5) on the scheduled dates</w:t>
            </w:r>
          </w:p>
        </w:tc>
        <w:tc>
          <w:tcPr>
            <w:tcW w:type="dxa" w:w="3249"/>
          </w:tcPr>
          <w:p>
            <w:r/>
            <w:r>
              <w:rPr>
                <w:rFonts w:ascii="Calibri" w:hAnsi="Calibri"/>
                <w:color w:val="0F172A"/>
                <w:sz w:val="18"/>
              </w:rPr>
              <w:t>If CISO delegates, engagement quality depends on delegate authority</w:t>
            </w:r>
          </w:p>
        </w:tc>
      </w:tr>
      <w:tr>
        <w:tc>
          <w:tcPr>
            <w:tcW w:type="dxa" w:w="3249"/>
          </w:tcPr>
          <w:p>
            <w:r/>
            <w:r>
              <w:rPr>
                <w:rFonts w:ascii="Calibri" w:hAnsi="Calibri"/>
                <w:color w:val="0F172A"/>
                <w:sz w:val="18"/>
              </w:rPr>
              <w:t>A7</w:t>
            </w:r>
          </w:p>
        </w:tc>
        <w:tc>
          <w:tcPr>
            <w:tcW w:type="dxa" w:w="3249"/>
          </w:tcPr>
          <w:p>
            <w:r/>
            <w:r>
              <w:rPr>
                <w:rFonts w:ascii="Calibri" w:hAnsi="Calibri"/>
                <w:color w:val="0F172A"/>
                <w:sz w:val="18"/>
              </w:rPr>
              <w:t>The Operations Director is available for the G5 joint sign-off</w:t>
            </w:r>
          </w:p>
        </w:tc>
        <w:tc>
          <w:tcPr>
            <w:tcW w:type="dxa" w:w="3249"/>
          </w:tcPr>
          <w:p>
            <w:r/>
            <w:r>
              <w:rPr>
                <w:rFonts w:ascii="Calibri" w:hAnsi="Calibri"/>
                <w:color w:val="0F172A"/>
                <w:sz w:val="18"/>
              </w:rPr>
              <w:t>If unavailable, G5 may slip; engagement handover delayed</w:t>
            </w:r>
          </w:p>
        </w:tc>
      </w:tr>
      <w:tr>
        <w:tc>
          <w:tcPr>
            <w:tcW w:type="dxa" w:w="3249"/>
          </w:tcPr>
          <w:p>
            <w:r/>
            <w:r>
              <w:rPr>
                <w:rFonts w:ascii="Calibri" w:hAnsi="Calibri"/>
                <w:color w:val="0F172A"/>
                <w:sz w:val="18"/>
              </w:rPr>
              <w:t>A8</w:t>
            </w:r>
          </w:p>
        </w:tc>
        <w:tc>
          <w:tcPr>
            <w:tcW w:type="dxa" w:w="3249"/>
          </w:tcPr>
          <w:p>
            <w:r/>
            <w:r>
              <w:rPr>
                <w:rFonts w:ascii="Calibri" w:hAnsi="Calibri"/>
                <w:color w:val="0F172A"/>
                <w:sz w:val="18"/>
              </w:rPr>
              <w:t>The engagement's 1.9 FTE is sufficient for the 12-week scope</w:t>
            </w:r>
          </w:p>
        </w:tc>
        <w:tc>
          <w:tcPr>
            <w:tcW w:type="dxa" w:w="3249"/>
          </w:tcPr>
          <w:p>
            <w:r/>
            <w:r>
              <w:rPr>
                <w:rFonts w:ascii="Calibri" w:hAnsi="Calibri"/>
                <w:color w:val="0F172A"/>
                <w:sz w:val="18"/>
              </w:rPr>
              <w:t>If GBs report over-allocation, scope reduction required (CISO decision)</w:t>
            </w:r>
          </w:p>
        </w:tc>
      </w:tr>
      <w:tr>
        <w:tc>
          <w:tcPr>
            <w:tcW w:type="dxa" w:w="3249"/>
          </w:tcPr>
          <w:p>
            <w:r/>
            <w:r>
              <w:rPr>
                <w:rFonts w:ascii="Calibri" w:hAnsi="Calibri"/>
                <w:color w:val="0F172A"/>
                <w:sz w:val="18"/>
              </w:rPr>
              <w:t>A9</w:t>
            </w:r>
          </w:p>
        </w:tc>
        <w:tc>
          <w:tcPr>
            <w:tcW w:type="dxa" w:w="3249"/>
          </w:tcPr>
          <w:p>
            <w:r/>
            <w:r>
              <w:rPr>
                <w:rFonts w:ascii="Calibri" w:hAnsi="Calibri"/>
                <w:color w:val="0F172A"/>
                <w:sz w:val="18"/>
              </w:rPr>
              <w:t>Site MBBs are available for the cross-site replication phase (post-G5)</w:t>
            </w:r>
          </w:p>
        </w:tc>
        <w:tc>
          <w:tcPr>
            <w:tcW w:type="dxa" w:w="3249"/>
          </w:tcPr>
          <w:p>
            <w:r/>
            <w:r>
              <w:rPr>
                <w:rFonts w:ascii="Calibri" w:hAnsi="Calibri"/>
                <w:color w:val="0F172A"/>
                <w:sz w:val="18"/>
              </w:rPr>
              <w:t>If site MBBs are unavailable, replication timeline extends</w:t>
            </w:r>
          </w:p>
        </w:tc>
      </w:tr>
      <w:tr>
        <w:tc>
          <w:tcPr>
            <w:tcW w:type="dxa" w:w="3249"/>
          </w:tcPr>
          <w:p>
            <w:r/>
            <w:r>
              <w:rPr>
                <w:rFonts w:ascii="Calibri" w:hAnsi="Calibri"/>
                <w:color w:val="0F172A"/>
                <w:sz w:val="18"/>
              </w:rPr>
              <w:t>A10</w:t>
            </w:r>
          </w:p>
        </w:tc>
        <w:tc>
          <w:tcPr>
            <w:tcW w:type="dxa" w:w="3249"/>
          </w:tcPr>
          <w:p>
            <w:r/>
            <w:r>
              <w:rPr>
                <w:rFonts w:ascii="Calibri" w:hAnsi="Calibri"/>
                <w:color w:val="0F172A"/>
                <w:sz w:val="18"/>
              </w:rPr>
              <w:t>The current regulatory environment (NIS2, IEC 62443, OEM attestation) is stable for the 12-week push</w:t>
            </w:r>
          </w:p>
        </w:tc>
        <w:tc>
          <w:tcPr>
            <w:tcW w:type="dxa" w:w="3249"/>
          </w:tcPr>
          <w:p>
            <w:r/>
            <w:r>
              <w:rPr>
                <w:rFonts w:ascii="Calibri" w:hAnsi="Calibri"/>
                <w:color w:val="0F172A"/>
                <w:sz w:val="18"/>
              </w:rPr>
              <w:t>If regulatory change mid-engagement, scope re-baseline (Kaizen trigger #4)</w:t>
            </w:r>
          </w:p>
        </w:tc>
      </w:tr>
    </w:tbl>
    <w:p/>
    <w:p>
      <w:pPr>
        <w:pBdr>
          <w:bottom w:val="single" w:sz="6" w:space="1" w:color="CBD5E1"/>
        </w:pBdr>
      </w:pPr>
    </w:p>
    <w:p>
      <w:r>
        <w:rPr>
          <w:rFonts w:ascii="Calibri" w:hAnsi="Calibri"/>
          <w:b/>
          <w:color w:val="0F172A"/>
          <w:sz w:val="28"/>
        </w:rPr>
        <w:t>8.3 Engagement Risks</w:t>
      </w:r>
    </w:p>
    <w:p>
      <w:r>
        <w:rPr>
          <w:rFonts w:ascii="Calibri" w:hAnsi="Calibri"/>
          <w:sz w:val="22"/>
        </w:rPr>
        <w:t>Engagement risks are the foreseeable events that could derail the 12-week push. Each risk is scored on a 5×5 probability-impact matrix and has explicit mitigation, owner, and status.</w:t>
      </w:r>
    </w:p>
    <w:p>
      <w:r>
        <w:rPr>
          <w:rFonts w:ascii="Calibri" w:hAnsi="Calibri"/>
          <w:b/>
          <w:color w:val="0F172A"/>
          <w:sz w:val="24"/>
        </w:rPr>
        <w:t>8.3.1 Risk Scoring Matrix</w:t>
      </w:r>
    </w:p>
    <w:p>
      <w:pPr>
        <w:shd w:val="clear" w:color="auto" w:fill="F1F5F9"/>
        <w:pBdr>
          <w:top w:val="single" w:sz="4" w:space="4" w:color="E2E8F0"/>
          <w:left w:val="single" w:sz="4" w:space="4" w:color="E2E8F0"/>
          <w:bottom w:val="single" w:sz="4" w:space="4" w:color="E2E8F0"/>
          <w:right w:val="single" w:sz="4" w:space="4" w:color="E2E8F0"/>
        </w:pBdr>
      </w:pPr>
      <w:r>
        <w:rPr>
          <w:rFonts w:ascii="Consolas" w:hAnsi="Consolas"/>
          <w:color w:val="334155"/>
          <w:sz w:val="18"/>
        </w:rPr>
        <w:t>Impact →     1 (Low)  2  3 (Med)  4  5 (High)</w:t>
        <w:br/>
      </w:r>
      <w:r>
        <w:rPr>
          <w:rFonts w:ascii="Consolas" w:hAnsi="Consolas"/>
          <w:color w:val="334155"/>
          <w:sz w:val="18"/>
        </w:rPr>
        <w:t>Prob ↓</w:t>
        <w:br/>
      </w:r>
      <w:r>
        <w:rPr>
          <w:rFonts w:ascii="Consolas" w:hAnsi="Consolas"/>
          <w:color w:val="334155"/>
          <w:sz w:val="18"/>
        </w:rPr>
        <w:t>1 (Low)      1        2   3        4   5</w:t>
        <w:br/>
      </w:r>
      <w:r>
        <w:rPr>
          <w:rFonts w:ascii="Consolas" w:hAnsi="Consolas"/>
          <w:color w:val="334155"/>
          <w:sz w:val="18"/>
        </w:rPr>
        <w:t>2            2        4   6        8   10</w:t>
        <w:br/>
      </w:r>
      <w:r>
        <w:rPr>
          <w:rFonts w:ascii="Consolas" w:hAnsi="Consolas"/>
          <w:color w:val="334155"/>
          <w:sz w:val="18"/>
        </w:rPr>
        <w:t>3 (Med)      3        6   9        12  15</w:t>
        <w:br/>
      </w:r>
      <w:r>
        <w:rPr>
          <w:rFonts w:ascii="Consolas" w:hAnsi="Consolas"/>
          <w:color w:val="334155"/>
          <w:sz w:val="18"/>
        </w:rPr>
        <w:t>4            4        8   12       16  20</w:t>
        <w:br/>
      </w:r>
      <w:r>
        <w:rPr>
          <w:rFonts w:ascii="Consolas" w:hAnsi="Consolas"/>
          <w:color w:val="334155"/>
          <w:sz w:val="18"/>
        </w:rPr>
        <w:t>5 (High)     5        10  15       20  25</w:t>
        <w:br/>
      </w:r>
      <w:r>
        <w:rPr>
          <w:rFonts w:ascii="Consolas" w:hAnsi="Consolas"/>
          <w:color w:val="334155"/>
          <w:sz w:val="18"/>
        </w:rPr>
        <w:br/>
      </w:r>
      <w:r>
        <w:rPr>
          <w:rFonts w:ascii="Consolas" w:hAnsi="Consolas"/>
          <w:color w:val="334155"/>
          <w:sz w:val="18"/>
        </w:rPr>
        <w:t>Threshold:   ≥ 12  →  Active mitigation required</w:t>
        <w:br/>
      </w:r>
      <w:r>
        <w:rPr>
          <w:rFonts w:ascii="Consolas" w:hAnsi="Consolas"/>
          <w:color w:val="334155"/>
          <w:sz w:val="18"/>
        </w:rPr>
        <w:t xml:space="preserve">             ≥ 16  →  Escalation to CISO</w:t>
        <w:br/>
      </w:r>
      <w:r>
        <w:rPr>
          <w:rFonts w:ascii="Consolas" w:hAnsi="Consolas"/>
          <w:color w:val="334155"/>
          <w:sz w:val="18"/>
        </w:rPr>
        <w:t xml:space="preserve">             &lt; 6   →  Acceptable; monitor</w:t>
      </w:r>
    </w:p>
    <w:p>
      <w:r>
        <w:rPr>
          <w:rFonts w:ascii="Calibri" w:hAnsi="Calibri"/>
          <w:b/>
          <w:color w:val="0F172A"/>
          <w:sz w:val="24"/>
        </w:rPr>
        <w:t>8.3.2 Risk Register (Top 8 Engagement Risks — Sharpest Register)</w:t>
      </w:r>
    </w:p>
    <w:tbl>
      <w:tblPr>
        <w:tblStyle w:val="LightGrid-Accent1"/>
        <w:tblW w:type="auto" w:w="0"/>
        <w:tblLook w:firstColumn="1" w:firstRow="1" w:lastColumn="0" w:lastRow="0" w:noHBand="0" w:noVBand="1" w:val="04A0"/>
      </w:tblPr>
      <w:tblGrid>
        <w:gridCol w:w="1218"/>
        <w:gridCol w:w="1218"/>
        <w:gridCol w:w="1218"/>
        <w:gridCol w:w="1218"/>
        <w:gridCol w:w="1218"/>
        <w:gridCol w:w="1218"/>
        <w:gridCol w:w="1218"/>
        <w:gridCol w:w="1218"/>
      </w:tblGrid>
      <w:tr>
        <w:tc>
          <w:tcPr>
            <w:tcW w:type="dxa" w:w="1218"/>
            <w:shd w:val="clear" w:color="auto" w:fill="1E40AF"/>
          </w:tcPr>
          <w:p>
            <w:r/>
            <w:r>
              <w:rPr>
                <w:rFonts w:ascii="Calibri" w:hAnsi="Calibri"/>
                <w:b/>
                <w:color w:val="FFFFFF"/>
                <w:sz w:val="20"/>
              </w:rPr>
              <w:t>#</w:t>
            </w:r>
          </w:p>
        </w:tc>
        <w:tc>
          <w:tcPr>
            <w:tcW w:type="dxa" w:w="1218"/>
            <w:shd w:val="clear" w:color="auto" w:fill="1E40AF"/>
          </w:tcPr>
          <w:p>
            <w:r/>
            <w:r>
              <w:rPr>
                <w:rFonts w:ascii="Calibri" w:hAnsi="Calibri"/>
                <w:b/>
                <w:color w:val="FFFFFF"/>
                <w:sz w:val="20"/>
              </w:rPr>
              <w:t>Risk</w:t>
            </w:r>
          </w:p>
        </w:tc>
        <w:tc>
          <w:tcPr>
            <w:tcW w:type="dxa" w:w="1218"/>
            <w:shd w:val="clear" w:color="auto" w:fill="1E40AF"/>
          </w:tcPr>
          <w:p>
            <w:r/>
            <w:r>
              <w:rPr>
                <w:rFonts w:ascii="Calibri" w:hAnsi="Calibri"/>
                <w:b/>
                <w:color w:val="FFFFFF"/>
                <w:sz w:val="20"/>
              </w:rPr>
              <w:t>Prob</w:t>
            </w:r>
          </w:p>
        </w:tc>
        <w:tc>
          <w:tcPr>
            <w:tcW w:type="dxa" w:w="1218"/>
            <w:shd w:val="clear" w:color="auto" w:fill="1E40AF"/>
          </w:tcPr>
          <w:p>
            <w:r/>
            <w:r>
              <w:rPr>
                <w:rFonts w:ascii="Calibri" w:hAnsi="Calibri"/>
                <w:b/>
                <w:color w:val="FFFFFF"/>
                <w:sz w:val="20"/>
              </w:rPr>
              <w:t>Impact</w:t>
            </w:r>
          </w:p>
        </w:tc>
        <w:tc>
          <w:tcPr>
            <w:tcW w:type="dxa" w:w="1218"/>
            <w:shd w:val="clear" w:color="auto" w:fill="1E40AF"/>
          </w:tcPr>
          <w:p>
            <w:r/>
            <w:r>
              <w:rPr>
                <w:rFonts w:ascii="Calibri" w:hAnsi="Calibri"/>
                <w:b/>
                <w:color w:val="FFFFFF"/>
                <w:sz w:val="20"/>
              </w:rPr>
              <w:t>Score</w:t>
            </w:r>
          </w:p>
        </w:tc>
        <w:tc>
          <w:tcPr>
            <w:tcW w:type="dxa" w:w="1218"/>
            <w:shd w:val="clear" w:color="auto" w:fill="1E40AF"/>
          </w:tcPr>
          <w:p>
            <w:r/>
            <w:r>
              <w:rPr>
                <w:rFonts w:ascii="Calibri" w:hAnsi="Calibri"/>
                <w:b/>
                <w:color w:val="FFFFFF"/>
                <w:sz w:val="20"/>
              </w:rPr>
              <w:t>Mitigation</w:t>
            </w:r>
          </w:p>
        </w:tc>
        <w:tc>
          <w:tcPr>
            <w:tcW w:type="dxa" w:w="1218"/>
            <w:shd w:val="clear" w:color="auto" w:fill="1E40AF"/>
          </w:tcPr>
          <w:p>
            <w:r/>
            <w:r>
              <w:rPr>
                <w:rFonts w:ascii="Calibri" w:hAnsi="Calibri"/>
                <w:b/>
                <w:color w:val="FFFFFF"/>
                <w:sz w:val="20"/>
              </w:rPr>
              <w:t>Owner</w:t>
            </w:r>
          </w:p>
        </w:tc>
        <w:tc>
          <w:tcPr>
            <w:tcW w:type="dxa" w:w="1218"/>
            <w:shd w:val="clear" w:color="auto" w:fill="1E40AF"/>
          </w:tcPr>
          <w:p>
            <w:r/>
            <w:r>
              <w:rPr>
                <w:rFonts w:ascii="Calibri" w:hAnsi="Calibri"/>
                <w:b/>
                <w:color w:val="FFFFFF"/>
                <w:sz w:val="20"/>
              </w:rPr>
              <w:t>Status</w:t>
            </w:r>
          </w:p>
        </w:tc>
      </w:tr>
      <w:tr>
        <w:tc>
          <w:tcPr>
            <w:tcW w:type="dxa" w:w="1218"/>
          </w:tcPr>
          <w:p>
            <w:r/>
            <w:r>
              <w:rPr>
                <w:rFonts w:ascii="Calibri" w:hAnsi="Calibri"/>
                <w:color w:val="0F172A"/>
                <w:sz w:val="18"/>
              </w:rPr>
              <w:t>1</w:t>
            </w:r>
          </w:p>
        </w:tc>
        <w:tc>
          <w:tcPr>
            <w:tcW w:type="dxa" w:w="1218"/>
          </w:tcPr>
          <w:p>
            <w:r/>
            <w:r>
              <w:rPr>
                <w:rFonts w:ascii="Calibri" w:hAnsi="Calibri"/>
                <w:b/>
                <w:color w:val="0F172A"/>
                <w:sz w:val="18"/>
              </w:rPr>
              <w:t>Data lake deployment slips past W4</w:t>
            </w:r>
            <w:r>
              <w:rPr>
                <w:rFonts w:ascii="Calibri" w:hAnsi="Calibri"/>
                <w:color w:val="0F172A"/>
                <w:sz w:val="18"/>
              </w:rPr>
              <w:t xml:space="preserve"> (Track B critical path)</w:t>
            </w:r>
          </w:p>
        </w:tc>
        <w:tc>
          <w:tcPr>
            <w:tcW w:type="dxa" w:w="1218"/>
          </w:tcPr>
          <w:p>
            <w:r/>
            <w:r>
              <w:rPr>
                <w:rFonts w:ascii="Calibri" w:hAnsi="Calibri"/>
                <w:color w:val="0F172A"/>
                <w:sz w:val="18"/>
              </w:rPr>
              <w:t>3</w:t>
            </w:r>
          </w:p>
        </w:tc>
        <w:tc>
          <w:tcPr>
            <w:tcW w:type="dxa" w:w="1218"/>
          </w:tcPr>
          <w:p>
            <w:r/>
            <w:r>
              <w:rPr>
                <w:rFonts w:ascii="Calibri" w:hAnsi="Calibri"/>
                <w:color w:val="0F172A"/>
                <w:sz w:val="18"/>
              </w:rPr>
              <w:t>5</w:t>
            </w:r>
          </w:p>
        </w:tc>
        <w:tc>
          <w:tcPr>
            <w:tcW w:type="dxa" w:w="1218"/>
          </w:tcPr>
          <w:p>
            <w:r/>
            <w:r>
              <w:rPr>
                <w:rFonts w:ascii="Calibri" w:hAnsi="Calibri"/>
                <w:b/>
                <w:color w:val="0F172A"/>
                <w:sz w:val="18"/>
              </w:rPr>
              <w:t>15</w:t>
            </w:r>
          </w:p>
        </w:tc>
        <w:tc>
          <w:tcPr>
            <w:tcW w:type="dxa" w:w="1218"/>
          </w:tcPr>
          <w:p>
            <w:r/>
            <w:r>
              <w:rPr>
                <w:rFonts w:ascii="Calibri" w:hAnsi="Calibri"/>
                <w:color w:val="0F172A"/>
                <w:sz w:val="18"/>
              </w:rPr>
              <w:t>Track B gets 7 GBs (largest team); MBB direct oversight; DP-1 (W4) triggers if blocked; engagement pauses if data lake not operational by G2</w:t>
            </w:r>
          </w:p>
        </w:tc>
        <w:tc>
          <w:tcPr>
            <w:tcW w:type="dxa" w:w="1218"/>
          </w:tcPr>
          <w:p>
            <w:r/>
            <w:r>
              <w:rPr>
                <w:rFonts w:ascii="Calibri" w:hAnsi="Calibri"/>
                <w:color w:val="0F172A"/>
                <w:sz w:val="18"/>
              </w:rPr>
              <w:t>MBB + Track B Lead</w:t>
            </w:r>
          </w:p>
        </w:tc>
        <w:tc>
          <w:tcPr>
            <w:tcW w:type="dxa" w:w="1218"/>
          </w:tcPr>
          <w:p>
            <w:r/>
            <w:r>
              <w:rPr>
                <w:rFonts w:ascii="Calibri" w:hAnsi="Calibri"/>
                <w:color w:val="0F172A"/>
                <w:sz w:val="18"/>
              </w:rPr>
              <w:t>Active</w:t>
            </w:r>
          </w:p>
        </w:tc>
      </w:tr>
      <w:tr>
        <w:tc>
          <w:tcPr>
            <w:tcW w:type="dxa" w:w="1218"/>
          </w:tcPr>
          <w:p>
            <w:r/>
            <w:r>
              <w:rPr>
                <w:rFonts w:ascii="Calibri" w:hAnsi="Calibri"/>
                <w:color w:val="0F172A"/>
                <w:sz w:val="18"/>
              </w:rPr>
              <w:t>2</w:t>
            </w:r>
          </w:p>
        </w:tc>
        <w:tc>
          <w:tcPr>
            <w:tcW w:type="dxa" w:w="1218"/>
          </w:tcPr>
          <w:p>
            <w:r/>
            <w:r>
              <w:rPr>
                <w:rFonts w:ascii="Calibri" w:hAnsi="Calibri"/>
                <w:b/>
                <w:color w:val="0F172A"/>
                <w:sz w:val="18"/>
              </w:rPr>
              <w:t>GB capacity conflict at peak load (W6–W10)</w:t>
            </w:r>
          </w:p>
        </w:tc>
        <w:tc>
          <w:tcPr>
            <w:tcW w:type="dxa" w:w="1218"/>
          </w:tcPr>
          <w:p>
            <w:r/>
            <w:r>
              <w:rPr>
                <w:rFonts w:ascii="Calibri" w:hAnsi="Calibri"/>
                <w:color w:val="0F172A"/>
                <w:sz w:val="18"/>
              </w:rPr>
              <w:t>4</w:t>
            </w:r>
          </w:p>
        </w:tc>
        <w:tc>
          <w:tcPr>
            <w:tcW w:type="dxa" w:w="1218"/>
          </w:tcPr>
          <w:p>
            <w:r/>
            <w:r>
              <w:rPr>
                <w:rFonts w:ascii="Calibri" w:hAnsi="Calibri"/>
                <w:color w:val="0F172A"/>
                <w:sz w:val="18"/>
              </w:rPr>
              <w:t>4</w:t>
            </w:r>
          </w:p>
        </w:tc>
        <w:tc>
          <w:tcPr>
            <w:tcW w:type="dxa" w:w="1218"/>
          </w:tcPr>
          <w:p>
            <w:r/>
            <w:r>
              <w:rPr>
                <w:rFonts w:ascii="Calibri" w:hAnsi="Calibri"/>
                <w:b/>
                <w:color w:val="0F172A"/>
                <w:sz w:val="18"/>
              </w:rPr>
              <w:t>16</w:t>
            </w:r>
          </w:p>
        </w:tc>
        <w:tc>
          <w:tcPr>
            <w:tcW w:type="dxa" w:w="1218"/>
          </w:tcPr>
          <w:p>
            <w:r/>
            <w:r>
              <w:rPr>
                <w:rFonts w:ascii="Calibri" w:hAnsi="Calibri"/>
                <w:color w:val="0F172A"/>
                <w:sz w:val="18"/>
              </w:rPr>
              <w:t>MBB monitors GB load weekly; &gt;12% per GB triggers Tier 2 escalation and scope re-baseline; peak load is structural, not discretionary</w:t>
            </w:r>
          </w:p>
        </w:tc>
        <w:tc>
          <w:tcPr>
            <w:tcW w:type="dxa" w:w="1218"/>
          </w:tcPr>
          <w:p>
            <w:r/>
            <w:r>
              <w:rPr>
                <w:rFonts w:ascii="Calibri" w:hAnsi="Calibri"/>
                <w:color w:val="0F172A"/>
                <w:sz w:val="18"/>
              </w:rPr>
              <w:t>MBB</w:t>
            </w:r>
          </w:p>
        </w:tc>
        <w:tc>
          <w:tcPr>
            <w:tcW w:type="dxa" w:w="1218"/>
          </w:tcPr>
          <w:p>
            <w:r/>
            <w:r>
              <w:rPr>
                <w:rFonts w:ascii="Calibri" w:hAnsi="Calibri"/>
                <w:color w:val="0F172A"/>
                <w:sz w:val="18"/>
              </w:rPr>
              <w:t>Active</w:t>
            </w:r>
          </w:p>
        </w:tc>
      </w:tr>
      <w:tr>
        <w:tc>
          <w:tcPr>
            <w:tcW w:type="dxa" w:w="1218"/>
          </w:tcPr>
          <w:p>
            <w:r/>
            <w:r>
              <w:rPr>
                <w:rFonts w:ascii="Calibri" w:hAnsi="Calibri"/>
                <w:color w:val="0F172A"/>
                <w:sz w:val="18"/>
              </w:rPr>
              <w:t>3</w:t>
            </w:r>
          </w:p>
        </w:tc>
        <w:tc>
          <w:tcPr>
            <w:tcW w:type="dxa" w:w="1218"/>
          </w:tcPr>
          <w:p>
            <w:r/>
            <w:r>
              <w:rPr>
                <w:rFonts w:ascii="Calibri" w:hAnsi="Calibri"/>
                <w:b/>
                <w:color w:val="0F172A"/>
                <w:sz w:val="18"/>
              </w:rPr>
              <w:t>Vendor remote-access resistance</w:t>
            </w:r>
            <w:r>
              <w:rPr>
                <w:rFonts w:ascii="Calibri" w:hAnsi="Calibri"/>
                <w:color w:val="0F172A"/>
                <w:sz w:val="18"/>
              </w:rPr>
              <w:t xml:space="preserve"> (vendors refuse broker)</w:t>
            </w:r>
          </w:p>
        </w:tc>
        <w:tc>
          <w:tcPr>
            <w:tcW w:type="dxa" w:w="1218"/>
          </w:tcPr>
          <w:p>
            <w:r/>
            <w:r>
              <w:rPr>
                <w:rFonts w:ascii="Calibri" w:hAnsi="Calibri"/>
                <w:color w:val="0F172A"/>
                <w:sz w:val="18"/>
              </w:rPr>
              <w:t>3</w:t>
            </w:r>
          </w:p>
        </w:tc>
        <w:tc>
          <w:tcPr>
            <w:tcW w:type="dxa" w:w="1218"/>
          </w:tcPr>
          <w:p>
            <w:r/>
            <w:r>
              <w:rPr>
                <w:rFonts w:ascii="Calibri" w:hAnsi="Calibri"/>
                <w:color w:val="0F172A"/>
                <w:sz w:val="18"/>
              </w:rPr>
              <w:t>4</w:t>
            </w:r>
          </w:p>
        </w:tc>
        <w:tc>
          <w:tcPr>
            <w:tcW w:type="dxa" w:w="1218"/>
          </w:tcPr>
          <w:p>
            <w:r/>
            <w:r>
              <w:rPr>
                <w:rFonts w:ascii="Calibri" w:hAnsi="Calibri"/>
                <w:b/>
                <w:color w:val="0F172A"/>
                <w:sz w:val="18"/>
              </w:rPr>
              <w:t>12</w:t>
            </w:r>
          </w:p>
        </w:tc>
        <w:tc>
          <w:tcPr>
            <w:tcW w:type="dxa" w:w="1218"/>
          </w:tcPr>
          <w:p>
            <w:r/>
            <w:r>
              <w:rPr>
                <w:rFonts w:ascii="Calibri" w:hAnsi="Calibri"/>
                <w:color w:val="0F172A"/>
                <w:sz w:val="18"/>
              </w:rPr>
              <w:t>CISO escalation for uncooperative vendors; CISO has contractual authority; alternative: restrict vendor access entirely (cutover)</w:t>
            </w:r>
          </w:p>
        </w:tc>
        <w:tc>
          <w:tcPr>
            <w:tcW w:type="dxa" w:w="1218"/>
          </w:tcPr>
          <w:p>
            <w:r/>
            <w:r>
              <w:rPr>
                <w:rFonts w:ascii="Calibri" w:hAnsi="Calibri"/>
                <w:color w:val="0F172A"/>
                <w:sz w:val="18"/>
              </w:rPr>
              <w:t>MBB + CISO</w:t>
            </w:r>
          </w:p>
        </w:tc>
        <w:tc>
          <w:tcPr>
            <w:tcW w:type="dxa" w:w="1218"/>
          </w:tcPr>
          <w:p>
            <w:r/>
            <w:r>
              <w:rPr>
                <w:rFonts w:ascii="Calibri" w:hAnsi="Calibri"/>
                <w:color w:val="0F172A"/>
                <w:sz w:val="18"/>
              </w:rPr>
              <w:t>Active</w:t>
            </w:r>
          </w:p>
        </w:tc>
      </w:tr>
      <w:tr>
        <w:tc>
          <w:tcPr>
            <w:tcW w:type="dxa" w:w="1218"/>
          </w:tcPr>
          <w:p>
            <w:r/>
            <w:r>
              <w:rPr>
                <w:rFonts w:ascii="Calibri" w:hAnsi="Calibri"/>
                <w:color w:val="0F172A"/>
                <w:sz w:val="18"/>
              </w:rPr>
              <w:t>4</w:t>
            </w:r>
          </w:p>
        </w:tc>
        <w:tc>
          <w:tcPr>
            <w:tcW w:type="dxa" w:w="1218"/>
          </w:tcPr>
          <w:p>
            <w:r/>
            <w:r>
              <w:rPr>
                <w:rFonts w:ascii="Calibri" w:hAnsi="Calibri"/>
                <w:b/>
                <w:color w:val="0F172A"/>
                <w:sz w:val="18"/>
              </w:rPr>
              <w:t>AI agent build/buy decision blocked</w:t>
            </w:r>
          </w:p>
        </w:tc>
        <w:tc>
          <w:tcPr>
            <w:tcW w:type="dxa" w:w="1218"/>
          </w:tcPr>
          <w:p>
            <w:r/>
            <w:r>
              <w:rPr>
                <w:rFonts w:ascii="Calibri" w:hAnsi="Calibri"/>
                <w:color w:val="0F172A"/>
                <w:sz w:val="18"/>
              </w:rPr>
              <w:t>3</w:t>
            </w:r>
          </w:p>
        </w:tc>
        <w:tc>
          <w:tcPr>
            <w:tcW w:type="dxa" w:w="1218"/>
          </w:tcPr>
          <w:p>
            <w:r/>
            <w:r>
              <w:rPr>
                <w:rFonts w:ascii="Calibri" w:hAnsi="Calibri"/>
                <w:color w:val="0F172A"/>
                <w:sz w:val="18"/>
              </w:rPr>
              <w:t>4</w:t>
            </w:r>
          </w:p>
        </w:tc>
        <w:tc>
          <w:tcPr>
            <w:tcW w:type="dxa" w:w="1218"/>
          </w:tcPr>
          <w:p>
            <w:r/>
            <w:r>
              <w:rPr>
                <w:rFonts w:ascii="Calibri" w:hAnsi="Calibri"/>
                <w:b/>
                <w:color w:val="0F172A"/>
                <w:sz w:val="18"/>
              </w:rPr>
              <w:t>12</w:t>
            </w:r>
          </w:p>
        </w:tc>
        <w:tc>
          <w:tcPr>
            <w:tcW w:type="dxa" w:w="1218"/>
          </w:tcPr>
          <w:p>
            <w:r/>
            <w:r>
              <w:rPr>
                <w:rFonts w:ascii="Calibri" w:hAnsi="Calibri"/>
                <w:color w:val="0F172A"/>
                <w:sz w:val="18"/>
              </w:rPr>
              <w:t>DP-3 (W5) trigger; fall back to "build" with external AI engineering support; timeline +2 weeks</w:t>
            </w:r>
          </w:p>
        </w:tc>
        <w:tc>
          <w:tcPr>
            <w:tcW w:type="dxa" w:w="1218"/>
          </w:tcPr>
          <w:p>
            <w:r/>
            <w:r>
              <w:rPr>
                <w:rFonts w:ascii="Calibri" w:hAnsi="Calibri"/>
                <w:color w:val="0F172A"/>
                <w:sz w:val="18"/>
              </w:rPr>
              <w:t>MBB + Track C Lead</w:t>
            </w:r>
          </w:p>
        </w:tc>
        <w:tc>
          <w:tcPr>
            <w:tcW w:type="dxa" w:w="1218"/>
          </w:tcPr>
          <w:p>
            <w:r/>
            <w:r>
              <w:rPr>
                <w:rFonts w:ascii="Calibri" w:hAnsi="Calibri"/>
                <w:color w:val="0F172A"/>
                <w:sz w:val="18"/>
              </w:rPr>
              <w:t>Active</w:t>
            </w:r>
          </w:p>
        </w:tc>
      </w:tr>
      <w:tr>
        <w:tc>
          <w:tcPr>
            <w:tcW w:type="dxa" w:w="1218"/>
          </w:tcPr>
          <w:p>
            <w:r/>
            <w:r>
              <w:rPr>
                <w:rFonts w:ascii="Calibri" w:hAnsi="Calibri"/>
                <w:color w:val="0F172A"/>
                <w:sz w:val="18"/>
              </w:rPr>
              <w:t>5</w:t>
            </w:r>
          </w:p>
        </w:tc>
        <w:tc>
          <w:tcPr>
            <w:tcW w:type="dxa" w:w="1218"/>
          </w:tcPr>
          <w:p>
            <w:r/>
            <w:r>
              <w:rPr>
                <w:rFonts w:ascii="Calibri" w:hAnsi="Calibri"/>
                <w:b/>
                <w:color w:val="0F172A"/>
                <w:sz w:val="18"/>
              </w:rPr>
              <w:t>Real cyber event during engagement</w:t>
            </w:r>
            <w:r>
              <w:rPr>
                <w:rFonts w:ascii="Calibri" w:hAnsi="Calibri"/>
                <w:color w:val="0F172A"/>
                <w:sz w:val="18"/>
              </w:rPr>
              <w:t xml:space="preserve"> (GB capacity diverted to IR)</w:t>
            </w:r>
          </w:p>
        </w:tc>
        <w:tc>
          <w:tcPr>
            <w:tcW w:type="dxa" w:w="1218"/>
          </w:tcPr>
          <w:p>
            <w:r/>
            <w:r>
              <w:rPr>
                <w:rFonts w:ascii="Calibri" w:hAnsi="Calibri"/>
                <w:color w:val="0F172A"/>
                <w:sz w:val="18"/>
              </w:rPr>
              <w:t>2</w:t>
            </w:r>
          </w:p>
        </w:tc>
        <w:tc>
          <w:tcPr>
            <w:tcW w:type="dxa" w:w="1218"/>
          </w:tcPr>
          <w:p>
            <w:r/>
            <w:r>
              <w:rPr>
                <w:rFonts w:ascii="Calibri" w:hAnsi="Calibri"/>
                <w:color w:val="0F172A"/>
                <w:sz w:val="18"/>
              </w:rPr>
              <w:t>5</w:t>
            </w:r>
          </w:p>
        </w:tc>
        <w:tc>
          <w:tcPr>
            <w:tcW w:type="dxa" w:w="1218"/>
          </w:tcPr>
          <w:p>
            <w:r/>
            <w:r>
              <w:rPr>
                <w:rFonts w:ascii="Calibri" w:hAnsi="Calibri"/>
                <w:b/>
                <w:color w:val="0F172A"/>
                <w:sz w:val="18"/>
              </w:rPr>
              <w:t>10</w:t>
            </w:r>
          </w:p>
        </w:tc>
        <w:tc>
          <w:tcPr>
            <w:tcW w:type="dxa" w:w="1218"/>
          </w:tcPr>
          <w:p>
            <w:r/>
            <w:r>
              <w:rPr>
                <w:rFonts w:ascii="Calibri" w:hAnsi="Calibri"/>
                <w:color w:val="0F172A"/>
                <w:sz w:val="18"/>
              </w:rPr>
              <w:t>IR playbook pre-positioned; GBs on-call rotation; MBB reassigns capacity; engagement timeline may extend; CISO briefed on any diversion</w:t>
            </w:r>
          </w:p>
        </w:tc>
        <w:tc>
          <w:tcPr>
            <w:tcW w:type="dxa" w:w="1218"/>
          </w:tcPr>
          <w:p>
            <w:r/>
            <w:r>
              <w:rPr>
                <w:rFonts w:ascii="Calibri" w:hAnsi="Calibri"/>
                <w:color w:val="0F172A"/>
                <w:sz w:val="18"/>
              </w:rPr>
              <w:t>MBB + IT Security</w:t>
            </w:r>
          </w:p>
        </w:tc>
        <w:tc>
          <w:tcPr>
            <w:tcW w:type="dxa" w:w="1218"/>
          </w:tcPr>
          <w:p>
            <w:r/>
            <w:r>
              <w:rPr>
                <w:rFonts w:ascii="Calibri" w:hAnsi="Calibri"/>
                <w:color w:val="0F172A"/>
                <w:sz w:val="18"/>
              </w:rPr>
              <w:t>Monitor</w:t>
            </w:r>
          </w:p>
        </w:tc>
      </w:tr>
      <w:tr>
        <w:tc>
          <w:tcPr>
            <w:tcW w:type="dxa" w:w="1218"/>
          </w:tcPr>
          <w:p>
            <w:r/>
            <w:r>
              <w:rPr>
                <w:rFonts w:ascii="Calibri" w:hAnsi="Calibri"/>
                <w:color w:val="0F172A"/>
                <w:sz w:val="18"/>
              </w:rPr>
              <w:t>6</w:t>
            </w:r>
          </w:p>
        </w:tc>
        <w:tc>
          <w:tcPr>
            <w:tcW w:type="dxa" w:w="1218"/>
          </w:tcPr>
          <w:p>
            <w:r/>
            <w:r>
              <w:rPr>
                <w:rFonts w:ascii="Calibri" w:hAnsi="Calibri"/>
                <w:b/>
                <w:color w:val="0F172A"/>
                <w:sz w:val="18"/>
              </w:rPr>
              <w:t>Engagement scope creep</w:t>
            </w:r>
            <w:r>
              <w:rPr>
                <w:rFonts w:ascii="Calibri" w:hAnsi="Calibri"/>
                <w:color w:val="0F172A"/>
                <w:sz w:val="18"/>
              </w:rPr>
              <w:t xml:space="preserve"> (additional failure modes or requirements mid-engagement)</w:t>
            </w:r>
          </w:p>
        </w:tc>
        <w:tc>
          <w:tcPr>
            <w:tcW w:type="dxa" w:w="1218"/>
          </w:tcPr>
          <w:p>
            <w:r/>
            <w:r>
              <w:rPr>
                <w:rFonts w:ascii="Calibri" w:hAnsi="Calibri"/>
                <w:color w:val="0F172A"/>
                <w:sz w:val="18"/>
              </w:rPr>
              <w:t>3</w:t>
            </w:r>
          </w:p>
        </w:tc>
        <w:tc>
          <w:tcPr>
            <w:tcW w:type="dxa" w:w="1218"/>
          </w:tcPr>
          <w:p>
            <w:r/>
            <w:r>
              <w:rPr>
                <w:rFonts w:ascii="Calibri" w:hAnsi="Calibri"/>
                <w:color w:val="0F172A"/>
                <w:sz w:val="18"/>
              </w:rPr>
              <w:t>3</w:t>
            </w:r>
          </w:p>
        </w:tc>
        <w:tc>
          <w:tcPr>
            <w:tcW w:type="dxa" w:w="1218"/>
          </w:tcPr>
          <w:p>
            <w:r/>
            <w:r>
              <w:rPr>
                <w:rFonts w:ascii="Calibri" w:hAnsi="Calibri"/>
                <w:b/>
                <w:color w:val="0F172A"/>
                <w:sz w:val="18"/>
              </w:rPr>
              <w:t>9</w:t>
            </w:r>
          </w:p>
        </w:tc>
        <w:tc>
          <w:tcPr>
            <w:tcW w:type="dxa" w:w="1218"/>
          </w:tcPr>
          <w:p>
            <w:r/>
            <w:r>
              <w:rPr>
                <w:rFonts w:ascii="Calibri" w:hAnsi="Calibri"/>
                <w:color w:val="0F172A"/>
                <w:sz w:val="18"/>
              </w:rPr>
              <w:t>Tier 3 escalation; explicit trade-off: scope addition requires capacity addition or timeline extension; CISO decision</w:t>
            </w:r>
          </w:p>
        </w:tc>
        <w:tc>
          <w:tcPr>
            <w:tcW w:type="dxa" w:w="1218"/>
          </w:tcPr>
          <w:p>
            <w:r/>
            <w:r>
              <w:rPr>
                <w:rFonts w:ascii="Calibri" w:hAnsi="Calibri"/>
                <w:color w:val="0F172A"/>
                <w:sz w:val="18"/>
              </w:rPr>
              <w:t>CISO + MBB</w:t>
            </w:r>
          </w:p>
        </w:tc>
        <w:tc>
          <w:tcPr>
            <w:tcW w:type="dxa" w:w="1218"/>
          </w:tcPr>
          <w:p>
            <w:r/>
            <w:r>
              <w:rPr>
                <w:rFonts w:ascii="Calibri" w:hAnsi="Calibri"/>
                <w:color w:val="0F172A"/>
                <w:sz w:val="18"/>
              </w:rPr>
              <w:t>Monitor</w:t>
            </w:r>
          </w:p>
        </w:tc>
      </w:tr>
      <w:tr>
        <w:tc>
          <w:tcPr>
            <w:tcW w:type="dxa" w:w="1218"/>
          </w:tcPr>
          <w:p>
            <w:r/>
            <w:r>
              <w:rPr>
                <w:rFonts w:ascii="Calibri" w:hAnsi="Calibri"/>
                <w:color w:val="0F172A"/>
                <w:sz w:val="18"/>
              </w:rPr>
              <w:t>7</w:t>
            </w:r>
          </w:p>
        </w:tc>
        <w:tc>
          <w:tcPr>
            <w:tcW w:type="dxa" w:w="1218"/>
          </w:tcPr>
          <w:p>
            <w:r/>
            <w:r>
              <w:rPr>
                <w:rFonts w:ascii="Calibri" w:hAnsi="Calibri"/>
                <w:b/>
                <w:color w:val="0F172A"/>
                <w:sz w:val="18"/>
              </w:rPr>
              <w:t>CISO sign-off delays at tollgates</w:t>
            </w:r>
            <w:r>
              <w:rPr>
                <w:rFonts w:ascii="Calibri" w:hAnsi="Calibri"/>
                <w:color w:val="0F172A"/>
                <w:sz w:val="18"/>
              </w:rPr>
              <w:t xml:space="preserve"> (CISO travel/unavailability)</w:t>
            </w:r>
          </w:p>
        </w:tc>
        <w:tc>
          <w:tcPr>
            <w:tcW w:type="dxa" w:w="1218"/>
          </w:tcPr>
          <w:p>
            <w:r/>
            <w:r>
              <w:rPr>
                <w:rFonts w:ascii="Calibri" w:hAnsi="Calibri"/>
                <w:color w:val="0F172A"/>
                <w:sz w:val="18"/>
              </w:rPr>
              <w:t>2</w:t>
            </w:r>
          </w:p>
        </w:tc>
        <w:tc>
          <w:tcPr>
            <w:tcW w:type="dxa" w:w="1218"/>
          </w:tcPr>
          <w:p>
            <w:r/>
            <w:r>
              <w:rPr>
                <w:rFonts w:ascii="Calibri" w:hAnsi="Calibri"/>
                <w:color w:val="0F172A"/>
                <w:sz w:val="18"/>
              </w:rPr>
              <w:t>4</w:t>
            </w:r>
          </w:p>
        </w:tc>
        <w:tc>
          <w:tcPr>
            <w:tcW w:type="dxa" w:w="1218"/>
          </w:tcPr>
          <w:p>
            <w:r/>
            <w:r>
              <w:rPr>
                <w:rFonts w:ascii="Calibri" w:hAnsi="Calibri"/>
                <w:b/>
                <w:color w:val="0F172A"/>
                <w:sz w:val="18"/>
              </w:rPr>
              <w:t>8</w:t>
            </w:r>
          </w:p>
        </w:tc>
        <w:tc>
          <w:tcPr>
            <w:tcW w:type="dxa" w:w="1218"/>
          </w:tcPr>
          <w:p>
            <w:r/>
            <w:r>
              <w:rPr>
                <w:rFonts w:ascii="Calibri" w:hAnsi="Calibri"/>
                <w:color w:val="0F172A"/>
                <w:sz w:val="18"/>
              </w:rPr>
              <w:t>CISO delegate authorised; pre-tollgate review 24h before; MBB escalation if delegate unavailable</w:t>
            </w:r>
          </w:p>
        </w:tc>
        <w:tc>
          <w:tcPr>
            <w:tcW w:type="dxa" w:w="1218"/>
          </w:tcPr>
          <w:p>
            <w:r/>
            <w:r>
              <w:rPr>
                <w:rFonts w:ascii="Calibri" w:hAnsi="Calibri"/>
                <w:color w:val="0F172A"/>
                <w:sz w:val="18"/>
              </w:rPr>
              <w:t>MBB</w:t>
            </w:r>
          </w:p>
        </w:tc>
        <w:tc>
          <w:tcPr>
            <w:tcW w:type="dxa" w:w="1218"/>
          </w:tcPr>
          <w:p>
            <w:r/>
            <w:r>
              <w:rPr>
                <w:rFonts w:ascii="Calibri" w:hAnsi="Calibri"/>
                <w:color w:val="0F172A"/>
                <w:sz w:val="18"/>
              </w:rPr>
              <w:t>Monitor</w:t>
            </w:r>
          </w:p>
        </w:tc>
      </w:tr>
      <w:tr>
        <w:tc>
          <w:tcPr>
            <w:tcW w:type="dxa" w:w="1218"/>
          </w:tcPr>
          <w:p>
            <w:r/>
            <w:r>
              <w:rPr>
                <w:rFonts w:ascii="Calibri" w:hAnsi="Calibri"/>
                <w:color w:val="0F172A"/>
                <w:sz w:val="18"/>
              </w:rPr>
              <w:t>8</w:t>
            </w:r>
          </w:p>
        </w:tc>
        <w:tc>
          <w:tcPr>
            <w:tcW w:type="dxa" w:w="1218"/>
          </w:tcPr>
          <w:p>
            <w:r/>
            <w:r>
              <w:rPr>
                <w:rFonts w:ascii="Calibri" w:hAnsi="Calibri"/>
                <w:b/>
                <w:color w:val="0F172A"/>
                <w:sz w:val="18"/>
              </w:rPr>
              <w:t>Regulatory / contractual change mid-engagement</w:t>
            </w:r>
            <w:r>
              <w:rPr>
                <w:rFonts w:ascii="Calibri" w:hAnsi="Calibri"/>
                <w:color w:val="0F172A"/>
                <w:sz w:val="18"/>
              </w:rPr>
              <w:t xml:space="preserve"> (NIS2 amendment, OEM attestation update)</w:t>
            </w:r>
          </w:p>
        </w:tc>
        <w:tc>
          <w:tcPr>
            <w:tcW w:type="dxa" w:w="1218"/>
          </w:tcPr>
          <w:p>
            <w:r/>
            <w:r>
              <w:rPr>
                <w:rFonts w:ascii="Calibri" w:hAnsi="Calibri"/>
                <w:color w:val="0F172A"/>
                <w:sz w:val="18"/>
              </w:rPr>
              <w:t>2</w:t>
            </w:r>
          </w:p>
        </w:tc>
        <w:tc>
          <w:tcPr>
            <w:tcW w:type="dxa" w:w="1218"/>
          </w:tcPr>
          <w:p>
            <w:r/>
            <w:r>
              <w:rPr>
                <w:rFonts w:ascii="Calibri" w:hAnsi="Calibri"/>
                <w:color w:val="0F172A"/>
                <w:sz w:val="18"/>
              </w:rPr>
              <w:t>4</w:t>
            </w:r>
          </w:p>
        </w:tc>
        <w:tc>
          <w:tcPr>
            <w:tcW w:type="dxa" w:w="1218"/>
          </w:tcPr>
          <w:p>
            <w:r/>
            <w:r>
              <w:rPr>
                <w:rFonts w:ascii="Calibri" w:hAnsi="Calibri"/>
                <w:b/>
                <w:color w:val="0F172A"/>
                <w:sz w:val="18"/>
              </w:rPr>
              <w:t>8</w:t>
            </w:r>
          </w:p>
        </w:tc>
        <w:tc>
          <w:tcPr>
            <w:tcW w:type="dxa" w:w="1218"/>
          </w:tcPr>
          <w:p>
            <w:r/>
            <w:r>
              <w:rPr>
                <w:rFonts w:ascii="Calibri" w:hAnsi="Calibri"/>
                <w:color w:val="0F172A"/>
                <w:sz w:val="18"/>
              </w:rPr>
              <w:t>Kaizen trigger #4; MBB + Legal assess within 5 BD; control plan update; CISO briefing</w:t>
            </w:r>
          </w:p>
        </w:tc>
        <w:tc>
          <w:tcPr>
            <w:tcW w:type="dxa" w:w="1218"/>
          </w:tcPr>
          <w:p>
            <w:r/>
            <w:r>
              <w:rPr>
                <w:rFonts w:ascii="Calibri" w:hAnsi="Calibri"/>
                <w:color w:val="0F172A"/>
                <w:sz w:val="18"/>
              </w:rPr>
              <w:t>MBB + Legal</w:t>
            </w:r>
          </w:p>
        </w:tc>
        <w:tc>
          <w:tcPr>
            <w:tcW w:type="dxa" w:w="1218"/>
          </w:tcPr>
          <w:p>
            <w:r/>
            <w:r>
              <w:rPr>
                <w:rFonts w:ascii="Calibri" w:hAnsi="Calibri"/>
                <w:color w:val="0F172A"/>
                <w:sz w:val="18"/>
              </w:rPr>
              <w:t>Monitor</w:t>
            </w:r>
          </w:p>
        </w:tc>
      </w:tr>
    </w:tbl>
    <w:p/>
    <w:p>
      <w:r>
        <w:rPr>
          <w:rFonts w:ascii="Calibri" w:hAnsi="Calibri"/>
          <w:b/>
          <w:sz w:val="22"/>
        </w:rPr>
        <w:t>Active-mitigation risks (score ≥ 12):</w:t>
      </w:r>
      <w:r>
        <w:rPr>
          <w:rFonts w:ascii="Calibri" w:hAnsi="Calibri"/>
          <w:sz w:val="22"/>
        </w:rPr>
        <w:t xml:space="preserve"> #1, #2, #3, #4</w:t>
      </w:r>
    </w:p>
    <w:p>
      <w:r>
        <w:rPr>
          <w:rFonts w:ascii="Calibri" w:hAnsi="Calibri"/>
          <w:b/>
          <w:sz w:val="22"/>
        </w:rPr>
        <w:t>Acceptable / monitor risks (score &lt; 12):</w:t>
      </w:r>
      <w:r>
        <w:rPr>
          <w:rFonts w:ascii="Calibri" w:hAnsi="Calibri"/>
          <w:sz w:val="22"/>
        </w:rPr>
        <w:t xml:space="preserve"> #5, #6, #7, #8</w:t>
      </w:r>
    </w:p>
    <w:p>
      <w:r>
        <w:rPr>
          <w:rFonts w:ascii="Calibri" w:hAnsi="Calibri"/>
          <w:b/>
          <w:sz w:val="22"/>
        </w:rPr>
        <w:t>Risks dropped from the original 12-risk draft (now covered by other mechanisms):</w:t>
      </w:r>
    </w:p>
    <w:p>
      <w:pPr>
        <w:pStyle w:val="ListBullet"/>
      </w:pPr>
      <w:r>
        <w:rPr>
          <w:rFonts w:ascii="Calibri" w:hAnsi="Calibri"/>
          <w:sz w:val="22"/>
        </w:rPr>
        <w:t>~~#8 Cross-site MBB unavailability~~ — post-G5 only; covered by §6.5 site MBB certification pipeline</w:t>
      </w:r>
    </w:p>
    <w:p>
      <w:pPr>
        <w:pStyle w:val="ListBullet"/>
      </w:pPr>
      <w:r>
        <w:rPr>
          <w:rFonts w:ascii="Calibri" w:hAnsi="Calibri"/>
          <w:sz w:val="22"/>
        </w:rPr>
        <w:t>~~#10 Key GB departure~~ — covered by cross-training in Standard Work + Kaizen trigger #6</w:t>
      </w:r>
    </w:p>
    <w:p>
      <w:pPr>
        <w:pStyle w:val="ListBullet"/>
      </w:pPr>
      <w:r>
        <w:rPr>
          <w:rFonts w:ascii="Calibri" w:hAnsi="Calibri"/>
          <w:sz w:val="22"/>
        </w:rPr>
        <w:t>~~#11 OEM contractual change~~ — merged into #8 (regulatory/contractual change)</w:t>
      </w:r>
    </w:p>
    <w:p>
      <w:pPr>
        <w:pStyle w:val="ListBullet"/>
      </w:pPr>
      <w:r>
        <w:rPr>
          <w:rFonts w:ascii="Calibri" w:hAnsi="Calibri"/>
          <w:sz w:val="22"/>
        </w:rPr>
        <w:t>~~#12 Structural change mid-engagement~~ — covered by Kaizen triggers #11–#13 with Tier 3 escalation</w:t>
      </w:r>
    </w:p>
    <w:p>
      <w:r>
        <w:rPr>
          <w:rFonts w:ascii="Calibri" w:hAnsi="Calibri"/>
          <w:b/>
          <w:color w:val="0F172A"/>
          <w:sz w:val="24"/>
        </w:rPr>
        <w:t>8.3.3 Risk Categories</w:t>
      </w:r>
    </w:p>
    <w:p>
      <w:r>
        <w:rPr>
          <w:rFonts w:ascii="Calibri" w:hAnsi="Calibri"/>
          <w:sz w:val="22"/>
        </w:rPr>
        <w:t>The risk register is organised by category for executive visibility:</w:t>
      </w:r>
    </w:p>
    <w:tbl>
      <w:tblPr>
        <w:tblStyle w:val="LightGrid-Accent1"/>
        <w:tblW w:type="auto" w:w="0"/>
        <w:tblLook w:firstColumn="1" w:firstRow="1" w:lastColumn="0" w:lastRow="0" w:noHBand="0" w:noVBand="1" w:val="04A0"/>
      </w:tblPr>
      <w:tblGrid>
        <w:gridCol w:w="3249"/>
        <w:gridCol w:w="3249"/>
        <w:gridCol w:w="3249"/>
      </w:tblGrid>
      <w:tr>
        <w:tc>
          <w:tcPr>
            <w:tcW w:type="dxa" w:w="3249"/>
            <w:shd w:val="clear" w:color="auto" w:fill="1E40AF"/>
          </w:tcPr>
          <w:p>
            <w:r/>
            <w:r>
              <w:rPr>
                <w:rFonts w:ascii="Calibri" w:hAnsi="Calibri"/>
                <w:b/>
                <w:color w:val="FFFFFF"/>
                <w:sz w:val="20"/>
              </w:rPr>
              <w:t>Category</w:t>
            </w:r>
          </w:p>
        </w:tc>
        <w:tc>
          <w:tcPr>
            <w:tcW w:type="dxa" w:w="3249"/>
            <w:shd w:val="clear" w:color="auto" w:fill="1E40AF"/>
          </w:tcPr>
          <w:p>
            <w:r/>
            <w:r>
              <w:rPr>
                <w:rFonts w:ascii="Calibri" w:hAnsi="Calibri"/>
                <w:b/>
                <w:color w:val="FFFFFF"/>
                <w:sz w:val="20"/>
              </w:rPr>
              <w:t>Risks</w:t>
            </w:r>
          </w:p>
        </w:tc>
        <w:tc>
          <w:tcPr>
            <w:tcW w:type="dxa" w:w="3249"/>
            <w:shd w:val="clear" w:color="auto" w:fill="1E40AF"/>
          </w:tcPr>
          <w:p>
            <w:r/>
            <w:r>
              <w:rPr>
                <w:rFonts w:ascii="Calibri" w:hAnsi="Calibri"/>
                <w:b/>
                <w:color w:val="FFFFFF"/>
                <w:sz w:val="20"/>
              </w:rPr>
              <w:t>Highest score</w:t>
            </w:r>
          </w:p>
        </w:tc>
      </w:tr>
      <w:tr>
        <w:tc>
          <w:tcPr>
            <w:tcW w:type="dxa" w:w="3249"/>
          </w:tcPr>
          <w:p>
            <w:r/>
            <w:r>
              <w:rPr>
                <w:rFonts w:ascii="Calibri" w:hAnsi="Calibri"/>
                <w:b/>
                <w:color w:val="0F172A"/>
                <w:sz w:val="18"/>
              </w:rPr>
              <w:t>Schedule risks</w:t>
            </w:r>
          </w:p>
        </w:tc>
        <w:tc>
          <w:tcPr>
            <w:tcW w:type="dxa" w:w="3249"/>
          </w:tcPr>
          <w:p>
            <w:r/>
            <w:r>
              <w:rPr>
                <w:rFonts w:ascii="Calibri" w:hAnsi="Calibri"/>
                <w:color w:val="0F172A"/>
                <w:sz w:val="18"/>
              </w:rPr>
              <w:t>#1 (data lake), #7 (CISO delays)</w:t>
            </w:r>
          </w:p>
        </w:tc>
        <w:tc>
          <w:tcPr>
            <w:tcW w:type="dxa" w:w="3249"/>
          </w:tcPr>
          <w:p>
            <w:r/>
            <w:r>
              <w:rPr>
                <w:rFonts w:ascii="Calibri" w:hAnsi="Calibri"/>
                <w:color w:val="0F172A"/>
                <w:sz w:val="18"/>
              </w:rPr>
              <w:t>15</w:t>
            </w:r>
          </w:p>
        </w:tc>
      </w:tr>
      <w:tr>
        <w:tc>
          <w:tcPr>
            <w:tcW w:type="dxa" w:w="3249"/>
          </w:tcPr>
          <w:p>
            <w:r/>
            <w:r>
              <w:rPr>
                <w:rFonts w:ascii="Calibri" w:hAnsi="Calibri"/>
                <w:b/>
                <w:color w:val="0F172A"/>
                <w:sz w:val="18"/>
              </w:rPr>
              <w:t>Resource risks</w:t>
            </w:r>
          </w:p>
        </w:tc>
        <w:tc>
          <w:tcPr>
            <w:tcW w:type="dxa" w:w="3249"/>
          </w:tcPr>
          <w:p>
            <w:r/>
            <w:r>
              <w:rPr>
                <w:rFonts w:ascii="Calibri" w:hAnsi="Calibri"/>
                <w:color w:val="0F172A"/>
                <w:sz w:val="18"/>
              </w:rPr>
              <w:t>#2 (GB capacity)</w:t>
            </w:r>
          </w:p>
        </w:tc>
        <w:tc>
          <w:tcPr>
            <w:tcW w:type="dxa" w:w="3249"/>
          </w:tcPr>
          <w:p>
            <w:r/>
            <w:r>
              <w:rPr>
                <w:rFonts w:ascii="Calibri" w:hAnsi="Calibri"/>
                <w:color w:val="0F172A"/>
                <w:sz w:val="18"/>
              </w:rPr>
              <w:t>16</w:t>
            </w:r>
          </w:p>
        </w:tc>
      </w:tr>
      <w:tr>
        <w:tc>
          <w:tcPr>
            <w:tcW w:type="dxa" w:w="3249"/>
          </w:tcPr>
          <w:p>
            <w:r/>
            <w:r>
              <w:rPr>
                <w:rFonts w:ascii="Calibri" w:hAnsi="Calibri"/>
                <w:b/>
                <w:color w:val="0F172A"/>
                <w:sz w:val="18"/>
              </w:rPr>
              <w:t>Technical risks</w:t>
            </w:r>
          </w:p>
        </w:tc>
        <w:tc>
          <w:tcPr>
            <w:tcW w:type="dxa" w:w="3249"/>
          </w:tcPr>
          <w:p>
            <w:r/>
            <w:r>
              <w:rPr>
                <w:rFonts w:ascii="Calibri" w:hAnsi="Calibri"/>
                <w:color w:val="0F172A"/>
                <w:sz w:val="18"/>
              </w:rPr>
              <w:t>#3 (vendor resistance), #4 (AI decision)</w:t>
            </w:r>
          </w:p>
        </w:tc>
        <w:tc>
          <w:tcPr>
            <w:tcW w:type="dxa" w:w="3249"/>
          </w:tcPr>
          <w:p>
            <w:r/>
            <w:r>
              <w:rPr>
                <w:rFonts w:ascii="Calibri" w:hAnsi="Calibri"/>
                <w:color w:val="0F172A"/>
                <w:sz w:val="18"/>
              </w:rPr>
              <w:t>12</w:t>
            </w:r>
          </w:p>
        </w:tc>
      </w:tr>
      <w:tr>
        <w:tc>
          <w:tcPr>
            <w:tcW w:type="dxa" w:w="3249"/>
          </w:tcPr>
          <w:p>
            <w:r/>
            <w:r>
              <w:rPr>
                <w:rFonts w:ascii="Calibri" w:hAnsi="Calibri"/>
                <w:b/>
                <w:color w:val="0F172A"/>
                <w:sz w:val="18"/>
              </w:rPr>
              <w:t>Stakeholder risks</w:t>
            </w:r>
          </w:p>
        </w:tc>
        <w:tc>
          <w:tcPr>
            <w:tcW w:type="dxa" w:w="3249"/>
          </w:tcPr>
          <w:p>
            <w:r/>
            <w:r>
              <w:rPr>
                <w:rFonts w:ascii="Calibri" w:hAnsi="Calibri"/>
                <w:color w:val="0F172A"/>
                <w:sz w:val="18"/>
              </w:rPr>
              <w:t>#6 (scope creep), #7 (CISO)</w:t>
            </w:r>
          </w:p>
        </w:tc>
        <w:tc>
          <w:tcPr>
            <w:tcW w:type="dxa" w:w="3249"/>
          </w:tcPr>
          <w:p>
            <w:r/>
            <w:r>
              <w:rPr>
                <w:rFonts w:ascii="Calibri" w:hAnsi="Calibri"/>
                <w:color w:val="0F172A"/>
                <w:sz w:val="18"/>
              </w:rPr>
              <w:t>9</w:t>
            </w:r>
          </w:p>
        </w:tc>
      </w:tr>
      <w:tr>
        <w:tc>
          <w:tcPr>
            <w:tcW w:type="dxa" w:w="3249"/>
          </w:tcPr>
          <w:p>
            <w:r/>
            <w:r>
              <w:rPr>
                <w:rFonts w:ascii="Calibri" w:hAnsi="Calibri"/>
                <w:b/>
                <w:color w:val="0F172A"/>
                <w:sz w:val="18"/>
              </w:rPr>
              <w:t>External risks</w:t>
            </w:r>
          </w:p>
        </w:tc>
        <w:tc>
          <w:tcPr>
            <w:tcW w:type="dxa" w:w="3249"/>
          </w:tcPr>
          <w:p>
            <w:r/>
            <w:r>
              <w:rPr>
                <w:rFonts w:ascii="Calibri" w:hAnsi="Calibri"/>
                <w:color w:val="0F172A"/>
                <w:sz w:val="18"/>
              </w:rPr>
              <w:t>#5 (real cyber event), #8 (regulatory)</w:t>
            </w:r>
          </w:p>
        </w:tc>
        <w:tc>
          <w:tcPr>
            <w:tcW w:type="dxa" w:w="3249"/>
          </w:tcPr>
          <w:p>
            <w:r/>
            <w:r>
              <w:rPr>
                <w:rFonts w:ascii="Calibri" w:hAnsi="Calibri"/>
                <w:color w:val="0F172A"/>
                <w:sz w:val="18"/>
              </w:rPr>
              <w:t>10</w:t>
            </w:r>
          </w:p>
        </w:tc>
      </w:tr>
    </w:tbl>
    <w:p/>
    <w:p>
      <w:r>
        <w:rPr>
          <w:rFonts w:ascii="Calibri" w:hAnsi="Calibri"/>
          <w:sz w:val="22"/>
        </w:rPr>
        <w:t xml:space="preserve">The highest single risk is </w:t>
      </w:r>
      <w:r>
        <w:rPr>
          <w:rFonts w:ascii="Calibri" w:hAnsi="Calibri"/>
          <w:b/>
          <w:sz w:val="22"/>
        </w:rPr>
        <w:t>#2 (GB capacity conflict at peak load, score 16)</w:t>
      </w:r>
      <w:r>
        <w:rPr>
          <w:rFonts w:ascii="Calibri" w:hAnsi="Calibri"/>
          <w:sz w:val="22"/>
        </w:rPr>
        <w:t xml:space="preserve"> — this is the only risk that crosses the escalation threshold and warrants explicit CISO awareness at G1.</w:t>
      </w:r>
    </w:p>
    <w:p>
      <w:pPr>
        <w:pBdr>
          <w:bottom w:val="single" w:sz="6" w:space="1" w:color="CBD5E1"/>
        </w:pBdr>
      </w:pPr>
    </w:p>
    <w:p>
      <w:r>
        <w:rPr>
          <w:rFonts w:ascii="Calibri" w:hAnsi="Calibri"/>
          <w:b/>
          <w:color w:val="0F172A"/>
          <w:sz w:val="28"/>
        </w:rPr>
        <w:t>8.4 Residual Risk Acceptance</w:t>
      </w:r>
    </w:p>
    <w:p>
      <w:r>
        <w:rPr>
          <w:rFonts w:ascii="Calibri" w:hAnsi="Calibri"/>
          <w:sz w:val="22"/>
        </w:rPr>
        <w:t>After all mitigations are applied, the engagement accepts the following residual risks. These are explicitly acknowledged by the CISO at G1 and tracked on Tile 4 (Risk Mitigation) of the Executive Dashboard.</w:t>
      </w:r>
    </w:p>
    <w:tbl>
      <w:tblPr>
        <w:tblStyle w:val="LightGrid-Accent1"/>
        <w:tblW w:type="auto" w:w="0"/>
        <w:tblLook w:firstColumn="1" w:firstRow="1" w:lastColumn="0" w:lastRow="0" w:noHBand="0" w:noVBand="1" w:val="04A0"/>
      </w:tblPr>
      <w:tblGrid>
        <w:gridCol w:w="4873"/>
        <w:gridCol w:w="4873"/>
      </w:tblGrid>
      <w:tr>
        <w:tc>
          <w:tcPr>
            <w:tcW w:type="dxa" w:w="4873"/>
            <w:shd w:val="clear" w:color="auto" w:fill="1E40AF"/>
          </w:tcPr>
          <w:p>
            <w:r/>
            <w:r>
              <w:rPr>
                <w:rFonts w:ascii="Calibri" w:hAnsi="Calibri"/>
                <w:b/>
                <w:color w:val="FFFFFF"/>
                <w:sz w:val="20"/>
              </w:rPr>
              <w:t>Residual Risk</w:t>
            </w:r>
          </w:p>
        </w:tc>
        <w:tc>
          <w:tcPr>
            <w:tcW w:type="dxa" w:w="4873"/>
            <w:shd w:val="clear" w:color="auto" w:fill="1E40AF"/>
          </w:tcPr>
          <w:p>
            <w:r/>
            <w:r>
              <w:rPr>
                <w:rFonts w:ascii="Calibri" w:hAnsi="Calibri"/>
                <w:b/>
                <w:color w:val="FFFFFF"/>
                <w:sz w:val="20"/>
              </w:rPr>
              <w:t>Acceptance Rationale</w:t>
            </w:r>
          </w:p>
        </w:tc>
      </w:tr>
      <w:tr>
        <w:tc>
          <w:tcPr>
            <w:tcW w:type="dxa" w:w="4873"/>
          </w:tcPr>
          <w:p>
            <w:r/>
            <w:r>
              <w:rPr>
                <w:rFonts w:ascii="Calibri" w:hAnsi="Calibri"/>
                <w:color w:val="0F172A"/>
                <w:sz w:val="18"/>
              </w:rPr>
              <w:t>Silent corruption (SC) modes may produce a recall event between FMEA refreshes</w:t>
            </w:r>
          </w:p>
        </w:tc>
        <w:tc>
          <w:tcPr>
            <w:tcW w:type="dxa" w:w="4873"/>
          </w:tcPr>
          <w:p>
            <w:r/>
            <w:r>
              <w:rPr>
                <w:rFonts w:ascii="Calibri" w:hAnsi="Calibri"/>
                <w:color w:val="0F172A"/>
                <w:sz w:val="18"/>
              </w:rPr>
              <w:t>FMEA refreshed quarterly; AI agents provide 24/7 monitoring; control plan limits dwell time; insurance covers recall cost</w:t>
            </w:r>
          </w:p>
        </w:tc>
      </w:tr>
      <w:tr>
        <w:tc>
          <w:tcPr>
            <w:tcW w:type="dxa" w:w="4873"/>
          </w:tcPr>
          <w:p>
            <w:r/>
            <w:r>
              <w:rPr>
                <w:rFonts w:ascii="Calibri" w:hAnsi="Calibri"/>
                <w:color w:val="0F172A"/>
                <w:sz w:val="18"/>
              </w:rPr>
              <w:t>IP exfiltration (E_ip) cannot be fully prevented — only detected and contained</w:t>
            </w:r>
          </w:p>
        </w:tc>
        <w:tc>
          <w:tcPr>
            <w:tcW w:type="dxa" w:w="4873"/>
          </w:tcPr>
          <w:p>
            <w:r/>
            <w:r>
              <w:rPr>
                <w:rFonts w:ascii="Calibri" w:hAnsi="Calibri"/>
                <w:color w:val="0F172A"/>
                <w:sz w:val="18"/>
              </w:rPr>
              <w:t>NIST/industry consensus; mitigations reduce probability but cannot eliminate; insurance + Legal review</w:t>
            </w:r>
          </w:p>
        </w:tc>
      </w:tr>
      <w:tr>
        <w:tc>
          <w:tcPr>
            <w:tcW w:type="dxa" w:w="4873"/>
          </w:tcPr>
          <w:p>
            <w:r/>
            <w:r>
              <w:rPr>
                <w:rFonts w:ascii="Calibri" w:hAnsi="Calibri"/>
                <w:color w:val="0F172A"/>
                <w:sz w:val="18"/>
              </w:rPr>
              <w:t>Safety tail risk (E_safety) is bounded by Severity = 10 in FMEA but cannot be insured to full exposure</w:t>
            </w:r>
          </w:p>
        </w:tc>
        <w:tc>
          <w:tcPr>
            <w:tcW w:type="dxa" w:w="4873"/>
          </w:tcPr>
          <w:p>
            <w:r/>
            <w:r>
              <w:rPr>
                <w:rFonts w:ascii="Calibri" w:hAnsi="Calibri"/>
                <w:color w:val="0F172A"/>
                <w:sz w:val="18"/>
              </w:rPr>
              <w:t>Structural controls (Poka-Yoke, air-gap) reduce probability; unbounded tail is structural reality</w:t>
            </w:r>
          </w:p>
        </w:tc>
      </w:tr>
      <w:tr>
        <w:tc>
          <w:tcPr>
            <w:tcW w:type="dxa" w:w="4873"/>
          </w:tcPr>
          <w:p>
            <w:r/>
            <w:r>
              <w:rPr>
                <w:rFonts w:ascii="Calibri" w:hAnsi="Calibri"/>
                <w:color w:val="0F172A"/>
                <w:sz w:val="18"/>
              </w:rPr>
              <w:t>Vendor remote-access may still be exploited if vendor endpoint is compromised</w:t>
            </w:r>
          </w:p>
        </w:tc>
        <w:tc>
          <w:tcPr>
            <w:tcW w:type="dxa" w:w="4873"/>
          </w:tcPr>
          <w:p>
            <w:r/>
            <w:r>
              <w:rPr>
                <w:rFonts w:ascii="Calibri" w:hAnsi="Calibri"/>
                <w:color w:val="0F172A"/>
                <w:sz w:val="18"/>
              </w:rPr>
              <w:t>Brokered access + session recording + cryptographic handshake limit blast radius; quarterly vendor risk review</w:t>
            </w:r>
          </w:p>
        </w:tc>
      </w:tr>
      <w:tr>
        <w:tc>
          <w:tcPr>
            <w:tcW w:type="dxa" w:w="4873"/>
          </w:tcPr>
          <w:p>
            <w:r/>
            <w:r>
              <w:rPr>
                <w:rFonts w:ascii="Calibri" w:hAnsi="Calibri"/>
                <w:color w:val="0F172A"/>
                <w:sz w:val="18"/>
              </w:rPr>
              <w:t>Regulatory environment may change mid-engagement</w:t>
            </w:r>
          </w:p>
        </w:tc>
        <w:tc>
          <w:tcPr>
            <w:tcW w:type="dxa" w:w="4873"/>
          </w:tcPr>
          <w:p>
            <w:r/>
            <w:r>
              <w:rPr>
                <w:rFonts w:ascii="Calibri" w:hAnsi="Calibri"/>
                <w:color w:val="0F172A"/>
                <w:sz w:val="18"/>
              </w:rPr>
              <w:t>Kaizen trigger #4; MBB + Legal monitoring; control plan adaptable</w:t>
            </w:r>
          </w:p>
        </w:tc>
      </w:tr>
      <w:tr>
        <w:tc>
          <w:tcPr>
            <w:tcW w:type="dxa" w:w="4873"/>
          </w:tcPr>
          <w:p>
            <w:r/>
            <w:r>
              <w:rPr>
                <w:rFonts w:ascii="Calibri" w:hAnsi="Calibri"/>
                <w:color w:val="0F172A"/>
                <w:sz w:val="18"/>
              </w:rPr>
              <w:t>Cross-site replication may not achieve Level 5 maturity by month 18</w:t>
            </w:r>
          </w:p>
        </w:tc>
        <w:tc>
          <w:tcPr>
            <w:tcW w:type="dxa" w:w="4873"/>
          </w:tcPr>
          <w:p>
            <w:r/>
            <w:r>
              <w:rPr>
                <w:rFonts w:ascii="Calibri" w:hAnsi="Calibri"/>
                <w:color w:val="0F172A"/>
                <w:sz w:val="18"/>
              </w:rPr>
              <w:t>Maturity model is aspirational; Level 4 is the contractual target</w:t>
            </w:r>
          </w:p>
        </w:tc>
      </w:tr>
      <w:tr>
        <w:tc>
          <w:tcPr>
            <w:tcW w:type="dxa" w:w="4873"/>
          </w:tcPr>
          <w:p>
            <w:r/>
            <w:r>
              <w:rPr>
                <w:rFonts w:ascii="Calibri" w:hAnsi="Calibri"/>
                <w:color w:val="0F172A"/>
                <w:sz w:val="18"/>
              </w:rPr>
              <w:t>GB over-allocation may require scope reduction at peak load</w:t>
            </w:r>
          </w:p>
        </w:tc>
        <w:tc>
          <w:tcPr>
            <w:tcW w:type="dxa" w:w="4873"/>
          </w:tcPr>
          <w:p>
            <w:r/>
            <w:r>
              <w:rPr>
                <w:rFonts w:ascii="Calibri" w:hAnsi="Calibri"/>
                <w:color w:val="0F172A"/>
                <w:sz w:val="18"/>
              </w:rPr>
              <w:t>MBB monitors; Tier 2 escalation; CISO trade-off decision</w:t>
            </w:r>
          </w:p>
        </w:tc>
      </w:tr>
    </w:tbl>
    <w:p/>
    <w:p>
      <w:r>
        <w:rPr>
          <w:rFonts w:ascii="Calibri" w:hAnsi="Calibri"/>
          <w:b/>
          <w:sz w:val="22"/>
        </w:rPr>
        <w:t>Residual risk acceptance is a CISO decision at G1.</w:t>
      </w:r>
      <w:r>
        <w:rPr>
          <w:rFonts w:ascii="Calibri" w:hAnsi="Calibri"/>
          <w:sz w:val="22"/>
        </w:rPr>
        <w:t xml:space="preserve"> The CISO may amend the acceptance list at any subsequent tollgate or bi-annual audit.</w:t>
      </w:r>
    </w:p>
    <w:p>
      <w:pPr>
        <w:pBdr>
          <w:bottom w:val="single" w:sz="6" w:space="1" w:color="CBD5E1"/>
        </w:pBdr>
      </w:pPr>
    </w:p>
    <w:p>
      <w:r>
        <w:rPr>
          <w:rFonts w:ascii="Calibri" w:hAnsi="Calibri"/>
          <w:b/>
          <w:color w:val="0F172A"/>
          <w:sz w:val="28"/>
        </w:rPr>
        <w:t>8.5 Engagement Entropy Defence</w:t>
      </w:r>
    </w:p>
    <w:p>
      <w:r>
        <w:rPr>
          <w:rFonts w:ascii="Calibri" w:hAnsi="Calibri"/>
          <w:sz w:val="22"/>
        </w:rPr>
        <w:t>Following the OSI whitepaper's Layer 4 principles, the engagement embeds entropy defence mechanisms to prevent the engagement itself from drifting:</w:t>
      </w:r>
    </w:p>
    <w:p>
      <w:pPr>
        <w:pStyle w:val="ListNumber"/>
      </w:pPr>
      <w:r>
        <w:rPr>
          <w:rFonts w:ascii="Calibri" w:hAnsi="Calibri"/>
          <w:b/>
          <w:sz w:val="22"/>
        </w:rPr>
        <w:t>Tollgate discipline</w:t>
      </w:r>
      <w:r>
        <w:rPr>
          <w:rFonts w:ascii="Calibri" w:hAnsi="Calibri"/>
          <w:sz w:val="22"/>
        </w:rPr>
        <w:t xml:space="preserve"> — no phase advances without CISO sign-off (G1–G5)</w:t>
      </w:r>
    </w:p>
    <w:p>
      <w:pPr>
        <w:pStyle w:val="ListNumber"/>
      </w:pPr>
      <w:r>
        <w:rPr>
          <w:rFonts w:ascii="Calibri" w:hAnsi="Calibri"/>
          <w:b/>
          <w:sz w:val="22"/>
        </w:rPr>
        <w:t>Bi-weekly briefing</w:t>
      </w:r>
      <w:r>
        <w:rPr>
          <w:rFonts w:ascii="Calibri" w:hAnsi="Calibri"/>
          <w:sz w:val="22"/>
        </w:rPr>
        <w:t xml:space="preserve"> — CISO continuously informed; entropy surfaced early</w:t>
      </w:r>
    </w:p>
    <w:p>
      <w:pPr>
        <w:pStyle w:val="ListNumber"/>
      </w:pPr>
      <w:r>
        <w:rPr>
          <w:rFonts w:ascii="Calibri" w:hAnsi="Calibri"/>
          <w:b/>
          <w:sz w:val="22"/>
        </w:rPr>
        <w:t>Bi-annual audit</w:t>
      </w:r>
      <w:r>
        <w:rPr>
          <w:rFonts w:ascii="Calibri" w:hAnsi="Calibri"/>
          <w:sz w:val="22"/>
        </w:rPr>
        <w:t xml:space="preserve"> — formal review every 6 months; control plan validated</w:t>
      </w:r>
    </w:p>
    <w:p>
      <w:pPr>
        <w:pStyle w:val="ListNumber"/>
      </w:pPr>
      <w:r>
        <w:rPr>
          <w:rFonts w:ascii="Calibri" w:hAnsi="Calibri"/>
          <w:b/>
          <w:sz w:val="22"/>
        </w:rPr>
        <w:t>Maturity scoring</w:t>
      </w:r>
      <w:r>
        <w:rPr>
          <w:rFonts w:ascii="Calibri" w:hAnsi="Calibri"/>
          <w:sz w:val="22"/>
        </w:rPr>
        <w:t xml:space="preserve"> — quarterly self-assessment; regression triggers escalation</w:t>
      </w:r>
    </w:p>
    <w:p>
      <w:pPr>
        <w:pStyle w:val="ListNumber"/>
      </w:pPr>
      <w:r>
        <w:rPr>
          <w:rFonts w:ascii="Calibri" w:hAnsi="Calibri"/>
          <w:b/>
          <w:sz w:val="22"/>
        </w:rPr>
        <w:t>Standard Work compliance</w:t>
      </w:r>
      <w:r>
        <w:rPr>
          <w:rFonts w:ascii="Calibri" w:hAnsi="Calibri"/>
          <w:sz w:val="22"/>
        </w:rPr>
        <w:t xml:space="preserve"> — 100% target; non-compliance escalates</w:t>
      </w:r>
    </w:p>
    <w:p>
      <w:pPr>
        <w:pStyle w:val="ListNumber"/>
      </w:pPr>
      <w:r>
        <w:rPr>
          <w:rFonts w:ascii="Calibri" w:hAnsi="Calibri"/>
          <w:b/>
          <w:sz w:val="22"/>
        </w:rPr>
        <w:t>Kaizen triggers</w:t>
      </w:r>
      <w:r>
        <w:rPr>
          <w:rFonts w:ascii="Calibri" w:hAnsi="Calibri"/>
          <w:sz w:val="22"/>
        </w:rPr>
        <w:t xml:space="preserve"> — 13 conditions; A3 within 5 BD; structural changes escalate to Tier 3</w:t>
      </w:r>
    </w:p>
    <w:p>
      <w:pPr>
        <w:pStyle w:val="ListNumber"/>
      </w:pPr>
      <w:r>
        <w:rPr>
          <w:rFonts w:ascii="Calibri" w:hAnsi="Calibri"/>
          <w:b/>
          <w:sz w:val="22"/>
        </w:rPr>
        <w:t>Risk register</w:t>
      </w:r>
      <w:r>
        <w:rPr>
          <w:rFonts w:ascii="Calibri" w:hAnsi="Calibri"/>
          <w:sz w:val="22"/>
        </w:rPr>
        <w:t xml:space="preserve"> — quarterly refresh; active risks actively mitigated</w:t>
      </w:r>
    </w:p>
    <w:p>
      <w:pPr>
        <w:pStyle w:val="ListNumber"/>
      </w:pPr>
      <w:r>
        <w:rPr>
          <w:rFonts w:ascii="Calibri" w:hAnsi="Calibri"/>
          <w:b/>
          <w:sz w:val="22"/>
        </w:rPr>
        <w:t>MBB presence</w:t>
      </w:r>
      <w:r>
        <w:rPr>
          <w:rFonts w:ascii="Calibri" w:hAnsi="Calibri"/>
          <w:sz w:val="22"/>
        </w:rPr>
        <w:t xml:space="preserve"> — sole presenter to CISO; methodology integrity owned</w:t>
      </w:r>
    </w:p>
    <w:p>
      <w:pPr>
        <w:pStyle w:val="ListNumber"/>
      </w:pPr>
      <w:r>
        <w:rPr>
          <w:rFonts w:ascii="Calibri" w:hAnsi="Calibri"/>
          <w:b/>
          <w:sz w:val="22"/>
        </w:rPr>
        <w:t>Documentation discipline</w:t>
      </w:r>
      <w:r>
        <w:rPr>
          <w:rFonts w:ascii="Calibri" w:hAnsi="Calibri"/>
          <w:sz w:val="22"/>
        </w:rPr>
        <w:t xml:space="preserve"> — every tollgate, audit, Kaizen, FMEA refresh is documented</w:t>
      </w:r>
    </w:p>
    <w:p>
      <w:pPr>
        <w:pStyle w:val="ListNumber"/>
      </w:pPr>
      <w:r>
        <w:rPr>
          <w:rFonts w:ascii="Calibri" w:hAnsi="Calibri"/>
          <w:b/>
          <w:sz w:val="22"/>
        </w:rPr>
        <w:t>Cross-site replication</w:t>
      </w:r>
      <w:r>
        <w:rPr>
          <w:rFonts w:ascii="Calibri" w:hAnsi="Calibri"/>
          <w:sz w:val="22"/>
        </w:rPr>
        <w:t xml:space="preserve"> — site MBB certification; cross-site audit exchange; enterprise benchmark</w:t>
      </w:r>
    </w:p>
    <w:p>
      <w:r>
        <w:rPr>
          <w:rFonts w:ascii="Calibri" w:hAnsi="Calibri"/>
          <w:b/>
          <w:sz w:val="22"/>
        </w:rPr>
        <w:t>Entropy defence principle:</w:t>
      </w:r>
      <w:r>
        <w:rPr>
          <w:rFonts w:ascii="Calibri" w:hAnsi="Calibri"/>
          <w:sz w:val="22"/>
        </w:rPr>
        <w:t xml:space="preserve"> The engagement's governance is the structural protection against project degradation. The OSI whitepaper's Layer 4 logic applies to the engagement itself, not just to the OT environment.</w:t>
      </w:r>
    </w:p>
    <w:p>
      <w:pPr>
        <w:pBdr>
          <w:bottom w:val="single" w:sz="6" w:space="1" w:color="CBD5E1"/>
        </w:pBdr>
      </w:pPr>
    </w:p>
    <w:p>
      <w:r>
        <w:rPr>
          <w:rFonts w:ascii="Calibri" w:hAnsi="Calibri"/>
          <w:b/>
          <w:color w:val="0F172A"/>
          <w:sz w:val="28"/>
        </w:rPr>
        <w:t>8.6 What Section 8 Does Not Cover</w:t>
      </w:r>
    </w:p>
    <w:p>
      <w:r>
        <w:rPr>
          <w:rFonts w:ascii="Calibri" w:hAnsi="Calibri"/>
          <w:sz w:val="22"/>
        </w:rPr>
        <w:t>Section 8 is the constraints and risks framework. The final components of the Phase 1 (Define) deliverable are:</w:t>
      </w:r>
    </w:p>
    <w:p>
      <w:pPr>
        <w:pStyle w:val="ListBullet"/>
      </w:pPr>
      <w:r>
        <w:rPr>
          <w:rFonts w:ascii="Calibri" w:hAnsi="Calibri"/>
          <w:b/>
          <w:sz w:val="22"/>
        </w:rPr>
        <w:t>Appendix A — CISO Elevator Pitch</w:t>
      </w:r>
      <w:r>
        <w:rPr>
          <w:rFonts w:ascii="Calibri" w:hAnsi="Calibri"/>
          <w:sz w:val="22"/>
        </w:rPr>
        <w:t xml:space="preserve"> — standalone, ~1 page, the verbal opener for the CISO meeting</w:t>
      </w:r>
    </w:p>
    <w:p>
      <w:pPr>
        <w:pStyle w:val="ListBullet"/>
      </w:pPr>
      <w:r>
        <w:rPr>
          <w:rFonts w:ascii="Calibri" w:hAnsi="Calibri"/>
          <w:b/>
          <w:sz w:val="22"/>
        </w:rPr>
        <w:t>Appendix B — CISO Executive Dashboard Mockup</w:t>
      </w:r>
      <w:r>
        <w:rPr>
          <w:rFonts w:ascii="Calibri" w:hAnsi="Calibri"/>
          <w:sz w:val="22"/>
        </w:rPr>
        <w:t xml:space="preserve"> — standalone, visual mockup of Tile 1–8 structure</w:t>
      </w:r>
    </w:p>
    <w:p>
      <w:pPr>
        <w:pStyle w:val="ListBullet"/>
      </w:pPr>
      <w:r>
        <w:rPr>
          <w:rFonts w:ascii="Calibri" w:hAnsi="Calibri"/>
          <w:b/>
          <w:sz w:val="22"/>
        </w:rPr>
        <w:t>Final compilation</w:t>
      </w:r>
      <w:r>
        <w:rPr>
          <w:rFonts w:ascii="Calibri" w:hAnsi="Calibri"/>
          <w:sz w:val="22"/>
        </w:rPr>
        <w:t xml:space="preserve"> — all 8 sections + 2 appendices compiled to </w:t>
      </w:r>
      <w:r>
        <w:rPr>
          <w:rFonts w:ascii="Consolas" w:hAnsi="Consolas"/>
          <w:sz w:val="20"/>
        </w:rPr>
        <w:t>Cyber-Resilience-Project-Charter.docx</w:t>
      </w:r>
      <w:r>
        <w:rPr>
          <w:rFonts w:ascii="Calibri" w:hAnsi="Calibri"/>
          <w:sz w:val="22"/>
        </w:rPr>
        <w:t xml:space="preserve"> once all components are approved</w:t>
      </w:r>
    </w:p>
    <w:p>
      <w:r>
        <w:br w:type="page"/>
      </w:r>
    </w:p>
    <w:p>
      <w:r>
        <w:rPr>
          <w:rFonts w:ascii="Calibri" w:hAnsi="Calibri"/>
          <w:b/>
          <w:color w:val="1E40AF"/>
          <w:sz w:val="40"/>
        </w:rPr>
        <w:t>Appendix A — CISO Elevator Pitch</w:t>
      </w:r>
    </w:p>
    <w:p>
      <w:pPr>
        <w:pBdr>
          <w:bottom w:val="single" w:sz="6" w:space="1" w:color="CBD5E1"/>
        </w:pBdr>
      </w:pPr>
    </w:p>
    <w:p/>
    <w:p>
      <w:r>
        <w:rPr>
          <w:rFonts w:ascii="Calibri" w:hAnsi="Calibri"/>
          <w:b/>
          <w:sz w:val="22"/>
        </w:rPr>
        <w:t>Section status:</w:t>
      </w:r>
      <w:r>
        <w:rPr>
          <w:rFonts w:ascii="Calibri" w:hAnsi="Calibri"/>
          <w:sz w:val="22"/>
        </w:rPr>
        <w:t xml:space="preserve"> Draft for review</w:t>
      </w:r>
    </w:p>
    <w:p>
      <w:r>
        <w:rPr>
          <w:rFonts w:ascii="Calibri" w:hAnsi="Calibri"/>
          <w:b/>
          <w:sz w:val="22"/>
        </w:rPr>
        <w:t>Reviewer:</w:t>
      </w:r>
      <w:r>
        <w:rPr>
          <w:rFonts w:ascii="Calibri" w:hAnsi="Calibri"/>
          <w:sz w:val="22"/>
        </w:rPr>
        <w:t xml:space="preserve"> Olivia Key (MBB)</w:t>
      </w:r>
    </w:p>
    <w:p>
      <w:r>
        <w:rPr>
          <w:rFonts w:ascii="Calibri" w:hAnsi="Calibri"/>
          <w:b/>
          <w:sz w:val="22"/>
        </w:rPr>
        <w:t>Source:</w:t>
      </w:r>
      <w:r>
        <w:rPr>
          <w:rFonts w:ascii="Calibri" w:hAnsi="Calibri"/>
          <w:sz w:val="22"/>
        </w:rPr>
        <w:t xml:space="preserve"> Polished from the pitch in </w:t>
      </w:r>
      <w:r>
        <w:rPr>
          <w:rFonts w:ascii="Consolas" w:hAnsi="Consolas"/>
          <w:color w:val="334155"/>
          <w:sz w:val="20"/>
        </w:rPr>
        <w:t>context/00-original-input.md</w:t>
      </w:r>
      <w:r>
        <w:rPr>
          <w:rFonts w:ascii="Calibri" w:hAnsi="Calibri"/>
          <w:sz w:val="22"/>
        </w:rPr>
        <w:t xml:space="preserve"> §CISO Elevator Pitch, expanded into three audience-tailored variants</w:t>
      </w:r>
    </w:p>
    <w:p>
      <w:r>
        <w:rPr>
          <w:rFonts w:ascii="Calibri" w:hAnsi="Calibri"/>
          <w:b/>
          <w:sz w:val="22"/>
        </w:rPr>
        <w:t>Emphasis:</w:t>
      </w:r>
      <w:r>
        <w:rPr>
          <w:rFonts w:ascii="Calibri" w:hAnsi="Calibri"/>
          <w:sz w:val="22"/>
        </w:rPr>
        <w:t xml:space="preserve"> Three pain points (silent corruption, IP exfiltration, COPQ) lead the CISO and Board variants, intertwined with safety, IP, and ROI/COPQ. The 30-Second variant compresses the same architecture into a single spoken paragraph.</w:t>
      </w:r>
    </w:p>
    <w:p>
      <w:pPr>
        <w:pBdr>
          <w:bottom w:val="single" w:sz="6" w:space="1" w:color="CBD5E1"/>
        </w:pBdr>
      </w:pPr>
    </w:p>
    <w:p>
      <w:r>
        <w:rPr>
          <w:rFonts w:ascii="Calibri" w:hAnsi="Calibri"/>
          <w:b/>
          <w:color w:val="0F172A"/>
          <w:sz w:val="28"/>
        </w:rPr>
        <w:t>A.1 CISO Opening (the primary, for the G1 meeting)</w:t>
      </w:r>
    </w:p>
    <w:p>
      <w:r>
        <w:rPr>
          <w:rFonts w:ascii="Calibri" w:hAnsi="Calibri"/>
          <w:b/>
          <w:sz w:val="22"/>
        </w:rPr>
        <w:t>Context:</w:t>
      </w:r>
      <w:r>
        <w:rPr>
          <w:rFonts w:ascii="Calibri" w:hAnsi="Calibri"/>
          <w:sz w:val="22"/>
        </w:rPr>
        <w:t xml:space="preserve"> The verbal opener for the CISO's first tollgate review (G1, end of Week 3). Spoken in the pre-tollgate review and the G1 meeting itself. ~3 minutes spoken. Frames the engagement as the structural answer to the three pain points the CISO already carries.</w:t>
      </w:r>
    </w:p>
    <w:p>
      <w:pPr>
        <w:pBdr>
          <w:bottom w:val="single" w:sz="6" w:space="1" w:color="CBD5E1"/>
        </w:pBdr>
      </w:pPr>
    </w:p>
    <w:p>
      <w:r>
        <w:rPr>
          <w:rFonts w:ascii="Calibri" w:hAnsi="Calibri"/>
          <w:b/>
          <w:color w:val="0F172A"/>
          <w:sz w:val="24"/>
        </w:rPr>
        <w:t>The three pain points — what the CISO already knows but cannot fix with current posture</w:t>
      </w:r>
    </w:p>
    <w:p>
      <w:r>
        <w:rPr>
          <w:rFonts w:ascii="Calibri" w:hAnsi="Calibri"/>
          <w:b/>
          <w:sz w:val="22"/>
        </w:rPr>
        <w:t>1. Silent corruption is a recall waiting to happen, not a downtime event.</w:t>
      </w:r>
    </w:p>
    <w:p>
      <w:r>
        <w:rPr>
          <w:rFonts w:ascii="Calibri" w:hAnsi="Calibri"/>
          <w:sz w:val="22"/>
        </w:rPr>
        <w:t>Seven of our top 12 FMEA failure modes are silent corruption — process parameters altered, no halt, cells pass inspection, fail in field. The highest-RPN mode is aging cycle manipulation in formation: RPN 540, Severity 10. Probability-adjusted annual exposure: $5M–$50M per department. This is the failure class that produces recalls, warranty extensions, and OEM contractual breach — and the failure class our current IT security perimeter cannot detect, because there is no halt to alert on. The original OSI entropy framework did not have to carry this exposure. The cyber engagement does.</w:t>
      </w:r>
    </w:p>
    <w:p>
      <w:r>
        <w:rPr>
          <w:rFonts w:ascii="Calibri" w:hAnsi="Calibri"/>
          <w:b/>
          <w:sz w:val="22"/>
        </w:rPr>
        <w:t>2. IP exfiltration is permanent loss, not a recoverable incident.</w:t>
      </w:r>
    </w:p>
    <w:p>
      <w:r>
        <w:rPr>
          <w:rFonts w:ascii="Calibri" w:hAnsi="Calibri"/>
          <w:sz w:val="22"/>
        </w:rPr>
        <w:t>Battery chemistry IP is valued at $100M–$1B+ per platform — formation recipes, electrolyte chemistry, dopant systems, cell designs. The probability-adjusted annual exposure is $10M–$100M per department. Once exfiltrated, the IP is gone — it cannot be recovered, and most of it cannot be insured. State-aligned APTs target this IP class specifically. The original OSI whitepaper's exposure band was $6M–$16M per department; the cyber engagement's exposure band is $20M–$180M+ per department, driven by IP and silent corruption.</w:t>
      </w:r>
    </w:p>
    <w:p>
      <w:r>
        <w:rPr>
          <w:rFonts w:ascii="Calibri" w:hAnsi="Calibri"/>
          <w:b/>
          <w:sz w:val="22"/>
        </w:rPr>
        <w:t>3. Every minute of MTTR above target is $4K–$11.5K of direct loss, on every line, every event.</w:t>
      </w:r>
    </w:p>
    <w:p>
      <w:r>
        <w:rPr>
          <w:rFonts w:ascii="Calibri" w:hAnsi="Calibri"/>
          <w:sz w:val="22"/>
        </w:rPr>
        <w:t>The blended COPQ for a high-volume cell line is $4,000–$11,500 per minute — $240K–$690K per hour. The per-incident direct cost for a major event is $30M–$100M+. Every minute of MTTR breach is direct cost, compounded across the 5-site enterprise. The 5-site protected value at conservative capture (M=25%) is $25M–$225M+ per year. Every minute we delay the engagement is exposure we have already decided to accept.</w:t>
      </w:r>
    </w:p>
    <w:p>
      <w:r>
        <w:rPr>
          <w:rFonts w:ascii="Calibri" w:hAnsi="Calibri"/>
          <w:b/>
          <w:color w:val="0F172A"/>
          <w:sz w:val="24"/>
        </w:rPr>
        <w:t>The structural answer — what this engagement delivers</w:t>
      </w:r>
    </w:p>
    <w:p>
      <w:r>
        <w:rPr>
          <w:rFonts w:ascii="Calibri" w:hAnsi="Calibri"/>
          <w:sz w:val="22"/>
        </w:rPr>
        <w:t xml:space="preserve">This is not an IT security initiative. It is a </w:t>
      </w:r>
      <w:r>
        <w:rPr>
          <w:rFonts w:ascii="Calibri" w:hAnsi="Calibri"/>
          <w:b/>
          <w:sz w:val="22"/>
        </w:rPr>
        <w:t>Lean Six Sigma process-defect programme</w:t>
      </w:r>
      <w:r>
        <w:rPr>
          <w:rFonts w:ascii="Calibri" w:hAnsi="Calibri"/>
          <w:sz w:val="22"/>
        </w:rPr>
        <w:t xml:space="preserve"> applied to cyber-induced downtime, executed by 19 Green Belts across 12 weeks under DMAIC discipline, with capability indices rolled up to </w:t>
      </w:r>
      <w:r>
        <w:rPr>
          <w:rFonts w:ascii="Calibri" w:hAnsi="Calibri"/>
          <w:b/>
          <w:sz w:val="22"/>
        </w:rPr>
        <w:t>Z ≥ 6.0</w:t>
      </w:r>
      <w:r>
        <w:rPr>
          <w:rFonts w:ascii="Calibri" w:hAnsi="Calibri"/>
          <w:sz w:val="22"/>
        </w:rPr>
        <w:t xml:space="preserve"> (theoretical Six Sigma, 0.002 DPMO short-term / 3.4 DPMO with the 1.5σ long-term drift shift). The methodology is data-blind (your team's anonymisation pipeline is the trust boundary), the failure modes are statistically derived (FMEA with S×O×D scoring, 7 of 12 modes at Severity = 10), and the controls are structural rather than procedural (Cyber Poka-Yoke, SMED recovery rigs, AI-augmented Layer 3, cryptographic recipe signing).</w:t>
      </w:r>
    </w:p>
    <w:p>
      <w:r>
        <w:rPr>
          <w:rFonts w:ascii="Calibri" w:hAnsi="Calibri"/>
          <w:sz w:val="22"/>
        </w:rPr>
        <w:t xml:space="preserve">The engagement is not asking you to accept more risk. It is asking you to make the existing risk </w:t>
      </w:r>
      <w:r>
        <w:rPr>
          <w:rFonts w:ascii="Calibri" w:hAnsi="Calibri"/>
          <w:b/>
          <w:sz w:val="22"/>
        </w:rPr>
        <w:t>statistically visible, structurally contained, and continuously governed</w:t>
      </w:r>
      <w:r>
        <w:rPr>
          <w:rFonts w:ascii="Calibri" w:hAnsi="Calibri"/>
          <w:sz w:val="22"/>
        </w:rPr>
        <w:t xml:space="preserve"> — through the Executive Dashboard (8 tiles, real-time Z-score, COPQ protected, MTTD/MTTR, FMEA RPN, Kaizen activity, maturity score, regulatory compliance), the bi-weekly briefings, the bi-annual audits, and the annual strategic review. Your risk appetite sets the target; the engagement delivers the capability to hit it.</w:t>
      </w:r>
    </w:p>
    <w:p>
      <w:r>
        <w:rPr>
          <w:rFonts w:ascii="Calibri" w:hAnsi="Calibri"/>
          <w:b/>
          <w:color w:val="0F172A"/>
          <w:sz w:val="24"/>
        </w:rPr>
        <w:t>The ask — what the CISO signs off on at G1</w:t>
      </w:r>
    </w:p>
    <w:p>
      <w:r>
        <w:rPr>
          <w:rFonts w:ascii="Calibri" w:hAnsi="Calibri"/>
          <w:sz w:val="22"/>
        </w:rPr>
        <w:t>You are the sole signatory on G1. The ask is:</w:t>
      </w:r>
    </w:p>
    <w:p>
      <w:pPr>
        <w:pStyle w:val="ListNumber"/>
      </w:pPr>
      <w:r>
        <w:rPr>
          <w:rFonts w:ascii="Calibri" w:hAnsi="Calibri"/>
          <w:b/>
          <w:sz w:val="22"/>
        </w:rPr>
        <w:t>Approve the charter</w:t>
      </w:r>
      <w:r>
        <w:rPr>
          <w:rFonts w:ascii="Calibri" w:hAnsi="Calibri"/>
          <w:sz w:val="22"/>
        </w:rPr>
        <w:t xml:space="preserve"> — §§1–8 of this document, scope, team, 12-week timeline, 5 tollgates</w:t>
      </w:r>
    </w:p>
    <w:p>
      <w:pPr>
        <w:pStyle w:val="ListNumber"/>
      </w:pPr>
      <w:r>
        <w:rPr>
          <w:rFonts w:ascii="Calibri" w:hAnsi="Calibri"/>
          <w:b/>
          <w:sz w:val="22"/>
        </w:rPr>
        <w:t>Approve the data-access protocol</w:t>
      </w:r>
      <w:r>
        <w:rPr>
          <w:rFonts w:ascii="Calibri" w:hAnsi="Calibri"/>
          <w:sz w:val="22"/>
        </w:rPr>
        <w:t xml:space="preserve"> — your team's anonymisation pipeline; GBs query only post-anonymisation outputs; quarterly third-party audit</w:t>
      </w:r>
    </w:p>
    <w:p>
      <w:pPr>
        <w:pStyle w:val="ListNumber"/>
      </w:pPr>
      <w:r>
        <w:rPr>
          <w:rFonts w:ascii="Calibri" w:hAnsi="Calibri"/>
          <w:b/>
          <w:sz w:val="22"/>
        </w:rPr>
        <w:t>Approve the 4 active-mitigation risks</w:t>
      </w:r>
      <w:r>
        <w:rPr>
          <w:rFonts w:ascii="Calibri" w:hAnsi="Calibri"/>
          <w:sz w:val="22"/>
        </w:rPr>
        <w:t xml:space="preserve"> — the 4 risks at score ≥ 12, with explicit mitigations</w:t>
      </w:r>
    </w:p>
    <w:p>
      <w:pPr>
        <w:pStyle w:val="ListNumber"/>
      </w:pPr>
      <w:r>
        <w:rPr>
          <w:rFonts w:ascii="Calibri" w:hAnsi="Calibri"/>
          <w:b/>
          <w:sz w:val="22"/>
        </w:rPr>
        <w:t>Approve the 7 residual risks</w:t>
      </w:r>
      <w:r>
        <w:rPr>
          <w:rFonts w:ascii="Calibri" w:hAnsi="Calibri"/>
          <w:sz w:val="22"/>
        </w:rPr>
        <w:t xml:space="preserve"> — the risks the engagement accepts, with explicit acknowledgement</w:t>
      </w:r>
    </w:p>
    <w:p>
      <w:r>
        <w:rPr>
          <w:rFonts w:ascii="Calibri" w:hAnsi="Calibri"/>
          <w:sz w:val="22"/>
        </w:rPr>
        <w:t xml:space="preserve">The 12-week engagement delivers </w:t>
      </w:r>
      <w:r>
        <w:rPr>
          <w:rFonts w:ascii="Calibri" w:hAnsi="Calibri"/>
          <w:b/>
          <w:sz w:val="22"/>
        </w:rPr>
        <w:t>Z ≥ 6.0 capability</w:t>
      </w:r>
      <w:r>
        <w:rPr>
          <w:rFonts w:ascii="Calibri" w:hAnsi="Calibri"/>
          <w:sz w:val="22"/>
        </w:rPr>
        <w:t xml:space="preserve"> (theoretical Six Sigma, 0.002 DPMO short-term / 3.4 DPMO with the 1.5σ long-term shift), </w:t>
      </w:r>
      <w:r>
        <w:rPr>
          <w:rFonts w:ascii="Calibri" w:hAnsi="Calibri"/>
          <w:b/>
          <w:sz w:val="22"/>
        </w:rPr>
        <w:t>≥ 80% RPN reduction</w:t>
      </w:r>
      <w:r>
        <w:rPr>
          <w:rFonts w:ascii="Calibri" w:hAnsi="Calibri"/>
          <w:sz w:val="22"/>
        </w:rPr>
        <w:t xml:space="preserve"> across the top 10 cyber failure modes, and </w:t>
      </w:r>
      <w:r>
        <w:rPr>
          <w:rFonts w:ascii="Calibri" w:hAnsi="Calibri"/>
          <w:b/>
          <w:sz w:val="22"/>
        </w:rPr>
        <w:t>≥ 99% patch compliance</w:t>
      </w:r>
      <w:r>
        <w:rPr>
          <w:rFonts w:ascii="Calibri" w:hAnsi="Calibri"/>
          <w:sz w:val="22"/>
        </w:rPr>
        <w:t xml:space="preserve"> within maintenance windows. The 5-site enterprise protected value is $25M–$225M+ per year at conservative capture. The cost of no-action compounds annually; the cost of action is 1.9 FTE for 12 weeks.</w:t>
      </w:r>
    </w:p>
    <w:p>
      <w:r>
        <w:rPr>
          <w:rFonts w:ascii="Calibri" w:hAnsi="Calibri"/>
          <w:b/>
          <w:sz w:val="22"/>
        </w:rPr>
        <w:t>This engagement makes your "zero cyber-induced downtime" mandate statistically verifiable, not aspirational.</w:t>
      </w:r>
    </w:p>
    <w:p>
      <w:pPr>
        <w:pBdr>
          <w:bottom w:val="single" w:sz="6" w:space="1" w:color="CBD5E1"/>
        </w:pBdr>
      </w:pPr>
    </w:p>
    <w:p>
      <w:r>
        <w:rPr>
          <w:rFonts w:ascii="Calibri" w:hAnsi="Calibri"/>
          <w:b/>
          <w:color w:val="0F172A"/>
          <w:sz w:val="28"/>
        </w:rPr>
        <w:t>A.2 Board Pitch (for executive committee, Annual Strategic Review)</w:t>
      </w:r>
    </w:p>
    <w:p>
      <w:r>
        <w:rPr>
          <w:rFonts w:ascii="Calibri" w:hAnsi="Calibri"/>
          <w:b/>
          <w:sz w:val="22"/>
        </w:rPr>
        <w:t>Context:</w:t>
      </w:r>
      <w:r>
        <w:rPr>
          <w:rFonts w:ascii="Calibri" w:hAnsi="Calibri"/>
          <w:sz w:val="22"/>
        </w:rPr>
        <w:t xml:space="preserve"> The pitch for executive committee members (CEO, COO, CFO) and the Annual Strategic Review (§7.5). ~5 minutes spoken. Frames the engagement as enterprise risk mitigation, not operational initiative. Same three pain points, board-level framing.</w:t>
      </w:r>
    </w:p>
    <w:p>
      <w:pPr>
        <w:pBdr>
          <w:bottom w:val="single" w:sz="6" w:space="1" w:color="CBD5E1"/>
        </w:pBdr>
      </w:pPr>
    </w:p>
    <w:p>
      <w:r>
        <w:rPr>
          <w:rFonts w:ascii="Calibri" w:hAnsi="Calibri"/>
          <w:b/>
          <w:color w:val="0F172A"/>
          <w:sz w:val="24"/>
        </w:rPr>
        <w:t>The three pain points — at enterprise scale</w:t>
      </w:r>
    </w:p>
    <w:p>
      <w:r>
        <w:rPr>
          <w:rFonts w:ascii="Calibri" w:hAnsi="Calibri"/>
          <w:b/>
          <w:sz w:val="22"/>
        </w:rPr>
        <w:t>1. Silent corruption is the failure class that produces recalls, field failures, and OEM contractual breach — and the only one that traditional cybersecurity cannot see.</w:t>
      </w:r>
    </w:p>
    <w:p>
      <w:r>
        <w:rPr>
          <w:rFonts w:ascii="Calibri" w:hAnsi="Calibri"/>
          <w:sz w:val="22"/>
        </w:rPr>
        <w:t>In our top 12 FMEA modes, 7 are silent corruption (parameter tampering, no halt, in-line inspection passes, field failure). The highest RPN is 540 (formation aging cycle manipulation); the median for the SC class is 405. Each SC event produces a recall cost of $10M–$200M+ — the recall is the visible event, the IP and OEM contractual loss is the structural tail. Probability-adjusted annual exposure: $5M–$50M per department, $25M–$250M+ at the 5-site enterprise. This is the failure class the OSI entropy framework could not have carried; the cyber engagement is the structural answer.</w:t>
      </w:r>
    </w:p>
    <w:p>
      <w:r>
        <w:rPr>
          <w:rFonts w:ascii="Calibri" w:hAnsi="Calibri"/>
          <w:b/>
          <w:sz w:val="22"/>
        </w:rPr>
        <w:t>2. IP exfiltration is the largest single exposure class and the most uninsurable.</w:t>
      </w:r>
    </w:p>
    <w:p>
      <w:r>
        <w:rPr>
          <w:rFonts w:ascii="Calibri" w:hAnsi="Calibri"/>
          <w:sz w:val="22"/>
        </w:rPr>
        <w:t>Battery chemistry IP (formation recipes, electrolyte formulations, dopant systems) is valued at $100M–$1B+ per platform. The 5-site enterprise exposure is $50M–$500M+ per year at conservative capture, driven by state-aligned APT targeting of advanced cell chemistry. Once exfiltrated, the IP is permanent — recovery probability is structurally low, insurance coverage is structurally inadequate. This is the existential tail for any Tier-1 cell supplier; it is also the dominant motivation for state-aligned targeting. The engagement's IP-protection scope is the binding control.</w:t>
      </w:r>
    </w:p>
    <w:p>
      <w:r>
        <w:rPr>
          <w:rFonts w:ascii="Calibri" w:hAnsi="Calibri"/>
          <w:b/>
          <w:sz w:val="22"/>
        </w:rPr>
        <w:t>3. COPQ is the operating cost the CISO and CFO both see on the same dashboard.</w:t>
      </w:r>
    </w:p>
    <w:p>
      <w:r>
        <w:rPr>
          <w:rFonts w:ascii="Calibri" w:hAnsi="Calibri"/>
          <w:sz w:val="22"/>
        </w:rPr>
        <w:t xml:space="preserve">The blended COPQ for a high-volume cell line is $4,000–$11,500 per minute of cyber-induced downtime — $240K–$690K per hour. Per-incident direct cost is $30M–$100M+ for a major event. The 5-site enterprise protected value at M=25% is $25M–$225M+ per year; at M=50%, $50M–$450M+ per year. The 12-week engagement costs 1.9 FTE + modest external advisory; the ROI multiple is 5–10× even at conservative capture. </w:t>
      </w:r>
      <w:r>
        <w:rPr>
          <w:rFonts w:ascii="Calibri" w:hAnsi="Calibri"/>
          <w:b/>
          <w:sz w:val="22"/>
        </w:rPr>
        <w:t>The cost of action is bounded; the cost of no-action compounds annually.</w:t>
      </w:r>
    </w:p>
    <w:p>
      <w:r>
        <w:rPr>
          <w:rFonts w:ascii="Calibri" w:hAnsi="Calibri"/>
          <w:b/>
          <w:color w:val="0F172A"/>
          <w:sz w:val="24"/>
        </w:rPr>
        <w:t>The structural answer — at enterprise scale</w:t>
      </w:r>
    </w:p>
    <w:p>
      <w:r>
        <w:rPr>
          <w:rFonts w:ascii="Calibri" w:hAnsi="Calibri"/>
          <w:sz w:val="22"/>
        </w:rPr>
        <w:t>This is a 12-week process-defect programme, executed by 19 Green Belts under DMAIC, that delivers:</w:t>
      </w:r>
    </w:p>
    <w:p>
      <w:pPr>
        <w:pStyle w:val="ListBullet"/>
      </w:pPr>
      <w:r>
        <w:rPr>
          <w:rFonts w:ascii="Calibri" w:hAnsi="Calibri"/>
          <w:b/>
          <w:sz w:val="22"/>
        </w:rPr>
        <w:t>Z ≥ 6.0 capability</w:t>
      </w:r>
      <w:r>
        <w:rPr>
          <w:rFonts w:ascii="Calibri" w:hAnsi="Calibri"/>
          <w:sz w:val="22"/>
        </w:rPr>
        <w:t xml:space="preserve"> for cyber-induced downtime (theoretical Six Sigma, 0.002 DPMO short-term / 3.4 DPMO with 1.5σ long-term shift)</w:t>
      </w:r>
    </w:p>
    <w:p>
      <w:pPr>
        <w:pStyle w:val="ListBullet"/>
      </w:pPr>
      <w:r>
        <w:rPr>
          <w:rFonts w:ascii="Calibri" w:hAnsi="Calibri"/>
          <w:b/>
          <w:sz w:val="22"/>
        </w:rPr>
        <w:t>≥ 80% RPN reduction</w:t>
      </w:r>
      <w:r>
        <w:rPr>
          <w:rFonts w:ascii="Calibri" w:hAnsi="Calibri"/>
          <w:sz w:val="22"/>
        </w:rPr>
        <w:t xml:space="preserve"> across the top 10 cyber failure modes (Cyber-FMEA)</w:t>
      </w:r>
    </w:p>
    <w:p>
      <w:pPr>
        <w:pStyle w:val="ListBullet"/>
      </w:pPr>
      <w:r>
        <w:rPr>
          <w:rFonts w:ascii="Calibri" w:hAnsi="Calibri"/>
          <w:b/>
          <w:sz w:val="22"/>
        </w:rPr>
        <w:t>100% audit-pass</w:t>
      </w:r>
      <w:r>
        <w:rPr>
          <w:rFonts w:ascii="Calibri" w:hAnsi="Calibri"/>
          <w:sz w:val="22"/>
        </w:rPr>
        <w:t xml:space="preserve"> for NIS2, IEC 62443, and OEM cyber attestation</w:t>
      </w:r>
    </w:p>
    <w:p>
      <w:pPr>
        <w:pStyle w:val="ListBullet"/>
      </w:pPr>
      <w:r>
        <w:rPr>
          <w:rFonts w:ascii="Calibri" w:hAnsi="Calibri"/>
          <w:b/>
          <w:sz w:val="22"/>
        </w:rPr>
        <w:t>5-site enterprise protected value</w:t>
      </w:r>
      <w:r>
        <w:rPr>
          <w:rFonts w:ascii="Calibri" w:hAnsi="Calibri"/>
          <w:sz w:val="22"/>
        </w:rPr>
        <w:t xml:space="preserve"> of $25M–$225M+ per year (conservative)</w:t>
      </w:r>
    </w:p>
    <w:p>
      <w:pPr>
        <w:pStyle w:val="ListBullet"/>
      </w:pPr>
      <w:r>
        <w:rPr>
          <w:rFonts w:ascii="Calibri" w:hAnsi="Calibri"/>
          <w:b/>
          <w:sz w:val="22"/>
        </w:rPr>
        <w:t>Continuous governance</w:t>
      </w:r>
      <w:r>
        <w:rPr>
          <w:rFonts w:ascii="Calibri" w:hAnsi="Calibri"/>
          <w:sz w:val="22"/>
        </w:rPr>
        <w:t xml:space="preserve"> via the Executive Dashboard, bi-weekly briefings, bi-annual audits, and annual strategic review</w:t>
      </w:r>
    </w:p>
    <w:p>
      <w:r>
        <w:rPr>
          <w:rFonts w:ascii="Calibri" w:hAnsi="Calibri"/>
          <w:sz w:val="22"/>
        </w:rPr>
        <w:t xml:space="preserve">The engagement embeds structural controls (Cyber Poka-Yoke, SMED recovery rigs, AI-augmented Layer 3, cryptographic recipe signing) that make certain failure modes </w:t>
      </w:r>
      <w:r>
        <w:rPr>
          <w:rFonts w:ascii="Calibri" w:hAnsi="Calibri"/>
          <w:b/>
          <w:sz w:val="22"/>
        </w:rPr>
        <w:t>structurally impossible</w:t>
      </w:r>
      <w:r>
        <w:rPr>
          <w:rFonts w:ascii="Calibri" w:hAnsi="Calibri"/>
          <w:sz w:val="22"/>
        </w:rPr>
        <w:t xml:space="preserve"> — not just procedurally discouraged. The continuation phase (Green Belt Standard Work, 13 Kaizen triggers, maturity scoring, cross-site replication) prevents the engagement from fading into entropy relapse.</w:t>
      </w:r>
    </w:p>
    <w:p>
      <w:r>
        <w:rPr>
          <w:rFonts w:ascii="Calibri" w:hAnsi="Calibri"/>
          <w:b/>
          <w:color w:val="0F172A"/>
          <w:sz w:val="24"/>
        </w:rPr>
        <w:t>The ask — at enterprise scale</w:t>
      </w:r>
    </w:p>
    <w:p>
      <w:r>
        <w:rPr>
          <w:rFonts w:ascii="Calibri" w:hAnsi="Calibri"/>
          <w:sz w:val="22"/>
        </w:rPr>
        <w:t>The executive committee is asked to:</w:t>
      </w:r>
    </w:p>
    <w:p>
      <w:pPr>
        <w:pStyle w:val="ListNumber"/>
      </w:pPr>
      <w:r>
        <w:rPr>
          <w:rFonts w:ascii="Calibri" w:hAnsi="Calibri"/>
          <w:b/>
          <w:sz w:val="22"/>
        </w:rPr>
        <w:t>Back the engagement at the policy level</w:t>
      </w:r>
      <w:r>
        <w:rPr>
          <w:rFonts w:ascii="Calibri" w:hAnsi="Calibri"/>
          <w:sz w:val="22"/>
        </w:rPr>
        <w:t xml:space="preserve"> — set "zero cyber-induced downtime" as a board-level operational target, with the </w:t>
      </w:r>
      <w:r>
        <w:rPr>
          <w:rFonts w:ascii="Calibri" w:hAnsi="Calibri"/>
          <w:b/>
          <w:sz w:val="22"/>
        </w:rPr>
        <w:t>Z ≥ 6.0 capability</w:t>
      </w:r>
      <w:r>
        <w:rPr>
          <w:rFonts w:ascii="Calibri" w:hAnsi="Calibri"/>
          <w:sz w:val="22"/>
        </w:rPr>
        <w:t xml:space="preserve"> (theoretical Six Sigma) as the measurable expression</w:t>
      </w:r>
    </w:p>
    <w:p>
      <w:pPr>
        <w:pStyle w:val="ListNumber"/>
      </w:pPr>
      <w:r>
        <w:rPr>
          <w:rFonts w:ascii="Calibri" w:hAnsi="Calibri"/>
          <w:b/>
          <w:sz w:val="22"/>
        </w:rPr>
        <w:t>Approve the budget envelope</w:t>
      </w:r>
      <w:r>
        <w:rPr>
          <w:rFonts w:ascii="Calibri" w:hAnsi="Calibri"/>
          <w:sz w:val="22"/>
        </w:rPr>
        <w:t xml:space="preserve"> — 1.9 FTE GB allocation + modest external advisory; total all-in cost is a fraction of the 5-site enterprise protected value</w:t>
      </w:r>
    </w:p>
    <w:p>
      <w:pPr>
        <w:pStyle w:val="ListNumber"/>
      </w:pPr>
      <w:r>
        <w:rPr>
          <w:rFonts w:ascii="Calibri" w:hAnsi="Calibri"/>
          <w:b/>
          <w:sz w:val="22"/>
        </w:rPr>
        <w:t>Approve the cross-site replication plan</w:t>
      </w:r>
      <w:r>
        <w:rPr>
          <w:rFonts w:ascii="Calibri" w:hAnsi="Calibri"/>
          <w:sz w:val="22"/>
        </w:rPr>
        <w:t xml:space="preserve"> — Site 2 through Site 5 in 15 months post-G5; enterprise benchmark at month 18</w:t>
      </w:r>
    </w:p>
    <w:p>
      <w:pPr>
        <w:pStyle w:val="ListNumber"/>
      </w:pPr>
      <w:r>
        <w:rPr>
          <w:rFonts w:ascii="Calibri" w:hAnsi="Calibri"/>
          <w:b/>
          <w:sz w:val="22"/>
        </w:rPr>
        <w:t>Ratify the data-access protocol</w:t>
      </w:r>
      <w:r>
        <w:rPr>
          <w:rFonts w:ascii="Calibri" w:hAnsi="Calibri"/>
          <w:sz w:val="22"/>
        </w:rPr>
        <w:t xml:space="preserve"> — CISO-owned anonymisation pipeline; data-blind trust boundary</w:t>
      </w:r>
    </w:p>
    <w:p>
      <w:r>
        <w:rPr>
          <w:rFonts w:ascii="Calibri" w:hAnsi="Calibri"/>
          <w:sz w:val="22"/>
        </w:rPr>
        <w:t xml:space="preserve">The engagement's IP and safety scope makes it a </w:t>
      </w:r>
      <w:r>
        <w:rPr>
          <w:rFonts w:ascii="Calibri" w:hAnsi="Calibri"/>
          <w:b/>
          <w:sz w:val="22"/>
        </w:rPr>
        <w:t>strategic risk mitigation programme</w:t>
      </w:r>
      <w:r>
        <w:rPr>
          <w:rFonts w:ascii="Calibri" w:hAnsi="Calibri"/>
          <w:sz w:val="22"/>
        </w:rPr>
        <w:t>, not a security programme. The board's role is to set the risk appetite, ratify the budget, and ratify the cross-site rollout. The CISO runs the engagement; the MBB executes the methodology; the 19 Green Belts deliver the controls.</w:t>
      </w:r>
    </w:p>
    <w:p>
      <w:r>
        <w:rPr>
          <w:rFonts w:ascii="Calibri" w:hAnsi="Calibri"/>
          <w:b/>
          <w:sz w:val="22"/>
        </w:rPr>
        <w:t>This engagement converts "zero cyber-induced downtime" from a board aspiration into a board-level operating discipline.</w:t>
      </w:r>
    </w:p>
    <w:p>
      <w:pPr>
        <w:pBdr>
          <w:bottom w:val="single" w:sz="6" w:space="1" w:color="CBD5E1"/>
        </w:pBdr>
      </w:pPr>
    </w:p>
    <w:p>
      <w:r>
        <w:rPr>
          <w:rFonts w:ascii="Calibri" w:hAnsi="Calibri"/>
          <w:b/>
          <w:color w:val="0F172A"/>
          <w:sz w:val="28"/>
        </w:rPr>
        <w:t>A.3 30-Second Elevator (for impromptu conversations)</w:t>
      </w:r>
    </w:p>
    <w:p>
      <w:r>
        <w:rPr>
          <w:rFonts w:ascii="Calibri" w:hAnsi="Calibri"/>
          <w:b/>
          <w:sz w:val="22"/>
        </w:rPr>
        <w:t>Context:</w:t>
      </w:r>
      <w:r>
        <w:rPr>
          <w:rFonts w:ascii="Calibri" w:hAnsi="Calibri"/>
          <w:sz w:val="22"/>
        </w:rPr>
        <w:t xml:space="preserve"> The compressed pitch for corridor conversations, OEM customer meetings, peer-CISO gatherings, and any other impromptu moment. ~30 seconds spoken (3 sentences, ~75 words).</w:t>
      </w:r>
    </w:p>
    <w:p>
      <w:pPr>
        <w:pBdr>
          <w:bottom w:val="single" w:sz="6" w:space="1" w:color="CBD5E1"/>
        </w:pBdr>
      </w:pPr>
    </w:p>
    <w:p>
      <w:r>
        <w:rPr>
          <w:rFonts w:ascii="Calibri" w:hAnsi="Calibri"/>
          <w:sz w:val="22"/>
        </w:rPr>
        <w:t xml:space="preserve">&gt; </w:t>
      </w:r>
      <w:r>
        <w:rPr>
          <w:rFonts w:ascii="Calibri" w:hAnsi="Calibri"/>
          <w:b/>
          <w:sz w:val="22"/>
        </w:rPr>
        <w:t>Silent corruption is the failure class that produces recalls and field failures — 7 of our top 12 cyber FMEA modes, Severity 10, no halt to detect them. Battery chemistry IP is the largest single exposure class at $100M–$1B+ per platform, and it's the most uninsurable. We're running a 12-week Lean Six Sigma programme with 19 Green Belts to deliver Z ≥ 6.0 capability (theoretical Six Sigma), $25M–$225M+ per year protected value at the 5-site enterprise, and 100% audit-pass for NIS2 and OEM attestation — the cost of action is 1.9 FTE; the cost of no-action compounds annually.</w:t>
      </w:r>
    </w:p>
    <w:p>
      <w:pPr>
        <w:pBdr>
          <w:bottom w:val="single" w:sz="6" w:space="1" w:color="CBD5E1"/>
        </w:pBdr>
      </w:pPr>
    </w:p>
    <w:p>
      <w:r>
        <w:rPr>
          <w:rFonts w:ascii="Calibri" w:hAnsi="Calibri"/>
          <w:b/>
          <w:color w:val="0F172A"/>
          <w:sz w:val="24"/>
        </w:rPr>
        <w:t>Variant — for OEM customer conversations (regulatory + contractual emphasis)</w:t>
      </w:r>
    </w:p>
    <w:p>
      <w:r>
        <w:rPr>
          <w:rFonts w:ascii="Calibri" w:hAnsi="Calibri"/>
          <w:sz w:val="22"/>
        </w:rPr>
        <w:t xml:space="preserve">&gt; </w:t>
      </w:r>
      <w:r>
        <w:rPr>
          <w:rFonts w:ascii="Calibri" w:hAnsi="Calibri"/>
          <w:b/>
          <w:sz w:val="22"/>
        </w:rPr>
        <w:t>NIS2 and OEM cyber attestation are now table-stakes; the 2024–2027 enforcement window is the binding constraint for cell suppliers. We've built a Lean Six Sigma programme that delivers Z ≥ 6.0 capability (theoretical Six Sigma), 100% audit-pass, and continuous governance via an Executive Dashboard that the CISO and OEM can both see. The methodology is data-blind (your confidentiality mandate is protected), the failure modes are statistically derived, and the cross-site replication is built in — it's the operating discipline that turns attestation from a compliance exercise into a capability.</w:t>
      </w:r>
    </w:p>
    <w:p>
      <w:pPr>
        <w:pBdr>
          <w:bottom w:val="single" w:sz="6" w:space="1" w:color="CBD5E1"/>
        </w:pBdr>
      </w:pPr>
    </w:p>
    <w:p>
      <w:r>
        <w:rPr>
          <w:rFonts w:ascii="Calibri" w:hAnsi="Calibri"/>
          <w:b/>
          <w:color w:val="0F172A"/>
          <w:sz w:val="24"/>
        </w:rPr>
        <w:t>Variant — for IT Security peer conversations (technical emphasis)</w:t>
      </w:r>
    </w:p>
    <w:p>
      <w:r>
        <w:rPr>
          <w:rFonts w:ascii="Calibri" w:hAnsi="Calibri"/>
          <w:sz w:val="22"/>
        </w:rPr>
        <w:t xml:space="preserve">&gt; </w:t>
      </w:r>
      <w:r>
        <w:rPr>
          <w:rFonts w:ascii="Calibri" w:hAnsi="Calibri"/>
          <w:b/>
          <w:sz w:val="22"/>
        </w:rPr>
        <w:t>We're running a 19-Green-Belt DMAIC programme on cyber-induced downtime in EV cell manufacturing — same LSS MBB framework I used for the OSI entropy whitepaper, but the cyber failure class is structurally different. The top 12 FMEA modes are dominated by silent corruption (parameter tampering, no halt, RPN up to 540), and the AI-augmented Layer 3 is what makes the Z ≥ 6.0 (theoretical Six Sigma) target achievable. The 4 AI agents (SOC Triage, OT Anomaly Detection, IR Automation, Threat Intel Correlation) operate within the data-access protocol; CISO retains kill-switch. It's a defensible MBB structure with the methodology rigour that most OT cyber programmes lack.</w:t>
      </w:r>
    </w:p>
    <w:p>
      <w:pPr>
        <w:pBdr>
          <w:bottom w:val="single" w:sz="6" w:space="1" w:color="CBD5E1"/>
        </w:pBdr>
      </w:pPr>
    </w:p>
    <w:p>
      <w:r>
        <w:br w:type="page"/>
      </w:r>
    </w:p>
    <w:p>
      <w:r>
        <w:rPr>
          <w:rFonts w:ascii="Calibri" w:hAnsi="Calibri"/>
          <w:b/>
          <w:color w:val="1E40AF"/>
          <w:sz w:val="40"/>
        </w:rPr>
        <w:t>Appendix B — CISO Executive Dashboard Mockup</w:t>
      </w:r>
    </w:p>
    <w:p>
      <w:pPr>
        <w:pBdr>
          <w:bottom w:val="single" w:sz="6" w:space="1" w:color="CBD5E1"/>
        </w:pBdr>
      </w:pPr>
    </w:p>
    <w:p/>
    <w:p>
      <w:r>
        <w:rPr>
          <w:rFonts w:ascii="Calibri" w:hAnsi="Calibri"/>
          <w:b/>
          <w:sz w:val="22"/>
        </w:rPr>
        <w:t>Section status:</w:t>
      </w:r>
      <w:r>
        <w:rPr>
          <w:rFonts w:ascii="Calibri" w:hAnsi="Calibri"/>
          <w:sz w:val="22"/>
        </w:rPr>
        <w:t xml:space="preserve"> Draft for review</w:t>
      </w:r>
    </w:p>
    <w:p>
      <w:r>
        <w:rPr>
          <w:rFonts w:ascii="Calibri" w:hAnsi="Calibri"/>
          <w:b/>
          <w:sz w:val="22"/>
        </w:rPr>
        <w:t>Reviewer:</w:t>
      </w:r>
      <w:r>
        <w:rPr>
          <w:rFonts w:ascii="Calibri" w:hAnsi="Calibri"/>
          <w:sz w:val="22"/>
        </w:rPr>
        <w:t xml:space="preserve"> Olivia Key (MBB)</w:t>
      </w:r>
    </w:p>
    <w:p>
      <w:r>
        <w:rPr>
          <w:rFonts w:ascii="Calibri" w:hAnsi="Calibri"/>
          <w:b/>
          <w:sz w:val="22"/>
        </w:rPr>
        <w:t>Source:</w:t>
      </w:r>
      <w:r>
        <w:rPr>
          <w:rFonts w:ascii="Calibri" w:hAnsi="Calibri"/>
          <w:sz w:val="22"/>
        </w:rPr>
        <w:t xml:space="preserve"> Compiled from §7.2 Executive Dashboard structure. Text-based mockup for the charter; a separate interactive HTML mockup is provided as a standalone deliverable.</w:t>
      </w:r>
    </w:p>
    <w:p>
      <w:r>
        <w:rPr>
          <w:rFonts w:ascii="Calibri" w:hAnsi="Calibri"/>
          <w:b/>
          <w:sz w:val="22"/>
        </w:rPr>
        <w:t>Emphasis:</w:t>
      </w:r>
      <w:r>
        <w:rPr>
          <w:rFonts w:ascii="Calibri" w:hAnsi="Calibri"/>
          <w:sz w:val="22"/>
        </w:rPr>
        <w:t xml:space="preserve"> Visual reference for the CISO's continuous visibility tool. Sample data is illustrative (Week 12 G5 state, anonymised, no real asset identifiers). The HTML mockup is the interactive version; this is the static reference.</w:t>
      </w:r>
    </w:p>
    <w:p>
      <w:pPr>
        <w:pBdr>
          <w:bottom w:val="single" w:sz="6" w:space="1" w:color="CBD5E1"/>
        </w:pBdr>
      </w:pPr>
    </w:p>
    <w:p>
      <w:r>
        <w:rPr>
          <w:rFonts w:ascii="Calibri" w:hAnsi="Calibri"/>
          <w:b/>
          <w:color w:val="0F172A"/>
          <w:sz w:val="28"/>
        </w:rPr>
        <w:t>B.1 Dashboard Overview (2×4 Tile Grid)</w:t>
      </w:r>
    </w:p>
    <w:p>
      <w:r>
        <w:rPr>
          <w:rFonts w:ascii="Calibri" w:hAnsi="Calibri"/>
          <w:sz w:val="22"/>
        </w:rPr>
        <w:t>The Executive Dashboard is structured as a 2×4 grid of 8 tiles, mapped to the engagement's key metrics. Each tile has its own refresh cadence, alert threshold, and access control.</w:t>
      </w:r>
    </w:p>
    <w:p>
      <w:pPr>
        <w:shd w:val="clear" w:color="auto" w:fill="F1F5F9"/>
        <w:pBdr>
          <w:top w:val="single" w:sz="4" w:space="4" w:color="E2E8F0"/>
          <w:left w:val="single" w:sz="4" w:space="4" w:color="E2E8F0"/>
          <w:bottom w:val="single" w:sz="4" w:space="4" w:color="E2E8F0"/>
          <w:right w:val="single" w:sz="4" w:space="4" w:color="E2E8F0"/>
        </w:pBdr>
      </w:pPr>
      <w:r>
        <w:rPr>
          <w:rFonts w:ascii="Consolas" w:hAnsi="Consolas"/>
          <w:color w:val="334155"/>
          <w:sz w:val="18"/>
        </w:rPr>
        <w:t>┌──────────────────────────────────────────────────────────────────────┐</w:t>
        <w:br/>
      </w:r>
      <w:r>
        <w:rPr>
          <w:rFonts w:ascii="Consolas" w:hAnsi="Consolas"/>
          <w:color w:val="334155"/>
          <w:sz w:val="18"/>
        </w:rPr>
        <w:t>│  EV CELL CYBER RESILIENCE — EXECUTIVE DASHBOARD                       │</w:t>
        <w:br/>
      </w:r>
      <w:r>
        <w:rPr>
          <w:rFonts w:ascii="Consolas" w:hAnsi="Consolas"/>
          <w:color w:val="334155"/>
          <w:sz w:val="18"/>
        </w:rPr>
        <w:t>│  Anonymised | Z-Score: 4.2 | Last Refresh: 2026-09-02 09:00 UTC       │</w:t>
        <w:br/>
      </w:r>
      <w:r>
        <w:rPr>
          <w:rFonts w:ascii="Consolas" w:hAnsi="Consolas"/>
          <w:color w:val="334155"/>
          <w:sz w:val="18"/>
        </w:rPr>
        <w:t>│  Status: GREEN                                                        │</w:t>
        <w:br/>
      </w:r>
      <w:r>
        <w:rPr>
          <w:rFonts w:ascii="Consolas" w:hAnsi="Consolas"/>
          <w:color w:val="334155"/>
          <w:sz w:val="18"/>
        </w:rPr>
        <w:t>├───────────────────────────────────┬──────────────────────────────────┤</w:t>
        <w:br/>
      </w:r>
      <w:r>
        <w:rPr>
          <w:rFonts w:ascii="Consolas" w:hAnsi="Consolas"/>
          <w:color w:val="334155"/>
          <w:sz w:val="18"/>
        </w:rPr>
        <w:t>│                                   │                                  │</w:t>
        <w:br/>
      </w:r>
      <w:r>
        <w:rPr>
          <w:rFonts w:ascii="Consolas" w:hAnsi="Consolas"/>
          <w:color w:val="334155"/>
          <w:sz w:val="18"/>
        </w:rPr>
        <w:t>│  TILE 1: PROCESS CAPABILITY       │  TILE 2: FINANCIAL EXPOSURE      │</w:t>
        <w:br/>
      </w:r>
      <w:r>
        <w:rPr>
          <w:rFonts w:ascii="Consolas" w:hAnsi="Consolas"/>
          <w:color w:val="334155"/>
          <w:sz w:val="18"/>
        </w:rPr>
        <w:t>│  [Z-Score trend]                  │  [COPQ avoided YTD / Protected   │</w:t>
        <w:br/>
      </w:r>
      <w:r>
        <w:rPr>
          <w:rFonts w:ascii="Consolas" w:hAnsi="Consolas"/>
          <w:color w:val="334155"/>
          <w:sz w:val="18"/>
        </w:rPr>
        <w:t>│                                   │   value realised / E_cyber band] │</w:t>
        <w:br/>
      </w:r>
      <w:r>
        <w:rPr>
          <w:rFonts w:ascii="Consolas" w:hAnsi="Consolas"/>
          <w:color w:val="334155"/>
          <w:sz w:val="18"/>
        </w:rPr>
        <w:t>│                                   │                                  │</w:t>
        <w:br/>
      </w:r>
      <w:r>
        <w:rPr>
          <w:rFonts w:ascii="Consolas" w:hAnsi="Consolas"/>
          <w:color w:val="334155"/>
          <w:sz w:val="18"/>
        </w:rPr>
        <w:t>├───────────────────────────────────┼──────────────────────────────────┤</w:t>
        <w:br/>
      </w:r>
      <w:r>
        <w:rPr>
          <w:rFonts w:ascii="Consolas" w:hAnsi="Consolas"/>
          <w:color w:val="334155"/>
          <w:sz w:val="18"/>
        </w:rPr>
        <w:t>│                                   │                                  │</w:t>
        <w:br/>
      </w:r>
      <w:r>
        <w:rPr>
          <w:rFonts w:ascii="Consolas" w:hAnsi="Consolas"/>
          <w:color w:val="334155"/>
          <w:sz w:val="18"/>
        </w:rPr>
        <w:t>│  TILE 3: VELOCITY METRICS         │  TILE 4: RISK MITIGATION         │</w:t>
        <w:br/>
      </w:r>
      <w:r>
        <w:rPr>
          <w:rFonts w:ascii="Consolas" w:hAnsi="Consolas"/>
          <w:color w:val="334155"/>
          <w:sz w:val="18"/>
        </w:rPr>
        <w:t>│  [MTTD/MTTR trend + drill        │  [FMEA RPN trend by mode /       │</w:t>
        <w:br/>
      </w:r>
      <w:r>
        <w:rPr>
          <w:rFonts w:ascii="Consolas" w:hAnsi="Consolas"/>
          <w:color w:val="334155"/>
          <w:sz w:val="18"/>
        </w:rPr>
        <w:t>│   results + drill targets]        │   patch compliance / vendor]    │</w:t>
        <w:br/>
      </w:r>
      <w:r>
        <w:rPr>
          <w:rFonts w:ascii="Consolas" w:hAnsi="Consolas"/>
          <w:color w:val="334155"/>
          <w:sz w:val="18"/>
        </w:rPr>
        <w:t>│                                   │                                  │</w:t>
        <w:br/>
      </w:r>
      <w:r>
        <w:rPr>
          <w:rFonts w:ascii="Consolas" w:hAnsi="Consolas"/>
          <w:color w:val="334155"/>
          <w:sz w:val="18"/>
        </w:rPr>
        <w:t>├───────────────────────────────────┼──────────────────────────────────┤</w:t>
        <w:br/>
      </w:r>
      <w:r>
        <w:rPr>
          <w:rFonts w:ascii="Consolas" w:hAnsi="Consolas"/>
          <w:color w:val="334155"/>
          <w:sz w:val="18"/>
        </w:rPr>
        <w:t>│                                   │                                  │</w:t>
        <w:br/>
      </w:r>
      <w:r>
        <w:rPr>
          <w:rFonts w:ascii="Consolas" w:hAnsi="Consolas"/>
          <w:color w:val="334155"/>
          <w:sz w:val="18"/>
        </w:rPr>
        <w:t>│  TILE 5: KAIZEN ACTIVITY          │  TILE 6: MATURITY SCORE          │</w:t>
        <w:br/>
      </w:r>
      <w:r>
        <w:rPr>
          <w:rFonts w:ascii="Consolas" w:hAnsi="Consolas"/>
          <w:color w:val="334155"/>
          <w:sz w:val="18"/>
        </w:rPr>
        <w:t>│  [Open/closed Kaizens / trigger  │  [Current level + sub-indicator │</w:t>
        <w:br/>
      </w:r>
      <w:r>
        <w:rPr>
          <w:rFonts w:ascii="Consolas" w:hAnsi="Consolas"/>
          <w:color w:val="334155"/>
          <w:sz w:val="18"/>
        </w:rPr>
        <w:t>│   frequency / A3 close-out time]  │   scores + trend + alerts]      │</w:t>
        <w:br/>
      </w:r>
      <w:r>
        <w:rPr>
          <w:rFonts w:ascii="Consolas" w:hAnsi="Consolas"/>
          <w:color w:val="334155"/>
          <w:sz w:val="18"/>
        </w:rPr>
        <w:t>│                                   │                                  │</w:t>
        <w:br/>
      </w:r>
      <w:r>
        <w:rPr>
          <w:rFonts w:ascii="Consolas" w:hAnsi="Consolas"/>
          <w:color w:val="334155"/>
          <w:sz w:val="18"/>
        </w:rPr>
        <w:t>├───────────────────────────────────┼──────────────────────────────────┤</w:t>
        <w:br/>
      </w:r>
      <w:r>
        <w:rPr>
          <w:rFonts w:ascii="Consolas" w:hAnsi="Consolas"/>
          <w:color w:val="334155"/>
          <w:sz w:val="18"/>
        </w:rPr>
        <w:t>│                                   │                                  │</w:t>
        <w:br/>
      </w:r>
      <w:r>
        <w:rPr>
          <w:rFonts w:ascii="Consolas" w:hAnsi="Consolas"/>
          <w:color w:val="334155"/>
          <w:sz w:val="18"/>
        </w:rPr>
        <w:t>│  TILE 7: CROSS-SITE STATUS        │  TILE 8: REGULATORY &amp; COMPLIANCE │</w:t>
        <w:br/>
      </w:r>
      <w:r>
        <w:rPr>
          <w:rFonts w:ascii="Consolas" w:hAnsi="Consolas"/>
          <w:color w:val="334155"/>
          <w:sz w:val="18"/>
        </w:rPr>
        <w:t>│  [Per-site maturity / Z-score /   │  [NIS2 / IEC 62443 / OEM /       │</w:t>
        <w:br/>
      </w:r>
      <w:r>
        <w:rPr>
          <w:rFonts w:ascii="Consolas" w:hAnsi="Consolas"/>
          <w:color w:val="334155"/>
          <w:sz w:val="18"/>
        </w:rPr>
        <w:t>│   replication progress]           │   audit findings]               │</w:t>
        <w:br/>
      </w:r>
      <w:r>
        <w:rPr>
          <w:rFonts w:ascii="Consolas" w:hAnsi="Consolas"/>
          <w:color w:val="334155"/>
          <w:sz w:val="18"/>
        </w:rPr>
        <w:t>│                                   │                                  │</w:t>
        <w:br/>
      </w:r>
      <w:r>
        <w:rPr>
          <w:rFonts w:ascii="Consolas" w:hAnsi="Consolas"/>
          <w:color w:val="334155"/>
          <w:sz w:val="18"/>
        </w:rPr>
        <w:t>└───────────────────────────────────┴──────────────────────────────────┘</w:t>
      </w:r>
    </w:p>
    <w:p>
      <w:r>
        <w:rPr>
          <w:rFonts w:ascii="Calibri" w:hAnsi="Calibri"/>
          <w:b/>
          <w:sz w:val="22"/>
        </w:rPr>
        <w:t>Status indicator:</w:t>
      </w:r>
      <w:r>
        <w:rPr>
          <w:rFonts w:ascii="Calibri" w:hAnsi="Calibri"/>
          <w:sz w:val="22"/>
        </w:rPr>
        <w:t xml:space="preserve"> Dashboard-level status (GREEN/AMBER/RED) is the worst-status of any tile, with the overall engagement Z-score as the headline number. A single RED tile flips the dashboard to RED.</w:t>
      </w:r>
    </w:p>
    <w:p>
      <w:pPr>
        <w:pBdr>
          <w:bottom w:val="single" w:sz="6" w:space="1" w:color="CBD5E1"/>
        </w:pBdr>
      </w:pPr>
    </w:p>
    <w:p>
      <w:r>
        <w:rPr>
          <w:rFonts w:ascii="Calibri" w:hAnsi="Calibri"/>
          <w:b/>
          <w:color w:val="0F172A"/>
          <w:sz w:val="28"/>
        </w:rPr>
        <w:t>B.2 Tile Mockups with Sample Data (Illustrative, G5 State)</w:t>
      </w:r>
    </w:p>
    <w:p>
      <w:r>
        <w:rPr>
          <w:rFonts w:ascii="Calibri" w:hAnsi="Calibri"/>
          <w:b/>
          <w:color w:val="0F172A"/>
          <w:sz w:val="24"/>
        </w:rPr>
        <w:t>B.2.1 Tile 1 — Process Capability</w:t>
      </w:r>
    </w:p>
    <w:p>
      <w:pPr>
        <w:shd w:val="clear" w:color="auto" w:fill="F1F5F9"/>
        <w:pBdr>
          <w:top w:val="single" w:sz="4" w:space="4" w:color="E2E8F0"/>
          <w:left w:val="single" w:sz="4" w:space="4" w:color="E2E8F0"/>
          <w:bottom w:val="single" w:sz="4" w:space="4" w:color="E2E8F0"/>
          <w:right w:val="single" w:sz="4" w:space="4" w:color="E2E8F0"/>
        </w:pBdr>
      </w:pPr>
      <w:r>
        <w:rPr>
          <w:rFonts w:ascii="Consolas" w:hAnsi="Consolas"/>
          <w:color w:val="334155"/>
          <w:sz w:val="18"/>
        </w:rPr>
        <w:t>┌──────────────────────────────────────────────────────────────┐</w:t>
        <w:br/>
      </w:r>
      <w:r>
        <w:rPr>
          <w:rFonts w:ascii="Consolas" w:hAnsi="Consolas"/>
          <w:color w:val="334155"/>
          <w:sz w:val="18"/>
        </w:rPr>
        <w:t>│ TILE 1: PROCESS CAPABILITY                       Refresh: Daily│</w:t>
        <w:br/>
      </w:r>
      <w:r>
        <w:rPr>
          <w:rFonts w:ascii="Consolas" w:hAnsi="Consolas"/>
          <w:color w:val="334155"/>
          <w:sz w:val="18"/>
        </w:rPr>
        <w:t>├──────────────────────────────────────────────────────────────┤</w:t>
        <w:br/>
      </w:r>
      <w:r>
        <w:rPr>
          <w:rFonts w:ascii="Consolas" w:hAnsi="Consolas"/>
          <w:color w:val="334155"/>
          <w:sz w:val="18"/>
        </w:rPr>
        <w:t>│                                                               │</w:t>
        <w:br/>
      </w:r>
      <w:r>
        <w:rPr>
          <w:rFonts w:ascii="Consolas" w:hAnsi="Consolas"/>
          <w:color w:val="334155"/>
          <w:sz w:val="18"/>
        </w:rPr>
        <w:t>│  Engagement Z-Score:  4.2  [GREEN]                            │</w:t>
        <w:br/>
      </w:r>
      <w:r>
        <w:rPr>
          <w:rFonts w:ascii="Consolas" w:hAnsi="Consolas"/>
          <w:color w:val="334155"/>
          <w:sz w:val="18"/>
        </w:rPr>
        <w:t>│  Target:              6.0  ━━━━━━━━━━━━━━━━━━━━━━━━━━━━━━━━━  │</w:t>
        <w:br/>
      </w:r>
      <w:r>
        <w:rPr>
          <w:rFonts w:ascii="Consolas" w:hAnsi="Consolas"/>
          <w:color w:val="334155"/>
          <w:sz w:val="18"/>
        </w:rPr>
        <w:t>│                                                               │</w:t>
        <w:br/>
      </w:r>
      <w:r>
        <w:rPr>
          <w:rFonts w:ascii="Consolas" w:hAnsi="Consolas"/>
          <w:color w:val="334155"/>
          <w:sz w:val="18"/>
        </w:rPr>
        <w:t>│  12-week Z-score trend:                                          │</w:t>
        <w:br/>
      </w:r>
      <w:r>
        <w:rPr>
          <w:rFonts w:ascii="Consolas" w:hAnsi="Consolas"/>
          <w:color w:val="334155"/>
          <w:sz w:val="18"/>
        </w:rPr>
        <w:t>│                                                               │</w:t>
        <w:br/>
      </w:r>
      <w:r>
        <w:rPr>
          <w:rFonts w:ascii="Consolas" w:hAnsi="Consolas"/>
          <w:color w:val="334155"/>
          <w:sz w:val="18"/>
        </w:rPr>
        <w:t>│  6.0 ┤                              Target ──────────────────│</w:t>
        <w:br/>
      </w:r>
      <w:r>
        <w:rPr>
          <w:rFonts w:ascii="Consolas" w:hAnsi="Consolas"/>
          <w:color w:val="334155"/>
          <w:sz w:val="18"/>
        </w:rPr>
        <w:t>│  4.4 ┤                                                       │</w:t>
        <w:br/>
      </w:r>
      <w:r>
        <w:rPr>
          <w:rFonts w:ascii="Consolas" w:hAnsi="Consolas"/>
          <w:color w:val="334155"/>
          <w:sz w:val="18"/>
        </w:rPr>
        <w:t>│  4.3 ┤                  ●─────●                              │</w:t>
        <w:br/>
      </w:r>
      <w:r>
        <w:rPr>
          <w:rFonts w:ascii="Consolas" w:hAnsi="Consolas"/>
          <w:color w:val="334155"/>
          <w:sz w:val="18"/>
        </w:rPr>
        <w:t>│  4.2 ┤              ●───       ●                             │</w:t>
        <w:br/>
      </w:r>
      <w:r>
        <w:rPr>
          <w:rFonts w:ascii="Consolas" w:hAnsi="Consolas"/>
          <w:color w:val="334155"/>
          <w:sz w:val="18"/>
        </w:rPr>
        <w:t>│  4.1 ┤          ●───            ●                           │</w:t>
        <w:br/>
      </w:r>
      <w:r>
        <w:rPr>
          <w:rFonts w:ascii="Consolas" w:hAnsi="Consolas"/>
          <w:color w:val="334155"/>
          <w:sz w:val="18"/>
        </w:rPr>
        <w:t>│  4.0 ┤      ●───                  ●                          │</w:t>
        <w:br/>
      </w:r>
      <w:r>
        <w:rPr>
          <w:rFonts w:ascii="Consolas" w:hAnsi="Consolas"/>
          <w:color w:val="334155"/>
          <w:sz w:val="18"/>
        </w:rPr>
        <w:t>│  3.9 ┤  ●───                                                    │</w:t>
        <w:br/>
      </w:r>
      <w:r>
        <w:rPr>
          <w:rFonts w:ascii="Consolas" w:hAnsi="Consolas"/>
          <w:color w:val="334155"/>
          <w:sz w:val="18"/>
        </w:rPr>
        <w:t>│      └─┬──┬──┬──┬──┬──┬──┬──┬──┬──┬──┬──┬──                 │</w:t>
        <w:br/>
      </w:r>
      <w:r>
        <w:rPr>
          <w:rFonts w:ascii="Consolas" w:hAnsi="Consolas"/>
          <w:color w:val="334155"/>
          <w:sz w:val="18"/>
        </w:rPr>
        <w:t>│        W1 W2 W3 W4 W5 W6 W7 W8 W9 W10 W11 W12                  │</w:t>
        <w:br/>
      </w:r>
      <w:r>
        <w:rPr>
          <w:rFonts w:ascii="Consolas" w:hAnsi="Consolas"/>
          <w:color w:val="334155"/>
          <w:sz w:val="18"/>
        </w:rPr>
        <w:t>│                                                               │</w:t>
        <w:br/>
      </w:r>
      <w:r>
        <w:rPr>
          <w:rFonts w:ascii="Consolas" w:hAnsi="Consolas"/>
          <w:color w:val="334155"/>
          <w:sz w:val="18"/>
        </w:rPr>
        <w:t>│  Per-sub-process Cpk:                                            │</w:t>
        <w:br/>
      </w:r>
      <w:r>
        <w:rPr>
          <w:rFonts w:ascii="Consolas" w:hAnsi="Consolas"/>
          <w:color w:val="334155"/>
          <w:sz w:val="18"/>
        </w:rPr>
        <w:t>│  Detection (known)    ████████████████████  Cpk = 2.1  [GREEN]│</w:t>
        <w:br/>
      </w:r>
      <w:r>
        <w:rPr>
          <w:rFonts w:ascii="Consolas" w:hAnsi="Consolas"/>
          <w:color w:val="334155"/>
          <w:sz w:val="18"/>
        </w:rPr>
        <w:t>│  Detection (novel)    ██████████████        Cpk = 1.7  [AMBER]│</w:t>
        <w:br/>
      </w:r>
      <w:r>
        <w:rPr>
          <w:rFonts w:ascii="Consolas" w:hAnsi="Consolas"/>
          <w:color w:val="334155"/>
          <w:sz w:val="18"/>
        </w:rPr>
        <w:t>│  Response (hard stop) ███████████████████   Cpk = 1.8  [GREEN]│</w:t>
        <w:br/>
      </w:r>
      <w:r>
        <w:rPr>
          <w:rFonts w:ascii="Consolas" w:hAnsi="Consolas"/>
          <w:color w:val="334155"/>
          <w:sz w:val="18"/>
        </w:rPr>
        <w:t>│  Response (compromise)█████████████████     Cpk = 1.6  [GREEN]│</w:t>
        <w:br/>
      </w:r>
      <w:r>
        <w:rPr>
          <w:rFonts w:ascii="Consolas" w:hAnsi="Consolas"/>
          <w:color w:val="334155"/>
          <w:sz w:val="18"/>
        </w:rPr>
        <w:t>│  Prevention (patch)   ██████████████████████ Cpk = 2.0  [GREEN]│</w:t>
        <w:br/>
      </w:r>
      <w:r>
        <w:rPr>
          <w:rFonts w:ascii="Consolas" w:hAnsi="Consolas"/>
          <w:color w:val="334155"/>
          <w:sz w:val="18"/>
        </w:rPr>
        <w:t>│                                                               │</w:t>
        <w:br/>
      </w:r>
      <w:r>
        <w:rPr>
          <w:rFonts w:ascii="Consolas" w:hAnsi="Consolas"/>
          <w:color w:val="334155"/>
          <w:sz w:val="18"/>
        </w:rPr>
        <w:t>│  Drill-down: click any sub-process to see anonymised           │</w:t>
        <w:br/>
      </w:r>
      <w:r>
        <w:rPr>
          <w:rFonts w:ascii="Consolas" w:hAnsi="Consolas"/>
          <w:color w:val="334155"/>
          <w:sz w:val="18"/>
        </w:rPr>
        <w:t>│  capability distribution, baseline measurement, SPC data.     │</w:t>
        <w:br/>
      </w:r>
      <w:r>
        <w:rPr>
          <w:rFonts w:ascii="Consolas" w:hAnsi="Consolas"/>
          <w:color w:val="334155"/>
          <w:sz w:val="18"/>
        </w:rPr>
        <w:t>└──────────────────────────────────────────────────────────────┘</w:t>
      </w:r>
    </w:p>
    <w:p>
      <w:r>
        <w:rPr>
          <w:rFonts w:ascii="Calibri" w:hAnsi="Calibri"/>
          <w:b/>
          <w:color w:val="0F172A"/>
          <w:sz w:val="24"/>
        </w:rPr>
        <w:t>B.2.2 Tile 2 — Financial Exposure</w:t>
      </w:r>
    </w:p>
    <w:p>
      <w:pPr>
        <w:shd w:val="clear" w:color="auto" w:fill="F1F5F9"/>
        <w:pBdr>
          <w:top w:val="single" w:sz="4" w:space="4" w:color="E2E8F0"/>
          <w:left w:val="single" w:sz="4" w:space="4" w:color="E2E8F0"/>
          <w:bottom w:val="single" w:sz="4" w:space="4" w:color="E2E8F0"/>
          <w:right w:val="single" w:sz="4" w:space="4" w:color="E2E8F0"/>
        </w:pBdr>
      </w:pPr>
      <w:r>
        <w:rPr>
          <w:rFonts w:ascii="Consolas" w:hAnsi="Consolas"/>
          <w:color w:val="334155"/>
          <w:sz w:val="18"/>
        </w:rPr>
        <w:t>┌──────────────────────────────────────────────────────────────┐</w:t>
        <w:br/>
      </w:r>
      <w:r>
        <w:rPr>
          <w:rFonts w:ascii="Consolas" w:hAnsi="Consolas"/>
          <w:color w:val="334155"/>
          <w:sz w:val="18"/>
        </w:rPr>
        <w:t>│ TILE 2: FINANCIAL EXPOSURE                    Refresh: Weekly │</w:t>
        <w:br/>
      </w:r>
      <w:r>
        <w:rPr>
          <w:rFonts w:ascii="Consolas" w:hAnsi="Consolas"/>
          <w:color w:val="334155"/>
          <w:sz w:val="18"/>
        </w:rPr>
        <w:t>├──────────────────────────────────────────────────────────────┤</w:t>
        <w:br/>
      </w:r>
      <w:r>
        <w:rPr>
          <w:rFonts w:ascii="Consolas" w:hAnsi="Consolas"/>
          <w:color w:val="334155"/>
          <w:sz w:val="18"/>
        </w:rPr>
        <w:t>│                                                               │</w:t>
        <w:br/>
      </w:r>
      <w:r>
        <w:rPr>
          <w:rFonts w:ascii="Consolas" w:hAnsi="Consolas"/>
          <w:color w:val="334155"/>
          <w:sz w:val="18"/>
        </w:rPr>
        <w:t>│  COPQ Avoided YTD:         $1.8M                              │</w:t>
        <w:br/>
      </w:r>
      <w:r>
        <w:rPr>
          <w:rFonts w:ascii="Consolas" w:hAnsi="Consolas"/>
          <w:color w:val="334155"/>
          <w:sz w:val="18"/>
        </w:rPr>
        <w:t>│  Protected Value Realised: $32M (vs $5M-$45M conservative)   │</w:t>
        <w:br/>
      </w:r>
      <w:r>
        <w:rPr>
          <w:rFonts w:ascii="Consolas" w:hAnsi="Consolas"/>
          <w:color w:val="334155"/>
          <w:sz w:val="18"/>
        </w:rPr>
        <w:t>│  E_cyber Band:             $20M-$180M+ / yr / dept (model)   │</w:t>
        <w:br/>
      </w:r>
      <w:r>
        <w:rPr>
          <w:rFonts w:ascii="Consolas" w:hAnsi="Consolas"/>
          <w:color w:val="334155"/>
          <w:sz w:val="18"/>
        </w:rPr>
        <w:t>│  E_cyber Trend (12-wk):                                          │</w:t>
        <w:br/>
      </w:r>
      <w:r>
        <w:rPr>
          <w:rFonts w:ascii="Consolas" w:hAnsi="Consolas"/>
          <w:color w:val="334155"/>
          <w:sz w:val="18"/>
        </w:rPr>
        <w:t>│                                                               │</w:t>
        <w:br/>
      </w:r>
      <w:r>
        <w:rPr>
          <w:rFonts w:ascii="Consolas" w:hAnsi="Consolas"/>
          <w:color w:val="334155"/>
          <w:sz w:val="18"/>
        </w:rPr>
        <w:t>│  $180M ┤ Initial                                              │</w:t>
        <w:br/>
      </w:r>
      <w:r>
        <w:rPr>
          <w:rFonts w:ascii="Consolas" w:hAnsi="Consolas"/>
          <w:color w:val="334155"/>
          <w:sz w:val="18"/>
        </w:rPr>
        <w:t>│  $150M ┤                                                       │</w:t>
        <w:br/>
      </w:r>
      <w:r>
        <w:rPr>
          <w:rFonts w:ascii="Consolas" w:hAnsi="Consolas"/>
          <w:color w:val="334155"/>
          <w:sz w:val="18"/>
        </w:rPr>
        <w:t>│  $120M ┤                                                       │</w:t>
        <w:br/>
      </w:r>
      <w:r>
        <w:rPr>
          <w:rFonts w:ascii="Consolas" w:hAnsi="Consolas"/>
          <w:color w:val="334155"/>
          <w:sz w:val="18"/>
        </w:rPr>
        <w:t>│   $90M ┤                                                       │</w:t>
        <w:br/>
      </w:r>
      <w:r>
        <w:rPr>
          <w:rFonts w:ascii="Consolas" w:hAnsi="Consolas"/>
          <w:color w:val="334155"/>
          <w:sz w:val="18"/>
        </w:rPr>
        <w:t>│   $60M ┤                          ●─────●                     │</w:t>
        <w:br/>
      </w:r>
      <w:r>
        <w:rPr>
          <w:rFonts w:ascii="Consolas" w:hAnsi="Consolas"/>
          <w:color w:val="334155"/>
          <w:sz w:val="18"/>
        </w:rPr>
        <w:t>│   $30M ┤                  ●─────●                              │</w:t>
        <w:br/>
      </w:r>
      <w:r>
        <w:rPr>
          <w:rFonts w:ascii="Consolas" w:hAnsi="Consolas"/>
          <w:color w:val="334155"/>
          <w:sz w:val="18"/>
        </w:rPr>
        <w:t>│        └─┬──┬──┬──┬──┬──┬──┬──┬──┬──┬──┬──┬──                 │</w:t>
        <w:br/>
      </w:r>
      <w:r>
        <w:rPr>
          <w:rFonts w:ascii="Consolas" w:hAnsi="Consolas"/>
          <w:color w:val="334155"/>
          <w:sz w:val="18"/>
        </w:rPr>
        <w:t>│          W1 W2 W3 W4 W5 W6 W7 W8 W9 W10 W11 W12                │</w:t>
        <w:br/>
      </w:r>
      <w:r>
        <w:rPr>
          <w:rFonts w:ascii="Consolas" w:hAnsi="Consolas"/>
          <w:color w:val="334155"/>
          <w:sz w:val="18"/>
        </w:rPr>
        <w:t>│                                                               │</w:t>
        <w:br/>
      </w:r>
      <w:r>
        <w:rPr>
          <w:rFonts w:ascii="Consolas" w:hAnsi="Consolas"/>
          <w:color w:val="334155"/>
          <w:sz w:val="18"/>
        </w:rPr>
        <w:t>│  Per-event cost avoided breakdown:                              │</w:t>
        <w:br/>
      </w:r>
      <w:r>
        <w:rPr>
          <w:rFonts w:ascii="Consolas" w:hAnsi="Consolas"/>
          <w:color w:val="334155"/>
          <w:sz w:val="18"/>
        </w:rPr>
        <w:t>│  - Downtime avoidance:        $8M                              │</w:t>
        <w:br/>
      </w:r>
      <w:r>
        <w:rPr>
          <w:rFonts w:ascii="Consolas" w:hAnsi="Consolas"/>
          <w:color w:val="334155"/>
          <w:sz w:val="18"/>
        </w:rPr>
        <w:t>│  - Silent corruption avoided:  $14M                             │</w:t>
        <w:br/>
      </w:r>
      <w:r>
        <w:rPr>
          <w:rFonts w:ascii="Consolas" w:hAnsi="Consolas"/>
          <w:color w:val="334155"/>
          <w:sz w:val="18"/>
        </w:rPr>
        <w:t>│  - IP protection:              $6M                              │</w:t>
        <w:br/>
      </w:r>
      <w:r>
        <w:rPr>
          <w:rFonts w:ascii="Consolas" w:hAnsi="Consolas"/>
          <w:color w:val="334155"/>
          <w:sz w:val="18"/>
        </w:rPr>
        <w:t>│  - Regulatory fines avoided:   $4M                              │</w:t>
        <w:br/>
      </w:r>
      <w:r>
        <w:rPr>
          <w:rFonts w:ascii="Consolas" w:hAnsi="Consolas"/>
          <w:color w:val="334155"/>
          <w:sz w:val="18"/>
        </w:rPr>
        <w:t>│                                                               │</w:t>
        <w:br/>
      </w:r>
      <w:r>
        <w:rPr>
          <w:rFonts w:ascii="Consolas" w:hAnsi="Consolas"/>
          <w:color w:val="334155"/>
          <w:sz w:val="18"/>
        </w:rPr>
        <w:t>│  Note: E_cyber band widens over time as OEM attestation       │</w:t>
        <w:br/>
      </w:r>
      <w:r>
        <w:rPr>
          <w:rFonts w:ascii="Consolas" w:hAnsi="Consolas"/>
          <w:color w:val="334155"/>
          <w:sz w:val="18"/>
        </w:rPr>
        <w:t>│  enforcement tightens (VW/BMW/Stellantis 2025-2027).            │</w:t>
        <w:br/>
      </w:r>
      <w:r>
        <w:rPr>
          <w:rFonts w:ascii="Consolas" w:hAnsi="Consolas"/>
          <w:color w:val="334155"/>
          <w:sz w:val="18"/>
        </w:rPr>
        <w:t>└──────────────────────────────────────────────────────────────┘</w:t>
      </w:r>
    </w:p>
    <w:p>
      <w:r>
        <w:rPr>
          <w:rFonts w:ascii="Calibri" w:hAnsi="Calibri"/>
          <w:b/>
          <w:color w:val="0F172A"/>
          <w:sz w:val="24"/>
        </w:rPr>
        <w:t>B.2.3 Tile 3 — Velocity Metrics</w:t>
      </w:r>
    </w:p>
    <w:p>
      <w:pPr>
        <w:shd w:val="clear" w:color="auto" w:fill="F1F5F9"/>
        <w:pBdr>
          <w:top w:val="single" w:sz="4" w:space="4" w:color="E2E8F0"/>
          <w:left w:val="single" w:sz="4" w:space="4" w:color="E2E8F0"/>
          <w:bottom w:val="single" w:sz="4" w:space="4" w:color="E2E8F0"/>
          <w:right w:val="single" w:sz="4" w:space="4" w:color="E2E8F0"/>
        </w:pBdr>
      </w:pPr>
      <w:r>
        <w:rPr>
          <w:rFonts w:ascii="Consolas" w:hAnsi="Consolas"/>
          <w:color w:val="334155"/>
          <w:sz w:val="18"/>
        </w:rPr>
        <w:t>┌──────────────────────────────────────────────────────────────┐</w:t>
        <w:br/>
      </w:r>
      <w:r>
        <w:rPr>
          <w:rFonts w:ascii="Consolas" w:hAnsi="Consolas"/>
          <w:color w:val="334155"/>
          <w:sz w:val="18"/>
        </w:rPr>
        <w:t>│ TILE 3: VELOCITY METRICS                      Refresh: Daily │</w:t>
        <w:br/>
      </w:r>
      <w:r>
        <w:rPr>
          <w:rFonts w:ascii="Consolas" w:hAnsi="Consolas"/>
          <w:color w:val="334155"/>
          <w:sz w:val="18"/>
        </w:rPr>
        <w:t>├──────────────────────────────────────────────────────────────┤</w:t>
        <w:br/>
      </w:r>
      <w:r>
        <w:rPr>
          <w:rFonts w:ascii="Consolas" w:hAnsi="Consolas"/>
          <w:color w:val="334155"/>
          <w:sz w:val="18"/>
        </w:rPr>
        <w:t>│                                                               │</w:t>
        <w:br/>
      </w:r>
      <w:r>
        <w:rPr>
          <w:rFonts w:ascii="Consolas" w:hAnsi="Consolas"/>
          <w:color w:val="334155"/>
          <w:sz w:val="18"/>
        </w:rPr>
        <w:t>│  Detection (MTTD):                                              │</w:t>
        <w:br/>
      </w:r>
      <w:r>
        <w:rPr>
          <w:rFonts w:ascii="Consolas" w:hAnsi="Consolas"/>
          <w:color w:val="334155"/>
          <w:sz w:val="18"/>
        </w:rPr>
        <w:t>│  Known signatures:  4.2 min   [Target ≤ 5 min, GREEN]         │</w:t>
        <w:br/>
      </w:r>
      <w:r>
        <w:rPr>
          <w:rFonts w:ascii="Consolas" w:hAnsi="Consolas"/>
          <w:color w:val="334155"/>
          <w:sz w:val="18"/>
        </w:rPr>
        <w:t>│  Novel OT anomalies: 28 min   [Target ≤ 30 min, GREEN]        │</w:t>
        <w:br/>
      </w:r>
      <w:r>
        <w:rPr>
          <w:rFonts w:ascii="Consolas" w:hAnsi="Consolas"/>
          <w:color w:val="334155"/>
          <w:sz w:val="18"/>
        </w:rPr>
        <w:t>│                                                               │</w:t>
        <w:br/>
      </w:r>
      <w:r>
        <w:rPr>
          <w:rFonts w:ascii="Consolas" w:hAnsi="Consolas"/>
          <w:color w:val="334155"/>
          <w:sz w:val="18"/>
        </w:rPr>
        <w:t>│  Response (MTTR):                                              │</w:t>
        <w:br/>
      </w:r>
      <w:r>
        <w:rPr>
          <w:rFonts w:ascii="Consolas" w:hAnsi="Consolas"/>
          <w:color w:val="334155"/>
          <w:sz w:val="18"/>
        </w:rPr>
        <w:t>│  Hard stop:         3.5 hours  [Target ≤ 4 hours, GREEN]       │</w:t>
        <w:br/>
      </w:r>
      <w:r>
        <w:rPr>
          <w:rFonts w:ascii="Consolas" w:hAnsi="Consolas"/>
          <w:color w:val="334155"/>
          <w:sz w:val="18"/>
        </w:rPr>
        <w:t>│  OT compromise:     22 hours  [Target ≤ 24 hours, GREEN]      │</w:t>
        <w:br/>
      </w:r>
      <w:r>
        <w:rPr>
          <w:rFonts w:ascii="Consolas" w:hAnsi="Consolas"/>
          <w:color w:val="334155"/>
          <w:sz w:val="18"/>
        </w:rPr>
        <w:t>│                                                               │</w:t>
        <w:br/>
      </w:r>
      <w:r>
        <w:rPr>
          <w:rFonts w:ascii="Consolas" w:hAnsi="Consolas"/>
          <w:color w:val="334155"/>
          <w:sz w:val="18"/>
        </w:rPr>
        <w:t>│  12-week MTTD/MTTR trend:                                        │</w:t>
        <w:br/>
      </w:r>
      <w:r>
        <w:rPr>
          <w:rFonts w:ascii="Consolas" w:hAnsi="Consolas"/>
          <w:color w:val="334155"/>
          <w:sz w:val="18"/>
        </w:rPr>
        <w:t>│                                                               │</w:t>
        <w:br/>
      </w:r>
      <w:r>
        <w:rPr>
          <w:rFonts w:ascii="Consolas" w:hAnsi="Consolas"/>
          <w:color w:val="334155"/>
          <w:sz w:val="18"/>
        </w:rPr>
        <w:t>│  MTTD (min)                                                          │</w:t>
        <w:br/>
      </w:r>
      <w:r>
        <w:rPr>
          <w:rFonts w:ascii="Consolas" w:hAnsi="Consolas"/>
          <w:color w:val="334155"/>
          <w:sz w:val="18"/>
        </w:rPr>
        <w:t>│  30 ┤ Target ────────────────                                  │</w:t>
        <w:br/>
      </w:r>
      <w:r>
        <w:rPr>
          <w:rFonts w:ascii="Consolas" w:hAnsi="Consolas"/>
          <w:color w:val="334155"/>
          <w:sz w:val="18"/>
        </w:rPr>
        <w:t>│  25 ┤                  ●─────●                                 │</w:t>
        <w:br/>
      </w:r>
      <w:r>
        <w:rPr>
          <w:rFonts w:ascii="Consolas" w:hAnsi="Consolas"/>
          <w:color w:val="334155"/>
          <w:sz w:val="18"/>
        </w:rPr>
        <w:t>│  20 ┤              ●───                                          │</w:t>
        <w:br/>
      </w:r>
      <w:r>
        <w:rPr>
          <w:rFonts w:ascii="Consolas" w:hAnsi="Consolas"/>
          <w:color w:val="334155"/>
          <w:sz w:val="18"/>
        </w:rPr>
        <w:t>│  15 ┤          ●───                                              │</w:t>
        <w:br/>
      </w:r>
      <w:r>
        <w:rPr>
          <w:rFonts w:ascii="Consolas" w:hAnsi="Consolas"/>
          <w:color w:val="334155"/>
          <w:sz w:val="18"/>
        </w:rPr>
        <w:t>│  10 ┤      ●───                                                  │</w:t>
        <w:br/>
      </w:r>
      <w:r>
        <w:rPr>
          <w:rFonts w:ascii="Consolas" w:hAnsi="Consolas"/>
          <w:color w:val="334155"/>
          <w:sz w:val="18"/>
        </w:rPr>
        <w:t>│   5 ┤  ●───     Target for known sigs ──────────────────────│</w:t>
        <w:br/>
      </w:r>
      <w:r>
        <w:rPr>
          <w:rFonts w:ascii="Consolas" w:hAnsi="Consolas"/>
          <w:color w:val="334155"/>
          <w:sz w:val="18"/>
        </w:rPr>
        <w:t>│      └─┬──┬──┬──┬──┬──┬──┬──┬──┬──┬──┬──┬──                  │</w:t>
        <w:br/>
      </w:r>
      <w:r>
        <w:rPr>
          <w:rFonts w:ascii="Consolas" w:hAnsi="Consolas"/>
          <w:color w:val="334155"/>
          <w:sz w:val="18"/>
        </w:rPr>
        <w:t>│        W1 W2 W3 W4 W5 W6 W7 W8 W9 W10 W11 W12                   │</w:t>
        <w:br/>
      </w:r>
      <w:r>
        <w:rPr>
          <w:rFonts w:ascii="Consolas" w:hAnsi="Consolas"/>
          <w:color w:val="334155"/>
          <w:sz w:val="18"/>
        </w:rPr>
        <w:t>│                                                               │</w:t>
        <w:br/>
      </w:r>
      <w:r>
        <w:rPr>
          <w:rFonts w:ascii="Consolas" w:hAnsi="Consolas"/>
          <w:color w:val="334155"/>
          <w:sz w:val="18"/>
        </w:rPr>
        <w:t>│  Drill results (last 3 monthly drills):                         │</w:t>
        <w:br/>
      </w:r>
      <w:r>
        <w:rPr>
          <w:rFonts w:ascii="Consolas" w:hAnsi="Consolas"/>
          <w:color w:val="334155"/>
          <w:sz w:val="18"/>
        </w:rPr>
        <w:t>│  Drill 1:  Hard stop MTTR achieved in 3.2h [PASS]              │</w:t>
        <w:br/>
      </w:r>
      <w:r>
        <w:rPr>
          <w:rFonts w:ascii="Consolas" w:hAnsi="Consolas"/>
          <w:color w:val="334155"/>
          <w:sz w:val="18"/>
        </w:rPr>
        <w:t>│  Drill 2:  Novel anomaly MTTD achieved in 26m [PASS]            │</w:t>
        <w:br/>
      </w:r>
      <w:r>
        <w:rPr>
          <w:rFonts w:ascii="Consolas" w:hAnsi="Consolas"/>
          <w:color w:val="334155"/>
          <w:sz w:val="18"/>
        </w:rPr>
        <w:t>│  Drill 3:  Hard stop MTTR achieved in 3.7h [PASS]              │</w:t>
        <w:br/>
      </w:r>
      <w:r>
        <w:rPr>
          <w:rFonts w:ascii="Consolas" w:hAnsi="Consolas"/>
          <w:color w:val="334155"/>
          <w:sz w:val="18"/>
        </w:rPr>
        <w:t>│                                                               │</w:t>
        <w:br/>
      </w:r>
      <w:r>
        <w:rPr>
          <w:rFonts w:ascii="Consolas" w:hAnsi="Consolas"/>
          <w:color w:val="334155"/>
          <w:sz w:val="18"/>
        </w:rPr>
        <w:t>│  AI agent status:                                               │</w:t>
        <w:br/>
      </w:r>
      <w:r>
        <w:rPr>
          <w:rFonts w:ascii="Consolas" w:hAnsi="Consolas"/>
          <w:color w:val="334155"/>
          <w:sz w:val="18"/>
        </w:rPr>
        <w:t>│  SOC Triage Agent:    OPERATIONAL  | last action: 2h ago       │</w:t>
        <w:br/>
      </w:r>
      <w:r>
        <w:rPr>
          <w:rFonts w:ascii="Consolas" w:hAnsi="Consolas"/>
          <w:color w:val="334155"/>
          <w:sz w:val="18"/>
        </w:rPr>
        <w:t>│  OT Anomaly Agent:    OPERATIONAL  | last action: 18m ago      │</w:t>
        <w:br/>
      </w:r>
      <w:r>
        <w:rPr>
          <w:rFonts w:ascii="Consolas" w:hAnsi="Consolas"/>
          <w:color w:val="334155"/>
          <w:sz w:val="18"/>
        </w:rPr>
        <w:t>│  IR Automation Agent: OPERATIONAL  | last action: 4d ago       │</w:t>
        <w:br/>
      </w:r>
      <w:r>
        <w:rPr>
          <w:rFonts w:ascii="Consolas" w:hAnsi="Consolas"/>
          <w:color w:val="334155"/>
          <w:sz w:val="18"/>
        </w:rPr>
        <w:t>│  Threat Intel Agent:  OPERATIONAL  | last action: 1h ago       │</w:t>
        <w:br/>
      </w:r>
      <w:r>
        <w:rPr>
          <w:rFonts w:ascii="Consolas" w:hAnsi="Consolas"/>
          <w:color w:val="334155"/>
          <w:sz w:val="18"/>
        </w:rPr>
        <w:t>└──────────────────────────────────────────────────────────────┘</w:t>
      </w:r>
    </w:p>
    <w:p>
      <w:r>
        <w:rPr>
          <w:rFonts w:ascii="Calibri" w:hAnsi="Calibri"/>
          <w:b/>
          <w:color w:val="0F172A"/>
          <w:sz w:val="24"/>
        </w:rPr>
        <w:t>B.2.4 Tile 4 — Risk Mitigation</w:t>
      </w:r>
    </w:p>
    <w:p>
      <w:pPr>
        <w:shd w:val="clear" w:color="auto" w:fill="F1F5F9"/>
        <w:pBdr>
          <w:top w:val="single" w:sz="4" w:space="4" w:color="E2E8F0"/>
          <w:left w:val="single" w:sz="4" w:space="4" w:color="E2E8F0"/>
          <w:bottom w:val="single" w:sz="4" w:space="4" w:color="E2E8F0"/>
          <w:right w:val="single" w:sz="4" w:space="4" w:color="E2E8F0"/>
        </w:pBdr>
      </w:pPr>
      <w:r>
        <w:rPr>
          <w:rFonts w:ascii="Consolas" w:hAnsi="Consolas"/>
          <w:color w:val="334155"/>
          <w:sz w:val="18"/>
        </w:rPr>
        <w:t>┌──────────────────────────────────────────────────────────────┐</w:t>
        <w:br/>
      </w:r>
      <w:r>
        <w:rPr>
          <w:rFonts w:ascii="Consolas" w:hAnsi="Consolas"/>
          <w:color w:val="334155"/>
          <w:sz w:val="18"/>
        </w:rPr>
        <w:t>│ TILE 4: RISK MITIGATION                       Refresh: Daily │</w:t>
        <w:br/>
      </w:r>
      <w:r>
        <w:rPr>
          <w:rFonts w:ascii="Consolas" w:hAnsi="Consolas"/>
          <w:color w:val="334155"/>
          <w:sz w:val="18"/>
        </w:rPr>
        <w:t>├──────────────────────────────────────────────────────────────┤</w:t>
        <w:br/>
      </w:r>
      <w:r>
        <w:rPr>
          <w:rFonts w:ascii="Consolas" w:hAnsi="Consolas"/>
          <w:color w:val="334155"/>
          <w:sz w:val="18"/>
        </w:rPr>
        <w:t>│                                                               │</w:t>
        <w:br/>
      </w:r>
      <w:r>
        <w:rPr>
          <w:rFonts w:ascii="Consolas" w:hAnsi="Consolas"/>
          <w:color w:val="334155"/>
          <w:sz w:val="18"/>
        </w:rPr>
        <w:t>│  Top 5 FMEA RPN trend (12-week):                                 │</w:t>
        <w:br/>
      </w:r>
      <w:r>
        <w:rPr>
          <w:rFonts w:ascii="Consolas" w:hAnsi="Consolas"/>
          <w:color w:val="334155"/>
          <w:sz w:val="18"/>
        </w:rPr>
        <w:t>│                                                               │</w:t>
        <w:br/>
      </w:r>
      <w:r>
        <w:rPr>
          <w:rFonts w:ascii="Consolas" w:hAnsi="Consolas"/>
          <w:color w:val="334155"/>
          <w:sz w:val="18"/>
        </w:rPr>
        <w:t>│  RPN                                                                    │</w:t>
        <w:br/>
      </w:r>
      <w:r>
        <w:rPr>
          <w:rFonts w:ascii="Consolas" w:hAnsi="Consolas"/>
          <w:color w:val="334155"/>
          <w:sz w:val="18"/>
        </w:rPr>
        <w:t>│  600 ┤                                                              │</w:t>
        <w:br/>
      </w:r>
      <w:r>
        <w:rPr>
          <w:rFonts w:ascii="Consolas" w:hAnsi="Consolas"/>
          <w:color w:val="334155"/>
          <w:sz w:val="18"/>
        </w:rPr>
        <w:t>│  540 ┤ ████ (Formation aging)                                         │</w:t>
        <w:br/>
      </w:r>
      <w:r>
        <w:rPr>
          <w:rFonts w:ascii="Consolas" w:hAnsi="Consolas"/>
          <w:color w:val="334155"/>
          <w:sz w:val="18"/>
        </w:rPr>
        <w:t>│  490 ┤ ████ (Coating thickness)                                       │</w:t>
        <w:br/>
      </w:r>
      <w:r>
        <w:rPr>
          <w:rFonts w:ascii="Consolas" w:hAnsi="Consolas"/>
          <w:color w:val="334155"/>
          <w:sz w:val="18"/>
        </w:rPr>
        <w:t>│  480 ┤ ███ (Slurry sensor)                                            │</w:t>
        <w:br/>
      </w:r>
      <w:r>
        <w:rPr>
          <w:rFonts w:ascii="Consolas" w:hAnsi="Consolas"/>
          <w:color w:val="334155"/>
          <w:sz w:val="18"/>
        </w:rPr>
        <w:t>│  450 ┤ ███ (Grading capacity test)                                    │</w:t>
        <w:br/>
      </w:r>
      <w:r>
        <w:rPr>
          <w:rFonts w:ascii="Consolas" w:hAnsi="Consolas"/>
          <w:color w:val="334155"/>
          <w:sz w:val="18"/>
        </w:rPr>
        <w:t>│  450 ┤ ███ (Coating vision)                                           │</w:t>
        <w:br/>
      </w:r>
      <w:r>
        <w:rPr>
          <w:rFonts w:ascii="Consolas" w:hAnsi="Consolas"/>
          <w:color w:val="334155"/>
          <w:sz w:val="18"/>
        </w:rPr>
        <w:t>│      └─┬──┬──┬──┬──┬──┬──┬──┬──┬──┬──┬──┬──                       │</w:t>
        <w:br/>
      </w:r>
      <w:r>
        <w:rPr>
          <w:rFonts w:ascii="Consolas" w:hAnsi="Consolas"/>
          <w:color w:val="334155"/>
          <w:sz w:val="18"/>
        </w:rPr>
        <w:t>│        W1 W2 W3 W4 W5 W6 W7 W8 W9 W10 W11 W12                        │</w:t>
        <w:br/>
      </w:r>
      <w:r>
        <w:rPr>
          <w:rFonts w:ascii="Consolas" w:hAnsi="Consolas"/>
          <w:color w:val="334155"/>
          <w:sz w:val="18"/>
        </w:rPr>
        <w:t>│                                                               │</w:t>
        <w:br/>
      </w:r>
      <w:r>
        <w:rPr>
          <w:rFonts w:ascii="Consolas" w:hAnsi="Consolas"/>
          <w:color w:val="334155"/>
          <w:sz w:val="18"/>
        </w:rPr>
        <w:t>│  RPN reduction (post-engagement vs pre-engagement):             │</w:t>
        <w:br/>
      </w:r>
      <w:r>
        <w:rPr>
          <w:rFonts w:ascii="Consolas" w:hAnsi="Consolas"/>
          <w:color w:val="334155"/>
          <w:sz w:val="18"/>
        </w:rPr>
        <w:t>│  Top 10 modes:  52% reduction   [Target ≥ 80% (Six Sigma), AMBER]│</w:t>
        <w:br/>
      </w:r>
      <w:r>
        <w:rPr>
          <w:rFonts w:ascii="Consolas" w:hAnsi="Consolas"/>
          <w:color w:val="334155"/>
          <w:sz w:val="18"/>
        </w:rPr>
        <w:t>│                                                               │</w:t>
        <w:br/>
      </w:r>
      <w:r>
        <w:rPr>
          <w:rFonts w:ascii="Consolas" w:hAnsi="Consolas"/>
          <w:color w:val="334155"/>
          <w:sz w:val="18"/>
        </w:rPr>
        <w:t>│  Patch compliance:   96.2%  [Target ≥ 99% (Six Sigma), AMBER]   │</w:t>
        <w:br/>
      </w:r>
      <w:r>
        <w:rPr>
          <w:rFonts w:ascii="Consolas" w:hAnsi="Consolas"/>
          <w:color w:val="334155"/>
          <w:sz w:val="18"/>
        </w:rPr>
        <w:t>│  Vendor access compliance: 100% [Target = 100%, GREEN]          │</w:t>
        <w:br/>
      </w:r>
      <w:r>
        <w:rPr>
          <w:rFonts w:ascii="Consolas" w:hAnsi="Consolas"/>
          <w:color w:val="334155"/>
          <w:sz w:val="18"/>
        </w:rPr>
        <w:t>│  FMEA last refresh: 2026-08-15  [Quarterly, GREEN]              │</w:t>
        <w:br/>
      </w:r>
      <w:r>
        <w:rPr>
          <w:rFonts w:ascii="Consolas" w:hAnsi="Consolas"/>
          <w:color w:val="334155"/>
          <w:sz w:val="18"/>
        </w:rPr>
        <w:t>│                                                               │</w:t>
        <w:br/>
      </w:r>
      <w:r>
        <w:rPr>
          <w:rFonts w:ascii="Consolas" w:hAnsi="Consolas"/>
          <w:color w:val="334155"/>
          <w:sz w:val="18"/>
        </w:rPr>
        <w:t>│  Open audit findings: 0  [Target = 0, GREEN]                    │</w:t>
        <w:br/>
      </w:r>
      <w:r>
        <w:rPr>
          <w:rFonts w:ascii="Consolas" w:hAnsi="Consolas"/>
          <w:color w:val="334155"/>
          <w:sz w:val="18"/>
        </w:rPr>
        <w:t>└──────────────────────────────────────────────────────────────┘</w:t>
      </w:r>
    </w:p>
    <w:p>
      <w:r>
        <w:rPr>
          <w:rFonts w:ascii="Calibri" w:hAnsi="Calibri"/>
          <w:b/>
          <w:color w:val="0F172A"/>
          <w:sz w:val="24"/>
        </w:rPr>
        <w:t>B.2.5 Tile 5 — Kaizen Activity</w:t>
      </w:r>
    </w:p>
    <w:p>
      <w:pPr>
        <w:shd w:val="clear" w:color="auto" w:fill="F1F5F9"/>
        <w:pBdr>
          <w:top w:val="single" w:sz="4" w:space="4" w:color="E2E8F0"/>
          <w:left w:val="single" w:sz="4" w:space="4" w:color="E2E8F0"/>
          <w:bottom w:val="single" w:sz="4" w:space="4" w:color="E2E8F0"/>
          <w:right w:val="single" w:sz="4" w:space="4" w:color="E2E8F0"/>
        </w:pBdr>
      </w:pPr>
      <w:r>
        <w:rPr>
          <w:rFonts w:ascii="Consolas" w:hAnsi="Consolas"/>
          <w:color w:val="334155"/>
          <w:sz w:val="18"/>
        </w:rPr>
        <w:t>┌──────────────────────────────────────────────────────────────┐</w:t>
        <w:br/>
      </w:r>
      <w:r>
        <w:rPr>
          <w:rFonts w:ascii="Consolas" w:hAnsi="Consolas"/>
          <w:color w:val="334155"/>
          <w:sz w:val="18"/>
        </w:rPr>
        <w:t>│ TILE 5: KAIZEN ACTIVITY                       Refresh: Daily │</w:t>
        <w:br/>
      </w:r>
      <w:r>
        <w:rPr>
          <w:rFonts w:ascii="Consolas" w:hAnsi="Consolas"/>
          <w:color w:val="334155"/>
          <w:sz w:val="18"/>
        </w:rPr>
        <w:t>├──────────────────────────────────────────────────────────────┤</w:t>
        <w:br/>
      </w:r>
      <w:r>
        <w:rPr>
          <w:rFonts w:ascii="Consolas" w:hAnsi="Consolas"/>
          <w:color w:val="334155"/>
          <w:sz w:val="18"/>
        </w:rPr>
        <w:t>│                                                               │</w:t>
        <w:br/>
      </w:r>
      <w:r>
        <w:rPr>
          <w:rFonts w:ascii="Consolas" w:hAnsi="Consolas"/>
          <w:color w:val="334155"/>
          <w:sz w:val="18"/>
        </w:rPr>
        <w:t>│  Open Kaizens:     3                                           │</w:t>
        <w:br/>
      </w:r>
      <w:r>
        <w:rPr>
          <w:rFonts w:ascii="Consolas" w:hAnsi="Consolas"/>
          <w:color w:val="334155"/>
          <w:sz w:val="18"/>
        </w:rPr>
        <w:t>│  Closed YTD:       12                                          │</w:t>
        <w:br/>
      </w:r>
      <w:r>
        <w:rPr>
          <w:rFonts w:ascii="Consolas" w:hAnsi="Consolas"/>
          <w:color w:val="334155"/>
          <w:sz w:val="18"/>
        </w:rPr>
        <w:t>│  A3 close-out time (median): 4.2 BD  [Target ≤ 5 BD, GREEN]   │</w:t>
        <w:br/>
      </w:r>
      <w:r>
        <w:rPr>
          <w:rFonts w:ascii="Consolas" w:hAnsi="Consolas"/>
          <w:color w:val="334155"/>
          <w:sz w:val="18"/>
        </w:rPr>
        <w:t>│                                                               │</w:t>
        <w:br/>
      </w:r>
      <w:r>
        <w:rPr>
          <w:rFonts w:ascii="Consolas" w:hAnsi="Consolas"/>
          <w:color w:val="334155"/>
          <w:sz w:val="18"/>
        </w:rPr>
        <w:t>│  Trigger frequency (YTD):                                       │</w:t>
        <w:br/>
      </w:r>
      <w:r>
        <w:rPr>
          <w:rFonts w:ascii="Consolas" w:hAnsi="Consolas"/>
          <w:color w:val="334155"/>
          <w:sz w:val="18"/>
        </w:rPr>
        <w:t>│  SPC UCL breach:           4  ████                              │</w:t>
        <w:br/>
      </w:r>
      <w:r>
        <w:rPr>
          <w:rFonts w:ascii="Consolas" w:hAnsi="Consolas"/>
          <w:color w:val="334155"/>
          <w:sz w:val="18"/>
        </w:rPr>
        <w:t>│  MTTR breach in drill:     1  █                                 │</w:t>
        <w:br/>
      </w:r>
      <w:r>
        <w:rPr>
          <w:rFonts w:ascii="Consolas" w:hAnsi="Consolas"/>
          <w:color w:val="334155"/>
          <w:sz w:val="18"/>
        </w:rPr>
        <w:t>│  New asset ingress:        3  ███                               │</w:t>
        <w:br/>
      </w:r>
      <w:r>
        <w:rPr>
          <w:rFonts w:ascii="Consolas" w:hAnsi="Consolas"/>
          <w:color w:val="334155"/>
          <w:sz w:val="18"/>
        </w:rPr>
        <w:t>│  Regulatory change:        1  █                                 │</w:t>
        <w:br/>
      </w:r>
      <w:r>
        <w:rPr>
          <w:rFonts w:ascii="Consolas" w:hAnsi="Consolas"/>
          <w:color w:val="334155"/>
          <w:sz w:val="18"/>
        </w:rPr>
        <w:t>│  Industry peer event:      2  ██                                │</w:t>
        <w:br/>
      </w:r>
      <w:r>
        <w:rPr>
          <w:rFonts w:ascii="Consolas" w:hAnsi="Consolas"/>
          <w:color w:val="334155"/>
          <w:sz w:val="18"/>
        </w:rPr>
        <w:t>│  Personnel change:         0                                    │</w:t>
        <w:br/>
      </w:r>
      <w:r>
        <w:rPr>
          <w:rFonts w:ascii="Consolas" w:hAnsi="Consolas"/>
          <w:color w:val="334155"/>
          <w:sz w:val="18"/>
        </w:rPr>
        <w:t>│  Audit finding:            0                                    │</w:t>
        <w:br/>
      </w:r>
      <w:r>
        <w:rPr>
          <w:rFonts w:ascii="Consolas" w:hAnsi="Consolas"/>
          <w:color w:val="334155"/>
          <w:sz w:val="18"/>
        </w:rPr>
        <w:t>│  AI agent drift:           0                                    │</w:t>
        <w:br/>
      </w:r>
      <w:r>
        <w:rPr>
          <w:rFonts w:ascii="Consolas" w:hAnsi="Consolas"/>
          <w:color w:val="334155"/>
          <w:sz w:val="18"/>
        </w:rPr>
        <w:t>│  Process change:           0                                    │</w:t>
        <w:br/>
      </w:r>
      <w:r>
        <w:rPr>
          <w:rFonts w:ascii="Consolas" w:hAnsi="Consolas"/>
          <w:color w:val="334155"/>
          <w:sz w:val="18"/>
        </w:rPr>
        <w:t>│  Tooling change:           1  █                                 │</w:t>
        <w:br/>
      </w:r>
      <w:r>
        <w:rPr>
          <w:rFonts w:ascii="Consolas" w:hAnsi="Consolas"/>
          <w:color w:val="334155"/>
          <w:sz w:val="18"/>
        </w:rPr>
        <w:t>│  Supply chain:             0                                    │</w:t>
        <w:br/>
      </w:r>
      <w:r>
        <w:rPr>
          <w:rFonts w:ascii="Consolas" w:hAnsi="Consolas"/>
          <w:color w:val="334155"/>
          <w:sz w:val="18"/>
        </w:rPr>
        <w:t>│  M&amp;A:                      0                                    │</w:t>
        <w:br/>
      </w:r>
      <w:r>
        <w:rPr>
          <w:rFonts w:ascii="Consolas" w:hAnsi="Consolas"/>
          <w:color w:val="334155"/>
          <w:sz w:val="18"/>
        </w:rPr>
        <w:t>│  IP licensing:             0                                    │</w:t>
        <w:br/>
      </w:r>
      <w:r>
        <w:rPr>
          <w:rFonts w:ascii="Consolas" w:hAnsi="Consolas"/>
          <w:color w:val="334155"/>
          <w:sz w:val="18"/>
        </w:rPr>
        <w:t>│                                                               │</w:t>
        <w:br/>
      </w:r>
      <w:r>
        <w:rPr>
          <w:rFonts w:ascii="Consolas" w:hAnsi="Consolas"/>
          <w:color w:val="334155"/>
          <w:sz w:val="18"/>
        </w:rPr>
        <w:t>│  Open Kaizens (top 3 by age):                                   │</w:t>
        <w:br/>
      </w:r>
      <w:r>
        <w:rPr>
          <w:rFonts w:ascii="Consolas" w:hAnsi="Consolas"/>
          <w:color w:val="334155"/>
          <w:sz w:val="18"/>
        </w:rPr>
        <w:t>│  1. SPC UCL breach — formation latency spike (2.1 BD)          │</w:t>
        <w:br/>
      </w:r>
      <w:r>
        <w:rPr>
          <w:rFonts w:ascii="Consolas" w:hAnsi="Consolas"/>
          <w:color w:val="334155"/>
          <w:sz w:val="18"/>
        </w:rPr>
        <w:t>│  2. New asset ingress — new BMS firmware (1.8 BD)              │</w:t>
        <w:br/>
      </w:r>
      <w:r>
        <w:rPr>
          <w:rFonts w:ascii="Consolas" w:hAnsi="Consolas"/>
          <w:color w:val="334155"/>
          <w:sz w:val="18"/>
        </w:rPr>
        <w:t>│  3. Industry peer event — competitor breach (0.9 BD)           │</w:t>
        <w:br/>
      </w:r>
      <w:r>
        <w:rPr>
          <w:rFonts w:ascii="Consolas" w:hAnsi="Consolas"/>
          <w:color w:val="334155"/>
          <w:sz w:val="18"/>
        </w:rPr>
        <w:t>└──────────────────────────────────────────────────────────────┘</w:t>
      </w:r>
    </w:p>
    <w:p>
      <w:r>
        <w:rPr>
          <w:rFonts w:ascii="Calibri" w:hAnsi="Calibri"/>
          <w:b/>
          <w:color w:val="0F172A"/>
          <w:sz w:val="24"/>
        </w:rPr>
        <w:t>B.2.6 Tile 6 — Maturity Score</w:t>
      </w:r>
    </w:p>
    <w:p>
      <w:pPr>
        <w:shd w:val="clear" w:color="auto" w:fill="F1F5F9"/>
        <w:pBdr>
          <w:top w:val="single" w:sz="4" w:space="4" w:color="E2E8F0"/>
          <w:left w:val="single" w:sz="4" w:space="4" w:color="E2E8F0"/>
          <w:bottom w:val="single" w:sz="4" w:space="4" w:color="E2E8F0"/>
          <w:right w:val="single" w:sz="4" w:space="4" w:color="E2E8F0"/>
        </w:pBdr>
      </w:pPr>
      <w:r>
        <w:rPr>
          <w:rFonts w:ascii="Consolas" w:hAnsi="Consolas"/>
          <w:color w:val="334155"/>
          <w:sz w:val="18"/>
        </w:rPr>
        <w:t>┌──────────────────────────────────────────────────────────────┐</w:t>
        <w:br/>
      </w:r>
      <w:r>
        <w:rPr>
          <w:rFonts w:ascii="Consolas" w:hAnsi="Consolas"/>
          <w:color w:val="334155"/>
          <w:sz w:val="18"/>
        </w:rPr>
        <w:t>│ TILE 6: MATURITY SCORE                      Refresh: Quarterly│</w:t>
        <w:br/>
      </w:r>
      <w:r>
        <w:rPr>
          <w:rFonts w:ascii="Consolas" w:hAnsi="Consolas"/>
          <w:color w:val="334155"/>
          <w:sz w:val="18"/>
        </w:rPr>
        <w:t>├──────────────────────────────────────────────────────────────┤</w:t>
        <w:br/>
      </w:r>
      <w:r>
        <w:rPr>
          <w:rFonts w:ascii="Consolas" w:hAnsi="Consolas"/>
          <w:color w:val="334155"/>
          <w:sz w:val="18"/>
        </w:rPr>
        <w:t>│                                                               │</w:t>
        <w:br/>
      </w:r>
      <w:r>
        <w:rPr>
          <w:rFonts w:ascii="Consolas" w:hAnsi="Consolas"/>
          <w:color w:val="334155"/>
          <w:sz w:val="18"/>
        </w:rPr>
        <w:t>│  Current Level:  4 — Quantitatively Managed     [GREEN]        │</w:t>
        <w:br/>
      </w:r>
      <w:r>
        <w:rPr>
          <w:rFonts w:ascii="Consolas" w:hAnsi="Consolas"/>
          <w:color w:val="334155"/>
          <w:sz w:val="18"/>
        </w:rPr>
        <w:t>│  Target:         4 (sustained) → 5 (Optimising)              │</w:t>
        <w:br/>
      </w:r>
      <w:r>
        <w:rPr>
          <w:rFonts w:ascii="Consolas" w:hAnsi="Consolas"/>
          <w:color w:val="334155"/>
          <w:sz w:val="18"/>
        </w:rPr>
        <w:t>│                                                               │</w:t>
        <w:br/>
      </w:r>
      <w:r>
        <w:rPr>
          <w:rFonts w:ascii="Consolas" w:hAnsi="Consolas"/>
          <w:color w:val="334155"/>
          <w:sz w:val="18"/>
        </w:rPr>
        <w:t>│  Sub-indicator scores (0-2 each):                              │</w:t>
        <w:br/>
      </w:r>
      <w:r>
        <w:rPr>
          <w:rFonts w:ascii="Consolas" w:hAnsi="Consolas"/>
          <w:color w:val="334155"/>
          <w:sz w:val="18"/>
        </w:rPr>
        <w:t>│  Standard Work:           2/2  ████████████████████           │</w:t>
        <w:br/>
      </w:r>
      <w:r>
        <w:rPr>
          <w:rFonts w:ascii="Consolas" w:hAnsi="Consolas"/>
          <w:color w:val="334155"/>
          <w:sz w:val="18"/>
        </w:rPr>
        <w:t>│  FMEA refresh:            2/2  ████████████████████           │</w:t>
        <w:br/>
      </w:r>
      <w:r>
        <w:rPr>
          <w:rFonts w:ascii="Consolas" w:hAnsi="Consolas"/>
          <w:color w:val="334155"/>
          <w:sz w:val="18"/>
        </w:rPr>
        <w:t>│  SPC active:              2/2  ████████████████████           │</w:t>
        <w:br/>
      </w:r>
      <w:r>
        <w:rPr>
          <w:rFonts w:ascii="Consolas" w:hAnsi="Consolas"/>
          <w:color w:val="334155"/>
          <w:sz w:val="18"/>
        </w:rPr>
        <w:t>│  Cpk measured:            2/2  ████████████████████           │</w:t>
        <w:br/>
      </w:r>
      <w:r>
        <w:rPr>
          <w:rFonts w:ascii="Consolas" w:hAnsi="Consolas"/>
          <w:color w:val="334155"/>
          <w:sz w:val="18"/>
        </w:rPr>
        <w:t>│  AI agents operational:   2/2  ████████████████████           │</w:t>
        <w:br/>
      </w:r>
      <w:r>
        <w:rPr>
          <w:rFonts w:ascii="Consolas" w:hAnsi="Consolas"/>
          <w:color w:val="334155"/>
          <w:sz w:val="18"/>
        </w:rPr>
        <w:t>│  Poka-Yoke enforced:      1/2  ███████████                    │</w:t>
        <w:br/>
      </w:r>
      <w:r>
        <w:rPr>
          <w:rFonts w:ascii="Consolas" w:hAnsi="Consolas"/>
          <w:color w:val="334155"/>
          <w:sz w:val="18"/>
        </w:rPr>
        <w:t>│  Kaizen cycle:            2/2  ████████████████████           │</w:t>
        <w:br/>
      </w:r>
      <w:r>
        <w:rPr>
          <w:rFonts w:ascii="Consolas" w:hAnsi="Consolas"/>
          <w:color w:val="334155"/>
          <w:sz w:val="18"/>
        </w:rPr>
        <w:t>│  Cross-site audit:        0/2  (pending Site 2 onboarding)    │</w:t>
        <w:br/>
      </w:r>
      <w:r>
        <w:rPr>
          <w:rFonts w:ascii="Consolas" w:hAnsi="Consolas"/>
          <w:color w:val="334155"/>
          <w:sz w:val="18"/>
        </w:rPr>
        <w:t>│  Total:                   13/16 = 81%                          │</w:t>
        <w:br/>
      </w:r>
      <w:r>
        <w:rPr>
          <w:rFonts w:ascii="Consolas" w:hAnsi="Consolas"/>
          <w:color w:val="334155"/>
          <w:sz w:val="18"/>
        </w:rPr>
        <w:t>│                                                               │</w:t>
        <w:br/>
      </w:r>
      <w:r>
        <w:rPr>
          <w:rFonts w:ascii="Consolas" w:hAnsi="Consolas"/>
          <w:color w:val="334155"/>
          <w:sz w:val="18"/>
        </w:rPr>
        <w:t>│  Trend:  ↗ (improving from Level 3 at G5)                     │</w:t>
        <w:br/>
      </w:r>
      <w:r>
        <w:rPr>
          <w:rFonts w:ascii="Consolas" w:hAnsi="Consolas"/>
          <w:color w:val="334155"/>
          <w:sz w:val="18"/>
        </w:rPr>
        <w:t>│  External validation:  2026-Q3  (next: 2027-Q3)               │</w:t>
        <w:br/>
      </w:r>
      <w:r>
        <w:rPr>
          <w:rFonts w:ascii="Consolas" w:hAnsi="Consolas"/>
          <w:color w:val="334155"/>
          <w:sz w:val="18"/>
        </w:rPr>
        <w:t>│                                                               │</w:t>
        <w:br/>
      </w:r>
      <w:r>
        <w:rPr>
          <w:rFonts w:ascii="Consolas" w:hAnsi="Consolas"/>
          <w:color w:val="334155"/>
          <w:sz w:val="18"/>
        </w:rPr>
        <w:t>│  Regression alerts: None                                       │</w:t>
        <w:br/>
      </w:r>
      <w:r>
        <w:rPr>
          <w:rFonts w:ascii="Consolas" w:hAnsi="Consolas"/>
          <w:color w:val="334155"/>
          <w:sz w:val="18"/>
        </w:rPr>
        <w:t>└──────────────────────────────────────────────────────────────┘</w:t>
      </w:r>
    </w:p>
    <w:p>
      <w:r>
        <w:rPr>
          <w:rFonts w:ascii="Calibri" w:hAnsi="Calibri"/>
          <w:b/>
          <w:color w:val="0F172A"/>
          <w:sz w:val="24"/>
        </w:rPr>
        <w:t>B.2.7 Tile 7 — Cross-Site Status</w:t>
      </w:r>
    </w:p>
    <w:p>
      <w:pPr>
        <w:shd w:val="clear" w:color="auto" w:fill="F1F5F9"/>
        <w:pBdr>
          <w:top w:val="single" w:sz="4" w:space="4" w:color="E2E8F0"/>
          <w:left w:val="single" w:sz="4" w:space="4" w:color="E2E8F0"/>
          <w:bottom w:val="single" w:sz="4" w:space="4" w:color="E2E8F0"/>
          <w:right w:val="single" w:sz="4" w:space="4" w:color="E2E8F0"/>
        </w:pBdr>
      </w:pPr>
      <w:r>
        <w:rPr>
          <w:rFonts w:ascii="Consolas" w:hAnsi="Consolas"/>
          <w:color w:val="334155"/>
          <w:sz w:val="18"/>
        </w:rPr>
        <w:t>┌──────────────────────────────────────────────────────────────┐</w:t>
        <w:br/>
      </w:r>
      <w:r>
        <w:rPr>
          <w:rFonts w:ascii="Consolas" w:hAnsi="Consolas"/>
          <w:color w:val="334155"/>
          <w:sz w:val="18"/>
        </w:rPr>
        <w:t>│ TILE 7: CROSS-SITE STATUS                    Refresh: Monthly│</w:t>
        <w:br/>
      </w:r>
      <w:r>
        <w:rPr>
          <w:rFonts w:ascii="Consolas" w:hAnsi="Consolas"/>
          <w:color w:val="334155"/>
          <w:sz w:val="18"/>
        </w:rPr>
        <w:t>├──────────────────────────────────────────────────────────────┤</w:t>
        <w:br/>
      </w:r>
      <w:r>
        <w:rPr>
          <w:rFonts w:ascii="Consolas" w:hAnsi="Consolas"/>
          <w:color w:val="334155"/>
          <w:sz w:val="18"/>
        </w:rPr>
        <w:t>│                                                               │</w:t>
        <w:br/>
      </w:r>
      <w:r>
        <w:rPr>
          <w:rFonts w:ascii="Consolas" w:hAnsi="Consolas"/>
          <w:color w:val="334155"/>
          <w:sz w:val="18"/>
        </w:rPr>
        <w:t>│  Site   Status      Maturity   Z-Score   Replication Phase   │</w:t>
        <w:br/>
      </w:r>
      <w:r>
        <w:rPr>
          <w:rFonts w:ascii="Consolas" w:hAnsi="Consolas"/>
          <w:color w:val="334155"/>
          <w:sz w:val="18"/>
        </w:rPr>
        <w:t>│  ─────────────────────────────────────────────────────────   │</w:t>
        <w:br/>
      </w:r>
      <w:r>
        <w:rPr>
          <w:rFonts w:ascii="Consolas" w:hAnsi="Consolas"/>
          <w:color w:val="334155"/>
          <w:sz w:val="18"/>
        </w:rPr>
        <w:t>│  Site 1 [ACTIVE]    Level 4    4.2       G5 complete         │</w:t>
        <w:br/>
      </w:r>
      <w:r>
        <w:rPr>
          <w:rFonts w:ascii="Consolas" w:hAnsi="Consolas"/>
          <w:color w:val="334155"/>
          <w:sz w:val="18"/>
        </w:rPr>
        <w:t>│  Site 2 [ONBOARDING]Level 2    2.8       Wk 8 of 12          │</w:t>
        <w:br/>
      </w:r>
      <w:r>
        <w:rPr>
          <w:rFonts w:ascii="Consolas" w:hAnsi="Consolas"/>
          <w:color w:val="334155"/>
          <w:sz w:val="18"/>
        </w:rPr>
        <w:t>│  Site 3 [PENDING]   n/a        n/a       Not started         │</w:t>
        <w:br/>
      </w:r>
      <w:r>
        <w:rPr>
          <w:rFonts w:ascii="Consolas" w:hAnsi="Consolas"/>
          <w:color w:val="334155"/>
          <w:sz w:val="18"/>
        </w:rPr>
        <w:t>│  Site 4 [PENDING]   n/a        n/a       Not started         │</w:t>
        <w:br/>
      </w:r>
      <w:r>
        <w:rPr>
          <w:rFonts w:ascii="Consolas" w:hAnsi="Consolas"/>
          <w:color w:val="334155"/>
          <w:sz w:val="18"/>
        </w:rPr>
        <w:t>│  Site 5 [PENDING]   n/a        n/a       Not started         │</w:t>
        <w:br/>
      </w:r>
      <w:r>
        <w:rPr>
          <w:rFonts w:ascii="Consolas" w:hAnsi="Consolas"/>
          <w:color w:val="334155"/>
          <w:sz w:val="18"/>
        </w:rPr>
        <w:t>│                                                               │</w:t>
        <w:br/>
      </w:r>
      <w:r>
        <w:rPr>
          <w:rFonts w:ascii="Consolas" w:hAnsi="Consolas"/>
          <w:color w:val="334155"/>
          <w:sz w:val="18"/>
        </w:rPr>
        <w:t>│  Replication timeline:                                          │</w:t>
        <w:br/>
      </w:r>
      <w:r>
        <w:rPr>
          <w:rFonts w:ascii="Consolas" w:hAnsi="Consolas"/>
          <w:color w:val="334155"/>
          <w:sz w:val="18"/>
        </w:rPr>
        <w:t>│  Site 2: M4-6  [In progress]                                  │</w:t>
        <w:br/>
      </w:r>
      <w:r>
        <w:rPr>
          <w:rFonts w:ascii="Consolas" w:hAnsi="Consolas"/>
          <w:color w:val="334155"/>
          <w:sz w:val="18"/>
        </w:rPr>
        <w:t>│  Site 3: M7-9                                                 │</w:t>
        <w:br/>
      </w:r>
      <w:r>
        <w:rPr>
          <w:rFonts w:ascii="Consolas" w:hAnsi="Consolas"/>
          <w:color w:val="334155"/>
          <w:sz w:val="18"/>
        </w:rPr>
        <w:t>│  Site 4: M10-12                                               │</w:t>
        <w:br/>
      </w:r>
      <w:r>
        <w:rPr>
          <w:rFonts w:ascii="Consolas" w:hAnsi="Consolas"/>
          <w:color w:val="334155"/>
          <w:sz w:val="18"/>
        </w:rPr>
        <w:t>│  Site 5: M13-15                                               │</w:t>
        <w:br/>
      </w:r>
      <w:r>
        <w:rPr>
          <w:rFonts w:ascii="Consolas" w:hAnsi="Consolas"/>
          <w:color w:val="334155"/>
          <w:sz w:val="18"/>
        </w:rPr>
        <w:t>│  Enterprise benchmark: M18+                                    │</w:t>
        <w:br/>
      </w:r>
      <w:r>
        <w:rPr>
          <w:rFonts w:ascii="Consolas" w:hAnsi="Consolas"/>
          <w:color w:val="334155"/>
          <w:sz w:val="18"/>
        </w:rPr>
        <w:t>│                                                               │</w:t>
        <w:br/>
      </w:r>
      <w:r>
        <w:rPr>
          <w:rFonts w:ascii="Consolas" w:hAnsi="Consolas"/>
          <w:color w:val="334155"/>
          <w:sz w:val="18"/>
        </w:rPr>
        <w:t>│  Knowledge transfer cadence:  Weekly cross-site sync          │</w:t>
        <w:br/>
      </w:r>
      <w:r>
        <w:rPr>
          <w:rFonts w:ascii="Consolas" w:hAnsi="Consolas"/>
          <w:color w:val="334155"/>
          <w:sz w:val="18"/>
        </w:rPr>
        <w:t>│  Cross-site audit exchange:   Quarterly                       │</w:t>
        <w:br/>
      </w:r>
      <w:r>
        <w:rPr>
          <w:rFonts w:ascii="Consolas" w:hAnsi="Consolas"/>
          <w:color w:val="334155"/>
          <w:sz w:val="18"/>
        </w:rPr>
        <w:t>└──────────────────────────────────────────────────────────────┘</w:t>
      </w:r>
    </w:p>
    <w:p>
      <w:r>
        <w:rPr>
          <w:rFonts w:ascii="Calibri" w:hAnsi="Calibri"/>
          <w:b/>
          <w:color w:val="0F172A"/>
          <w:sz w:val="24"/>
        </w:rPr>
        <w:t>B.2.8 Tile 8 — Regulatory &amp; Compliance</w:t>
      </w:r>
    </w:p>
    <w:p>
      <w:pPr>
        <w:shd w:val="clear" w:color="auto" w:fill="F1F5F9"/>
        <w:pBdr>
          <w:top w:val="single" w:sz="4" w:space="4" w:color="E2E8F0"/>
          <w:left w:val="single" w:sz="4" w:space="4" w:color="E2E8F0"/>
          <w:bottom w:val="single" w:sz="4" w:space="4" w:color="E2E8F0"/>
          <w:right w:val="single" w:sz="4" w:space="4" w:color="E2E8F0"/>
        </w:pBdr>
      </w:pPr>
      <w:r>
        <w:rPr>
          <w:rFonts w:ascii="Consolas" w:hAnsi="Consolas"/>
          <w:color w:val="334155"/>
          <w:sz w:val="18"/>
        </w:rPr>
        <w:t>┌──────────────────────────────────────────────────────────────┐</w:t>
        <w:br/>
      </w:r>
      <w:r>
        <w:rPr>
          <w:rFonts w:ascii="Consolas" w:hAnsi="Consolas"/>
          <w:color w:val="334155"/>
          <w:sz w:val="18"/>
        </w:rPr>
        <w:t>│ TILE 8: REGULATORY &amp; COMPLIANCE              Refresh: Monthly│</w:t>
        <w:br/>
      </w:r>
      <w:r>
        <w:rPr>
          <w:rFonts w:ascii="Consolas" w:hAnsi="Consolas"/>
          <w:color w:val="334155"/>
          <w:sz w:val="18"/>
        </w:rPr>
        <w:t>├──────────────────────────────────────────────────────────────┤</w:t>
        <w:br/>
      </w:r>
      <w:r>
        <w:rPr>
          <w:rFonts w:ascii="Consolas" w:hAnsi="Consolas"/>
          <w:color w:val="334155"/>
          <w:sz w:val="18"/>
        </w:rPr>
        <w:t>│                                                               │</w:t>
        <w:br/>
      </w:r>
      <w:r>
        <w:rPr>
          <w:rFonts w:ascii="Consolas" w:hAnsi="Consolas"/>
          <w:color w:val="334155"/>
          <w:sz w:val="18"/>
        </w:rPr>
        <w:t>│  NIS2 (EU):              ✓ COMPLIANT  [Last audit: 2026-Q2]   │</w:t>
        <w:br/>
      </w:r>
      <w:r>
        <w:rPr>
          <w:rFonts w:ascii="Consolas" w:hAnsi="Consolas"/>
          <w:color w:val="334155"/>
          <w:sz w:val="18"/>
        </w:rPr>
        <w:t>│  IEC 62443:              ✓ COMPLIANT  [Last audit: 2026-Q2]   │</w:t>
        <w:br/>
      </w:r>
      <w:r>
        <w:rPr>
          <w:rFonts w:ascii="Consolas" w:hAnsi="Consolas"/>
          <w:color w:val="334155"/>
          <w:sz w:val="18"/>
        </w:rPr>
        <w:t>│  OEM cyber attestation:  ✓ COMPLIANT  [Last attest: 2026-Q2]  │</w:t>
        <w:br/>
      </w:r>
      <w:r>
        <w:rPr>
          <w:rFonts w:ascii="Consolas" w:hAnsi="Consolas"/>
          <w:color w:val="334155"/>
          <w:sz w:val="18"/>
        </w:rPr>
        <w:t>│                          (VW, BMW, Stellantis, others)          │</w:t>
        <w:br/>
      </w:r>
      <w:r>
        <w:rPr>
          <w:rFonts w:ascii="Consolas" w:hAnsi="Consolas"/>
          <w:color w:val="334155"/>
          <w:sz w:val="18"/>
        </w:rPr>
        <w:t>│  GDPR:                   ✓ COMPLIANT  [Last review: 2026-Q1]  │</w:t>
        <w:br/>
      </w:r>
      <w:r>
        <w:rPr>
          <w:rFonts w:ascii="Consolas" w:hAnsi="Consolas"/>
          <w:color w:val="334155"/>
          <w:sz w:val="18"/>
        </w:rPr>
        <w:t>│  EU PLD 2024/2853:       ✓ STRUCTURAL CONTROLS OPERATIONAL    │</w:t>
        <w:br/>
      </w:r>
      <w:r>
        <w:rPr>
          <w:rFonts w:ascii="Consolas" w:hAnsi="Consolas"/>
          <w:color w:val="334155"/>
          <w:sz w:val="18"/>
        </w:rPr>
        <w:t>│                                                               │</w:t>
        <w:br/>
      </w:r>
      <w:r>
        <w:rPr>
          <w:rFonts w:ascii="Consolas" w:hAnsi="Consolas"/>
          <w:color w:val="334155"/>
          <w:sz w:val="18"/>
        </w:rPr>
        <w:t>│  Open audit findings:        0                                 │</w:t>
        <w:br/>
      </w:r>
      <w:r>
        <w:rPr>
          <w:rFonts w:ascii="Consolas" w:hAnsi="Consolas"/>
          <w:color w:val="334155"/>
          <w:sz w:val="18"/>
        </w:rPr>
        <w:t>│  Pending regulatory changes:  1 (NIS2 amendment Q4-2026)      │</w:t>
        <w:br/>
      </w:r>
      <w:r>
        <w:rPr>
          <w:rFonts w:ascii="Consolas" w:hAnsi="Consolas"/>
          <w:color w:val="334155"/>
          <w:sz w:val="18"/>
        </w:rPr>
        <w:t>│  OEM attestation renewals:   2 due in next 90 days              │</w:t>
        <w:br/>
      </w:r>
      <w:r>
        <w:rPr>
          <w:rFonts w:ascii="Consolas" w:hAnsi="Consolas"/>
          <w:color w:val="334155"/>
          <w:sz w:val="18"/>
        </w:rPr>
        <w:t>│                                                               │</w:t>
        <w:br/>
      </w:r>
      <w:r>
        <w:rPr>
          <w:rFonts w:ascii="Consolas" w:hAnsi="Consolas"/>
          <w:color w:val="334155"/>
          <w:sz w:val="18"/>
        </w:rPr>
        <w:t>│  Recent compliance activity:                                   │</w:t>
        <w:br/>
      </w:r>
      <w:r>
        <w:rPr>
          <w:rFonts w:ascii="Consolas" w:hAnsi="Consolas"/>
          <w:color w:val="334155"/>
          <w:sz w:val="18"/>
        </w:rPr>
        <w:t>│  2026-08-12  OEM attestation renewed (BMW)                    │</w:t>
        <w:br/>
      </w:r>
      <w:r>
        <w:rPr>
          <w:rFonts w:ascii="Consolas" w:hAnsi="Consolas"/>
          <w:color w:val="334155"/>
          <w:sz w:val="18"/>
        </w:rPr>
        <w:t>│  2026-07-28  NIS2 internal audit completed                    │</w:t>
        <w:br/>
      </w:r>
      <w:r>
        <w:rPr>
          <w:rFonts w:ascii="Consolas" w:hAnsi="Consolas"/>
          <w:color w:val="334155"/>
          <w:sz w:val="18"/>
        </w:rPr>
        <w:t>│  2026-07-15  IEC 62443 surveillance audit passed              │</w:t>
        <w:br/>
      </w:r>
      <w:r>
        <w:rPr>
          <w:rFonts w:ascii="Consolas" w:hAnsi="Consolas"/>
          <w:color w:val="334155"/>
          <w:sz w:val="18"/>
        </w:rPr>
        <w:t>└──────────────────────────────────────────────────────────────┘</w:t>
      </w:r>
    </w:p>
    <w:p>
      <w:pPr>
        <w:pBdr>
          <w:bottom w:val="single" w:sz="6" w:space="1" w:color="CBD5E1"/>
        </w:pBdr>
      </w:pPr>
    </w:p>
    <w:p>
      <w:r>
        <w:rPr>
          <w:rFonts w:ascii="Calibri" w:hAnsi="Calibri"/>
          <w:b/>
          <w:color w:val="0F172A"/>
          <w:sz w:val="28"/>
        </w:rPr>
        <w:t>B.3 Color Coding &amp; Alert System</w:t>
      </w:r>
    </w:p>
    <w:p>
      <w:r>
        <w:rPr>
          <w:rFonts w:ascii="Calibri" w:hAnsi="Calibri"/>
          <w:sz w:val="22"/>
        </w:rPr>
        <w:t>The dashboard uses a 3-tier color coding system, consistent across all tiles:</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shd w:val="clear" w:color="auto" w:fill="1E40AF"/>
          </w:tcPr>
          <w:p>
            <w:r/>
            <w:r>
              <w:rPr>
                <w:rFonts w:ascii="Calibri" w:hAnsi="Calibri"/>
                <w:b/>
                <w:color w:val="FFFFFF"/>
                <w:sz w:val="20"/>
              </w:rPr>
              <w:t>Color</w:t>
            </w:r>
          </w:p>
        </w:tc>
        <w:tc>
          <w:tcPr>
            <w:tcW w:type="dxa" w:w="2436"/>
            <w:shd w:val="clear" w:color="auto" w:fill="1E40AF"/>
          </w:tcPr>
          <w:p>
            <w:r/>
            <w:r>
              <w:rPr>
                <w:rFonts w:ascii="Calibri" w:hAnsi="Calibri"/>
                <w:b/>
                <w:color w:val="FFFFFF"/>
                <w:sz w:val="20"/>
              </w:rPr>
              <w:t>Status</w:t>
            </w:r>
          </w:p>
        </w:tc>
        <w:tc>
          <w:tcPr>
            <w:tcW w:type="dxa" w:w="2436"/>
            <w:shd w:val="clear" w:color="auto" w:fill="1E40AF"/>
          </w:tcPr>
          <w:p>
            <w:r/>
            <w:r>
              <w:rPr>
                <w:rFonts w:ascii="Calibri" w:hAnsi="Calibri"/>
                <w:b/>
                <w:color w:val="FFFFFF"/>
                <w:sz w:val="20"/>
              </w:rPr>
              <w:t>Definition</w:t>
            </w:r>
          </w:p>
        </w:tc>
        <w:tc>
          <w:tcPr>
            <w:tcW w:type="dxa" w:w="2436"/>
            <w:shd w:val="clear" w:color="auto" w:fill="1E40AF"/>
          </w:tcPr>
          <w:p>
            <w:r/>
            <w:r>
              <w:rPr>
                <w:rFonts w:ascii="Calibri" w:hAnsi="Calibri"/>
                <w:b/>
                <w:color w:val="FFFFFF"/>
                <w:sz w:val="20"/>
              </w:rPr>
              <w:t>CISO Notification</w:t>
            </w:r>
          </w:p>
        </w:tc>
      </w:tr>
      <w:tr>
        <w:tc>
          <w:tcPr>
            <w:tcW w:type="dxa" w:w="2436"/>
          </w:tcPr>
          <w:p>
            <w:r/>
            <w:r>
              <w:rPr>
                <w:rFonts w:ascii="Calibri" w:hAnsi="Calibri"/>
                <w:color w:val="0F172A"/>
                <w:sz w:val="18"/>
              </w:rPr>
              <w:t xml:space="preserve">🟢 </w:t>
            </w:r>
            <w:r>
              <w:rPr>
                <w:rFonts w:ascii="Calibri" w:hAnsi="Calibri"/>
                <w:b/>
                <w:color w:val="0F172A"/>
                <w:sz w:val="18"/>
              </w:rPr>
              <w:t>GREEN</w:t>
            </w:r>
          </w:p>
        </w:tc>
        <w:tc>
          <w:tcPr>
            <w:tcW w:type="dxa" w:w="2436"/>
          </w:tcPr>
          <w:p>
            <w:r/>
            <w:r>
              <w:rPr>
                <w:rFonts w:ascii="Calibri" w:hAnsi="Calibri"/>
                <w:color w:val="0F172A"/>
                <w:sz w:val="18"/>
              </w:rPr>
              <w:t>On target</w:t>
            </w:r>
          </w:p>
        </w:tc>
        <w:tc>
          <w:tcPr>
            <w:tcW w:type="dxa" w:w="2436"/>
          </w:tcPr>
          <w:p>
            <w:r/>
            <w:r>
              <w:rPr>
                <w:rFonts w:ascii="Calibri" w:hAnsi="Calibri"/>
                <w:color w:val="0F172A"/>
                <w:sz w:val="18"/>
              </w:rPr>
              <w:t>All metrics within engagement target; no open issues</w:t>
            </w:r>
          </w:p>
        </w:tc>
        <w:tc>
          <w:tcPr>
            <w:tcW w:type="dxa" w:w="2436"/>
          </w:tcPr>
          <w:p>
            <w:r/>
            <w:r>
              <w:rPr>
                <w:rFonts w:ascii="Calibri" w:hAnsi="Calibri"/>
                <w:color w:val="0F172A"/>
                <w:sz w:val="18"/>
              </w:rPr>
              <w:t>Standard cadence (bi-weekly briefing)</w:t>
            </w:r>
          </w:p>
        </w:tc>
      </w:tr>
      <w:tr>
        <w:tc>
          <w:tcPr>
            <w:tcW w:type="dxa" w:w="2436"/>
          </w:tcPr>
          <w:p>
            <w:r/>
            <w:r>
              <w:rPr>
                <w:rFonts w:ascii="Calibri" w:hAnsi="Calibri"/>
                <w:color w:val="0F172A"/>
                <w:sz w:val="18"/>
              </w:rPr>
              <w:t xml:space="preserve">🟡 </w:t>
            </w:r>
            <w:r>
              <w:rPr>
                <w:rFonts w:ascii="Calibri" w:hAnsi="Calibri"/>
                <w:b/>
                <w:color w:val="0F172A"/>
                <w:sz w:val="18"/>
              </w:rPr>
              <w:t>AMBER</w:t>
            </w:r>
          </w:p>
        </w:tc>
        <w:tc>
          <w:tcPr>
            <w:tcW w:type="dxa" w:w="2436"/>
          </w:tcPr>
          <w:p>
            <w:r/>
            <w:r>
              <w:rPr>
                <w:rFonts w:ascii="Calibri" w:hAnsi="Calibri"/>
                <w:color w:val="0F172A"/>
                <w:sz w:val="18"/>
              </w:rPr>
              <w:t>Drift</w:t>
            </w:r>
          </w:p>
        </w:tc>
        <w:tc>
          <w:tcPr>
            <w:tcW w:type="dxa" w:w="2436"/>
          </w:tcPr>
          <w:p>
            <w:r/>
            <w:r>
              <w:rPr>
                <w:rFonts w:ascii="Calibri" w:hAnsi="Calibri"/>
                <w:color w:val="0F172A"/>
                <w:sz w:val="18"/>
              </w:rPr>
              <w:t>One or more sub-process below target; open Kaizen &gt; 5 BD; FMEA refresh overdue; or other warning signals</w:t>
            </w:r>
          </w:p>
        </w:tc>
        <w:tc>
          <w:tcPr>
            <w:tcW w:type="dxa" w:w="2436"/>
          </w:tcPr>
          <w:p>
            <w:r/>
            <w:r>
              <w:rPr>
                <w:rFonts w:ascii="Calibri" w:hAnsi="Calibri"/>
                <w:color w:val="0F172A"/>
                <w:sz w:val="18"/>
              </w:rPr>
              <w:t>Bi-weekly briefing escalates; MBB + Track Lead investigate within 48h</w:t>
            </w:r>
          </w:p>
        </w:tc>
      </w:tr>
      <w:tr>
        <w:tc>
          <w:tcPr>
            <w:tcW w:type="dxa" w:w="2436"/>
          </w:tcPr>
          <w:p>
            <w:r/>
            <w:r>
              <w:rPr>
                <w:rFonts w:ascii="Calibri" w:hAnsi="Calibri"/>
                <w:color w:val="0F172A"/>
                <w:sz w:val="18"/>
              </w:rPr>
              <w:t xml:space="preserve">🔴 </w:t>
            </w:r>
            <w:r>
              <w:rPr>
                <w:rFonts w:ascii="Calibri" w:hAnsi="Calibri"/>
                <w:b/>
                <w:color w:val="0F172A"/>
                <w:sz w:val="18"/>
              </w:rPr>
              <w:t>RED</w:t>
            </w:r>
          </w:p>
        </w:tc>
        <w:tc>
          <w:tcPr>
            <w:tcW w:type="dxa" w:w="2436"/>
          </w:tcPr>
          <w:p>
            <w:r/>
            <w:r>
              <w:rPr>
                <w:rFonts w:ascii="Calibri" w:hAnsi="Calibri"/>
                <w:color w:val="0F172A"/>
                <w:sz w:val="18"/>
              </w:rPr>
              <w:t>Critical</w:t>
            </w:r>
          </w:p>
        </w:tc>
        <w:tc>
          <w:tcPr>
            <w:tcW w:type="dxa" w:w="2436"/>
          </w:tcPr>
          <w:p>
            <w:r/>
            <w:r>
              <w:rPr>
                <w:rFonts w:ascii="Calibri" w:hAnsi="Calibri"/>
                <w:color w:val="0F172A"/>
                <w:sz w:val="18"/>
              </w:rPr>
              <w:t>Engagement Z-score &lt; 4.0; Tier 2/3 escalation open; structural change trigger (M&amp;A / IP licensing / supply chain); or safety event</w:t>
            </w:r>
          </w:p>
        </w:tc>
        <w:tc>
          <w:tcPr>
            <w:tcW w:type="dxa" w:w="2436"/>
          </w:tcPr>
          <w:p>
            <w:r/>
            <w:r>
              <w:rPr>
                <w:rFonts w:ascii="Calibri" w:hAnsi="Calibri"/>
                <w:color w:val="0F172A"/>
                <w:sz w:val="18"/>
              </w:rPr>
              <w:t>CISO notified within 4h; emergency briefing within 24h; engagement re-scope possible</w:t>
            </w:r>
          </w:p>
        </w:tc>
      </w:tr>
    </w:tbl>
    <w:p/>
    <w:p>
      <w:r>
        <w:rPr>
          <w:rFonts w:ascii="Calibri" w:hAnsi="Calibri"/>
          <w:b/>
          <w:sz w:val="22"/>
        </w:rPr>
        <w:t>Dashboard-level status:</w:t>
      </w:r>
      <w:r>
        <w:rPr>
          <w:rFonts w:ascii="Calibri" w:hAnsi="Calibri"/>
          <w:sz w:val="22"/>
        </w:rPr>
        <w:t xml:space="preserve"> Worst-status of any tile, with engagement Z-score as the headline number. A single RED tile flips the dashboard to RED.</w:t>
      </w:r>
    </w:p>
    <w:p>
      <w:pPr>
        <w:pBdr>
          <w:bottom w:val="single" w:sz="6" w:space="1" w:color="CBD5E1"/>
        </w:pBdr>
      </w:pPr>
    </w:p>
    <w:p>
      <w:r>
        <w:rPr>
          <w:rFonts w:ascii="Calibri" w:hAnsi="Calibri"/>
          <w:b/>
          <w:color w:val="0F172A"/>
          <w:sz w:val="28"/>
        </w:rPr>
        <w:t>B.4 Interactive Features</w:t>
      </w:r>
    </w:p>
    <w:p>
      <w:r>
        <w:rPr>
          <w:rFonts w:ascii="Calibri" w:hAnsi="Calibri"/>
          <w:sz w:val="22"/>
        </w:rPr>
        <w:t>The dashboard is interactive, with the following features:</w:t>
      </w:r>
    </w:p>
    <w:tbl>
      <w:tblPr>
        <w:tblStyle w:val="LightGrid-Accent1"/>
        <w:tblW w:type="auto" w:w="0"/>
        <w:tblLook w:firstColumn="1" w:firstRow="1" w:lastColumn="0" w:lastRow="0" w:noHBand="0" w:noVBand="1" w:val="04A0"/>
      </w:tblPr>
      <w:tblGrid>
        <w:gridCol w:w="4873"/>
        <w:gridCol w:w="4873"/>
      </w:tblGrid>
      <w:tr>
        <w:tc>
          <w:tcPr>
            <w:tcW w:type="dxa" w:w="4873"/>
            <w:shd w:val="clear" w:color="auto" w:fill="1E40AF"/>
          </w:tcPr>
          <w:p>
            <w:r/>
            <w:r>
              <w:rPr>
                <w:rFonts w:ascii="Calibri" w:hAnsi="Calibri"/>
                <w:b/>
                <w:color w:val="FFFFFF"/>
                <w:sz w:val="20"/>
              </w:rPr>
              <w:t>Feature</w:t>
            </w:r>
          </w:p>
        </w:tc>
        <w:tc>
          <w:tcPr>
            <w:tcW w:type="dxa" w:w="4873"/>
            <w:shd w:val="clear" w:color="auto" w:fill="1E40AF"/>
          </w:tcPr>
          <w:p>
            <w:r/>
            <w:r>
              <w:rPr>
                <w:rFonts w:ascii="Calibri" w:hAnsi="Calibri"/>
                <w:b/>
                <w:color w:val="FFFFFF"/>
                <w:sz w:val="20"/>
              </w:rPr>
              <w:t>Description</w:t>
            </w:r>
          </w:p>
        </w:tc>
      </w:tr>
      <w:tr>
        <w:tc>
          <w:tcPr>
            <w:tcW w:type="dxa" w:w="4873"/>
          </w:tcPr>
          <w:p>
            <w:r/>
            <w:r>
              <w:rPr>
                <w:rFonts w:ascii="Calibri" w:hAnsi="Calibri"/>
                <w:b/>
                <w:color w:val="0F172A"/>
                <w:sz w:val="18"/>
              </w:rPr>
              <w:t>Drill-down</w:t>
            </w:r>
          </w:p>
        </w:tc>
        <w:tc>
          <w:tcPr>
            <w:tcW w:type="dxa" w:w="4873"/>
          </w:tcPr>
          <w:p>
            <w:r/>
            <w:r>
              <w:rPr>
                <w:rFonts w:ascii="Calibri" w:hAnsi="Calibri"/>
                <w:color w:val="0F172A"/>
                <w:sz w:val="18"/>
              </w:rPr>
              <w:t>Click any tile metric to view anonymised source data (per access control)</w:t>
            </w:r>
          </w:p>
        </w:tc>
      </w:tr>
      <w:tr>
        <w:tc>
          <w:tcPr>
            <w:tcW w:type="dxa" w:w="4873"/>
          </w:tcPr>
          <w:p>
            <w:r/>
            <w:r>
              <w:rPr>
                <w:rFonts w:ascii="Calibri" w:hAnsi="Calibri"/>
                <w:b/>
                <w:color w:val="0F172A"/>
                <w:sz w:val="18"/>
              </w:rPr>
              <w:t>Time range</w:t>
            </w:r>
          </w:p>
        </w:tc>
        <w:tc>
          <w:tcPr>
            <w:tcW w:type="dxa" w:w="4873"/>
          </w:tcPr>
          <w:p>
            <w:r/>
            <w:r>
              <w:rPr>
                <w:rFonts w:ascii="Calibri" w:hAnsi="Calibri"/>
                <w:color w:val="0F172A"/>
                <w:sz w:val="18"/>
              </w:rPr>
              <w:t>Toggle between 12-week, 24-week, 52-week views</w:t>
            </w:r>
          </w:p>
        </w:tc>
      </w:tr>
      <w:tr>
        <w:tc>
          <w:tcPr>
            <w:tcW w:type="dxa" w:w="4873"/>
          </w:tcPr>
          <w:p>
            <w:r/>
            <w:r>
              <w:rPr>
                <w:rFonts w:ascii="Calibri" w:hAnsi="Calibri"/>
                <w:b/>
                <w:color w:val="0F172A"/>
                <w:sz w:val="18"/>
              </w:rPr>
              <w:t>Export</w:t>
            </w:r>
          </w:p>
        </w:tc>
        <w:tc>
          <w:tcPr>
            <w:tcW w:type="dxa" w:w="4873"/>
          </w:tcPr>
          <w:p>
            <w:r/>
            <w:r>
              <w:rPr>
                <w:rFonts w:ascii="Calibri" w:hAnsi="Calibri"/>
                <w:color w:val="0F172A"/>
                <w:sz w:val="18"/>
              </w:rPr>
              <w:t>CISO and MBB can export tile data as PDF or CSV; logged in audit trail</w:t>
            </w:r>
          </w:p>
        </w:tc>
      </w:tr>
      <w:tr>
        <w:tc>
          <w:tcPr>
            <w:tcW w:type="dxa" w:w="4873"/>
          </w:tcPr>
          <w:p>
            <w:r/>
            <w:r>
              <w:rPr>
                <w:rFonts w:ascii="Calibri" w:hAnsi="Calibri"/>
                <w:b/>
                <w:color w:val="0F172A"/>
                <w:sz w:val="18"/>
              </w:rPr>
              <w:t>Annotations</w:t>
            </w:r>
          </w:p>
        </w:tc>
        <w:tc>
          <w:tcPr>
            <w:tcW w:type="dxa" w:w="4873"/>
          </w:tcPr>
          <w:p>
            <w:r/>
            <w:r>
              <w:rPr>
                <w:rFonts w:ascii="Calibri" w:hAnsi="Calibri"/>
                <w:color w:val="0F172A"/>
                <w:sz w:val="18"/>
              </w:rPr>
              <w:t>MBB and Track Leads can add annotations to metrics (e.g. "W7 spike due to planned maintenance")</w:t>
            </w:r>
          </w:p>
        </w:tc>
      </w:tr>
      <w:tr>
        <w:tc>
          <w:tcPr>
            <w:tcW w:type="dxa" w:w="4873"/>
          </w:tcPr>
          <w:p>
            <w:r/>
            <w:r>
              <w:rPr>
                <w:rFonts w:ascii="Calibri" w:hAnsi="Calibri"/>
                <w:b/>
                <w:color w:val="0F172A"/>
                <w:sz w:val="18"/>
              </w:rPr>
              <w:t>Alerts</w:t>
            </w:r>
          </w:p>
        </w:tc>
        <w:tc>
          <w:tcPr>
            <w:tcW w:type="dxa" w:w="4873"/>
          </w:tcPr>
          <w:p>
            <w:r/>
            <w:r>
              <w:rPr>
                <w:rFonts w:ascii="Calibri" w:hAnsi="Calibri"/>
                <w:color w:val="0F172A"/>
                <w:sz w:val="18"/>
              </w:rPr>
              <w:t>Configurable per-tile alerts via email or push notification; RED status triggers immediate alert</w:t>
            </w:r>
          </w:p>
        </w:tc>
      </w:tr>
      <w:tr>
        <w:tc>
          <w:tcPr>
            <w:tcW w:type="dxa" w:w="4873"/>
          </w:tcPr>
          <w:p>
            <w:r/>
            <w:r>
              <w:rPr>
                <w:rFonts w:ascii="Calibri" w:hAnsi="Calibri"/>
                <w:b/>
                <w:color w:val="0F172A"/>
                <w:sz w:val="18"/>
              </w:rPr>
              <w:t>Mobile</w:t>
            </w:r>
          </w:p>
        </w:tc>
        <w:tc>
          <w:tcPr>
            <w:tcW w:type="dxa" w:w="4873"/>
          </w:tcPr>
          <w:p>
            <w:r/>
            <w:r>
              <w:rPr>
                <w:rFonts w:ascii="Calibri" w:hAnsi="Calibri"/>
                <w:color w:val="0F172A"/>
                <w:sz w:val="18"/>
              </w:rPr>
              <w:t>Responsive design; CISO can view on tablet/phone with same access controls</w:t>
            </w:r>
          </w:p>
        </w:tc>
      </w:tr>
      <w:tr>
        <w:tc>
          <w:tcPr>
            <w:tcW w:type="dxa" w:w="4873"/>
          </w:tcPr>
          <w:p>
            <w:r/>
            <w:r>
              <w:rPr>
                <w:rFonts w:ascii="Calibri" w:hAnsi="Calibri"/>
                <w:b/>
                <w:color w:val="0F172A"/>
                <w:sz w:val="18"/>
              </w:rPr>
              <w:t>Audit log</w:t>
            </w:r>
          </w:p>
        </w:tc>
        <w:tc>
          <w:tcPr>
            <w:tcW w:type="dxa" w:w="4873"/>
          </w:tcPr>
          <w:p>
            <w:r/>
            <w:r>
              <w:rPr>
                <w:rFonts w:ascii="Calibri" w:hAnsi="Calibri"/>
                <w:color w:val="0F172A"/>
                <w:sz w:val="18"/>
              </w:rPr>
              <w:t>Every dashboard view, drill-down, export, annotation is logged; quarterly CISO review</w:t>
            </w:r>
          </w:p>
        </w:tc>
      </w:tr>
    </w:tbl>
    <w:p/>
    <w:p>
      <w:pPr>
        <w:pBdr>
          <w:bottom w:val="single" w:sz="6" w:space="1" w:color="CBD5E1"/>
        </w:pBdr>
      </w:pPr>
    </w:p>
    <w:p>
      <w:r>
        <w:rPr>
          <w:rFonts w:ascii="Calibri" w:hAnsi="Calibri"/>
          <w:b/>
          <w:color w:val="0F172A"/>
          <w:sz w:val="28"/>
        </w:rPr>
        <w:t>B.5 Mobile View (CISO Tablet/Phone)</w:t>
      </w:r>
    </w:p>
    <w:p>
      <w:r>
        <w:rPr>
          <w:rFonts w:ascii="Calibri" w:hAnsi="Calibri"/>
          <w:sz w:val="22"/>
        </w:rPr>
        <w:t>The dashboard is mobile-responsive. On tablet/phone, the 2×4 grid collapses to a single-column scroll:</w:t>
      </w:r>
    </w:p>
    <w:p>
      <w:pPr>
        <w:shd w:val="clear" w:color="auto" w:fill="F1F5F9"/>
        <w:pBdr>
          <w:top w:val="single" w:sz="4" w:space="4" w:color="E2E8F0"/>
          <w:left w:val="single" w:sz="4" w:space="4" w:color="E2E8F0"/>
          <w:bottom w:val="single" w:sz="4" w:space="4" w:color="E2E8F0"/>
          <w:right w:val="single" w:sz="4" w:space="4" w:color="E2E8F0"/>
        </w:pBdr>
      </w:pPr>
      <w:r>
        <w:rPr>
          <w:rFonts w:ascii="Consolas" w:hAnsi="Consolas"/>
          <w:color w:val="334155"/>
          <w:sz w:val="18"/>
        </w:rPr>
        <w:t>┌─────────────────────────────┐</w:t>
        <w:br/>
      </w:r>
      <w:r>
        <w:rPr>
          <w:rFonts w:ascii="Consolas" w:hAnsi="Consolas"/>
          <w:color w:val="334155"/>
          <w:sz w:val="18"/>
        </w:rPr>
        <w:t>│ EV CELL CYBER DASHBOARD     │</w:t>
        <w:br/>
      </w:r>
      <w:r>
        <w:rPr>
          <w:rFonts w:ascii="Consolas" w:hAnsi="Consolas"/>
          <w:color w:val="334155"/>
          <w:sz w:val="18"/>
        </w:rPr>
        <w:t>│ Z-Score: 4.2  [GREEN]       │</w:t>
        <w:br/>
      </w:r>
      <w:r>
        <w:rPr>
          <w:rFonts w:ascii="Consolas" w:hAnsi="Consolas"/>
          <w:color w:val="334155"/>
          <w:sz w:val="18"/>
        </w:rPr>
        <w:t>├─────────────────────────────┤</w:t>
        <w:br/>
      </w:r>
      <w:r>
        <w:rPr>
          <w:rFonts w:ascii="Consolas" w:hAnsi="Consolas"/>
          <w:color w:val="334155"/>
          <w:sz w:val="18"/>
        </w:rPr>
        <w:t>│ TILE 1: Process Capability  │</w:t>
        <w:br/>
      </w:r>
      <w:r>
        <w:rPr>
          <w:rFonts w:ascii="Consolas" w:hAnsi="Consolas"/>
          <w:color w:val="334155"/>
          <w:sz w:val="18"/>
        </w:rPr>
        <w:t>│ [Z-Score trend]             │</w:t>
        <w:br/>
      </w:r>
      <w:r>
        <w:rPr>
          <w:rFonts w:ascii="Consolas" w:hAnsi="Consolas"/>
          <w:color w:val="334155"/>
          <w:sz w:val="18"/>
        </w:rPr>
        <w:t>├─────────────────────────────┤</w:t>
        <w:br/>
      </w:r>
      <w:r>
        <w:rPr>
          <w:rFonts w:ascii="Consolas" w:hAnsi="Consolas"/>
          <w:color w:val="334155"/>
          <w:sz w:val="18"/>
        </w:rPr>
        <w:t>│ TILE 2: Financial Exposure  │</w:t>
        <w:br/>
      </w:r>
      <w:r>
        <w:rPr>
          <w:rFonts w:ascii="Consolas" w:hAnsi="Consolas"/>
          <w:color w:val="334155"/>
          <w:sz w:val="18"/>
        </w:rPr>
        <w:t>│ [COPQ avoided]              │</w:t>
        <w:br/>
      </w:r>
      <w:r>
        <w:rPr>
          <w:rFonts w:ascii="Consolas" w:hAnsi="Consolas"/>
          <w:color w:val="334155"/>
          <w:sz w:val="18"/>
        </w:rPr>
        <w:t>├─────────────────────────────┤</w:t>
        <w:br/>
      </w:r>
      <w:r>
        <w:rPr>
          <w:rFonts w:ascii="Consolas" w:hAnsi="Consolas"/>
          <w:color w:val="334155"/>
          <w:sz w:val="18"/>
        </w:rPr>
        <w:t>│ TILE 3: Velocity Metrics    │</w:t>
        <w:br/>
      </w:r>
      <w:r>
        <w:rPr>
          <w:rFonts w:ascii="Consolas" w:hAnsi="Consolas"/>
          <w:color w:val="334155"/>
          <w:sz w:val="18"/>
        </w:rPr>
        <w:t>│ [MTTD/MTTR]                 │</w:t>
        <w:br/>
      </w:r>
      <w:r>
        <w:rPr>
          <w:rFonts w:ascii="Consolas" w:hAnsi="Consolas"/>
          <w:color w:val="334155"/>
          <w:sz w:val="18"/>
        </w:rPr>
        <w:t>├─────────────────────────────┤</w:t>
        <w:br/>
      </w:r>
      <w:r>
        <w:rPr>
          <w:rFonts w:ascii="Consolas" w:hAnsi="Consolas"/>
          <w:color w:val="334155"/>
          <w:sz w:val="18"/>
        </w:rPr>
        <w:t>│ TILE 4: Risk Mitigation     │</w:t>
        <w:br/>
      </w:r>
      <w:r>
        <w:rPr>
          <w:rFonts w:ascii="Consolas" w:hAnsi="Consolas"/>
          <w:color w:val="334155"/>
          <w:sz w:val="18"/>
        </w:rPr>
        <w:t>│ [RPN trend]                 │</w:t>
        <w:br/>
      </w:r>
      <w:r>
        <w:rPr>
          <w:rFonts w:ascii="Consolas" w:hAnsi="Consolas"/>
          <w:color w:val="334155"/>
          <w:sz w:val="18"/>
        </w:rPr>
        <w:t>├─────────────────────────────┤</w:t>
        <w:br/>
      </w:r>
      <w:r>
        <w:rPr>
          <w:rFonts w:ascii="Consolas" w:hAnsi="Consolas"/>
          <w:color w:val="334155"/>
          <w:sz w:val="18"/>
        </w:rPr>
        <w:t>│ TILE 5: Kaizen Activity     │</w:t>
        <w:br/>
      </w:r>
      <w:r>
        <w:rPr>
          <w:rFonts w:ascii="Consolas" w:hAnsi="Consolas"/>
          <w:color w:val="334155"/>
          <w:sz w:val="18"/>
        </w:rPr>
        <w:t>│ [Open/closed]               │</w:t>
        <w:br/>
      </w:r>
      <w:r>
        <w:rPr>
          <w:rFonts w:ascii="Consolas" w:hAnsi="Consolas"/>
          <w:color w:val="334155"/>
          <w:sz w:val="18"/>
        </w:rPr>
        <w:t>├─────────────────────────────┤</w:t>
        <w:br/>
      </w:r>
      <w:r>
        <w:rPr>
          <w:rFonts w:ascii="Consolas" w:hAnsi="Consolas"/>
          <w:color w:val="334155"/>
          <w:sz w:val="18"/>
        </w:rPr>
        <w:t>│ TILE 6: Maturity Score      │</w:t>
        <w:br/>
      </w:r>
      <w:r>
        <w:rPr>
          <w:rFonts w:ascii="Consolas" w:hAnsi="Consolas"/>
          <w:color w:val="334155"/>
          <w:sz w:val="18"/>
        </w:rPr>
        <w:t>│ [Level 4]                   │</w:t>
        <w:br/>
      </w:r>
      <w:r>
        <w:rPr>
          <w:rFonts w:ascii="Consolas" w:hAnsi="Consolas"/>
          <w:color w:val="334155"/>
          <w:sz w:val="18"/>
        </w:rPr>
        <w:t>├─────────────────────────────┤</w:t>
        <w:br/>
      </w:r>
      <w:r>
        <w:rPr>
          <w:rFonts w:ascii="Consolas" w:hAnsi="Consolas"/>
          <w:color w:val="334155"/>
          <w:sz w:val="18"/>
        </w:rPr>
        <w:t>│ TILE 7: Cross-Site Status   │</w:t>
        <w:br/>
      </w:r>
      <w:r>
        <w:rPr>
          <w:rFonts w:ascii="Consolas" w:hAnsi="Consolas"/>
          <w:color w:val="334155"/>
          <w:sz w:val="18"/>
        </w:rPr>
        <w:t>│ [Site 1 G5; Site 2 M4-6]    │</w:t>
        <w:br/>
      </w:r>
      <w:r>
        <w:rPr>
          <w:rFonts w:ascii="Consolas" w:hAnsi="Consolas"/>
          <w:color w:val="334155"/>
          <w:sz w:val="18"/>
        </w:rPr>
        <w:t>├─────────────────────────────┤</w:t>
        <w:br/>
      </w:r>
      <w:r>
        <w:rPr>
          <w:rFonts w:ascii="Consolas" w:hAnsi="Consolas"/>
          <w:color w:val="334155"/>
          <w:sz w:val="18"/>
        </w:rPr>
        <w:t>│ TILE 8: Regulatory          │</w:t>
        <w:br/>
      </w:r>
      <w:r>
        <w:rPr>
          <w:rFonts w:ascii="Consolas" w:hAnsi="Consolas"/>
          <w:color w:val="334155"/>
          <w:sz w:val="18"/>
        </w:rPr>
        <w:t>│ [All compliant]             │</w:t>
        <w:br/>
      </w:r>
      <w:r>
        <w:rPr>
          <w:rFonts w:ascii="Consolas" w:hAnsi="Consolas"/>
          <w:color w:val="334155"/>
          <w:sz w:val="18"/>
        </w:rPr>
        <w:t>└─────────────────────────────┘</w:t>
      </w:r>
    </w:p>
    <w:p>
      <w:pPr>
        <w:pBdr>
          <w:bottom w:val="single" w:sz="6" w:space="1" w:color="CBD5E1"/>
        </w:pBdr>
      </w:pPr>
    </w:p>
    <w:p>
      <w:r>
        <w:rPr>
          <w:rFonts w:ascii="Calibri" w:hAnsi="Calibri"/>
          <w:b/>
          <w:color w:val="0F172A"/>
          <w:sz w:val="28"/>
        </w:rPr>
        <w:t>B.6 Sample Drill-Down: Tile 1 → Sub-Process Capability</w:t>
      </w:r>
    </w:p>
    <w:p>
      <w:r>
        <w:rPr>
          <w:rFonts w:ascii="Calibri" w:hAnsi="Calibri"/>
          <w:sz w:val="22"/>
        </w:rPr>
        <w:t>Clicking on "Detection (novel)" in Tile 1 opens the drill-down view:</w:t>
      </w:r>
    </w:p>
    <w:p>
      <w:pPr>
        <w:shd w:val="clear" w:color="auto" w:fill="F1F5F9"/>
        <w:pBdr>
          <w:top w:val="single" w:sz="4" w:space="4" w:color="E2E8F0"/>
          <w:left w:val="single" w:sz="4" w:space="4" w:color="E2E8F0"/>
          <w:bottom w:val="single" w:sz="4" w:space="4" w:color="E2E8F0"/>
          <w:right w:val="single" w:sz="4" w:space="4" w:color="E2E8F0"/>
        </w:pBdr>
      </w:pPr>
      <w:r>
        <w:rPr>
          <w:rFonts w:ascii="Consolas" w:hAnsi="Consolas"/>
          <w:color w:val="334155"/>
          <w:sz w:val="18"/>
        </w:rPr>
        <w:t>┌──────────────────────────────────────────────────────────────────┐</w:t>
        <w:br/>
      </w:r>
      <w:r>
        <w:rPr>
          <w:rFonts w:ascii="Consolas" w:hAnsi="Consolas"/>
          <w:color w:val="334155"/>
          <w:sz w:val="18"/>
        </w:rPr>
        <w:t>│ DRILL-DOWN: Detection (Novel OT Anomalies) — Tile 1              │</w:t>
        <w:br/>
      </w:r>
      <w:r>
        <w:rPr>
          <w:rFonts w:ascii="Consolas" w:hAnsi="Consolas"/>
          <w:color w:val="334155"/>
          <w:sz w:val="18"/>
        </w:rPr>
        <w:t>│ Refresh: Daily | Last refresh: 2026-09-02 09:00 UTC             │</w:t>
        <w:br/>
      </w:r>
      <w:r>
        <w:rPr>
          <w:rFonts w:ascii="Consolas" w:hAnsi="Consolas"/>
          <w:color w:val="334155"/>
          <w:sz w:val="18"/>
        </w:rPr>
        <w:t>├──────────────────────────────────────────────────────────────────┤</w:t>
        <w:br/>
      </w:r>
      <w:r>
        <w:rPr>
          <w:rFonts w:ascii="Consolas" w:hAnsi="Consolas"/>
          <w:color w:val="334155"/>
          <w:sz w:val="18"/>
        </w:rPr>
        <w:t>│                                                                   │</w:t>
        <w:br/>
      </w:r>
      <w:r>
        <w:rPr>
          <w:rFonts w:ascii="Consolas" w:hAnsi="Consolas"/>
          <w:color w:val="334155"/>
          <w:sz w:val="18"/>
        </w:rPr>
        <w:t>│  Cpk = 1.7  Z = 4.0  [AMBER — below Z=6.0 Six Sigma target]    │</w:t>
        <w:br/>
      </w:r>
      <w:r>
        <w:rPr>
          <w:rFonts w:ascii="Consolas" w:hAnsi="Consolas"/>
          <w:color w:val="334155"/>
          <w:sz w:val="18"/>
        </w:rPr>
        <w:t>│                                                                   │</w:t>
        <w:br/>
      </w:r>
      <w:r>
        <w:rPr>
          <w:rFonts w:ascii="Consolas" w:hAnsi="Consolas"/>
          <w:color w:val="334155"/>
          <w:sz w:val="18"/>
        </w:rPr>
        <w:t>│  MTTD distribution (anonymised, last 30 days):                     │</w:t>
        <w:br/>
      </w:r>
      <w:r>
        <w:rPr>
          <w:rFonts w:ascii="Consolas" w:hAnsi="Consolas"/>
          <w:color w:val="334155"/>
          <w:sz w:val="18"/>
        </w:rPr>
        <w:t>│                                                                   │</w:t>
        <w:br/>
      </w:r>
      <w:r>
        <w:rPr>
          <w:rFonts w:ascii="Consolas" w:hAnsi="Consolas"/>
          <w:color w:val="334155"/>
          <w:sz w:val="18"/>
        </w:rPr>
        <w:t>│  Count                                                                │</w:t>
        <w:br/>
      </w:r>
      <w:r>
        <w:rPr>
          <w:rFonts w:ascii="Consolas" w:hAnsi="Consolas"/>
          <w:color w:val="334155"/>
          <w:sz w:val="18"/>
        </w:rPr>
        <w:t>│  50 ┤                                                                │</w:t>
        <w:br/>
      </w:r>
      <w:r>
        <w:rPr>
          <w:rFonts w:ascii="Consolas" w:hAnsi="Consolas"/>
          <w:color w:val="334155"/>
          <w:sz w:val="18"/>
        </w:rPr>
        <w:t>│  40 ┤  █                                                           │</w:t>
        <w:br/>
      </w:r>
      <w:r>
        <w:rPr>
          <w:rFonts w:ascii="Consolas" w:hAnsi="Consolas"/>
          <w:color w:val="334155"/>
          <w:sz w:val="18"/>
        </w:rPr>
        <w:t>│  30 ┤  █ █                                                         │</w:t>
        <w:br/>
      </w:r>
      <w:r>
        <w:rPr>
          <w:rFonts w:ascii="Consolas" w:hAnsi="Consolas"/>
          <w:color w:val="334155"/>
          <w:sz w:val="18"/>
        </w:rPr>
        <w:t>│  20 ┤  █ █ █                                                       │</w:t>
        <w:br/>
      </w:r>
      <w:r>
        <w:rPr>
          <w:rFonts w:ascii="Consolas" w:hAnsi="Consolas"/>
          <w:color w:val="334155"/>
          <w:sz w:val="18"/>
        </w:rPr>
        <w:t>│  10 ┤  █ █ █ █ █                                                   │</w:t>
        <w:br/>
      </w:r>
      <w:r>
        <w:rPr>
          <w:rFonts w:ascii="Consolas" w:hAnsi="Consolas"/>
          <w:color w:val="334155"/>
          <w:sz w:val="18"/>
        </w:rPr>
        <w:t>│   0 ┤──┈─█─█─█─█─█─█─█─█─█─█─█─█─█─█─█─█─█─█─█─█─█─█─█─█─█─█─█─█──│</w:t>
        <w:br/>
      </w:r>
      <w:r>
        <w:rPr>
          <w:rFonts w:ascii="Consolas" w:hAnsi="Consolas"/>
          <w:color w:val="334155"/>
          <w:sz w:val="18"/>
        </w:rPr>
        <w:t>│      0  5  10 15 20 25 30 35 40 45 50 55 60+  (min)                │</w:t>
        <w:br/>
      </w:r>
      <w:r>
        <w:rPr>
          <w:rFonts w:ascii="Consolas" w:hAnsi="Consolas"/>
          <w:color w:val="334155"/>
          <w:sz w:val="18"/>
        </w:rPr>
        <w:t>│                                                                   │</w:t>
        <w:br/>
      </w:r>
      <w:r>
        <w:rPr>
          <w:rFonts w:ascii="Consolas" w:hAnsi="Consolas"/>
          <w:color w:val="334155"/>
          <w:sz w:val="18"/>
        </w:rPr>
        <w:t>│  Mean: 28 min  |  Median: 26 min  |  P95: 47 min                  │</w:t>
        <w:br/>
      </w:r>
      <w:r>
        <w:rPr>
          <w:rFonts w:ascii="Consolas" w:hAnsi="Consolas"/>
          <w:color w:val="334155"/>
          <w:sz w:val="18"/>
        </w:rPr>
        <w:t>│  Target P95: ≤ 30 min  [GREEN]                                    │</w:t>
        <w:br/>
      </w:r>
      <w:r>
        <w:rPr>
          <w:rFonts w:ascii="Consolas" w:hAnsi="Consolas"/>
          <w:color w:val="334155"/>
          <w:sz w:val="18"/>
        </w:rPr>
        <w:t>│                                                                   │</w:t>
        <w:br/>
      </w:r>
      <w:r>
        <w:rPr>
          <w:rFonts w:ascii="Consolas" w:hAnsi="Consolas"/>
          <w:color w:val="334155"/>
          <w:sz w:val="18"/>
        </w:rPr>
        <w:t>│  AI agent contribution:                                            │</w:t>
        <w:br/>
      </w:r>
      <w:r>
        <w:rPr>
          <w:rFonts w:ascii="Consolas" w:hAnsi="Consolas"/>
          <w:color w:val="334155"/>
          <w:sz w:val="18"/>
        </w:rPr>
        <w:t>│  OT Anomaly Detection Agent: 78% of detections                     │</w:t>
        <w:br/>
      </w:r>
      <w:r>
        <w:rPr>
          <w:rFonts w:ascii="Consolas" w:hAnsi="Consolas"/>
          <w:color w:val="334155"/>
          <w:sz w:val="18"/>
        </w:rPr>
        <w:t>│  Human analyst: 22% of detections                                  │</w:t>
        <w:br/>
      </w:r>
      <w:r>
        <w:rPr>
          <w:rFonts w:ascii="Consolas" w:hAnsi="Consolas"/>
          <w:color w:val="334155"/>
          <w:sz w:val="18"/>
        </w:rPr>
        <w:t>│                                                                   │</w:t>
        <w:br/>
      </w:r>
      <w:r>
        <w:rPr>
          <w:rFonts w:ascii="Consolas" w:hAnsi="Consolas"/>
          <w:color w:val="334155"/>
          <w:sz w:val="18"/>
        </w:rPr>
        <w:t>│  Recent MTTD breaches:                                              │</w:t>
        <w:br/>
      </w:r>
      <w:r>
        <w:rPr>
          <w:rFonts w:ascii="Consolas" w:hAnsi="Consolas"/>
          <w:color w:val="334155"/>
          <w:sz w:val="18"/>
        </w:rPr>
        <w:t>│  2026-08-29  Novel anomaly in coating (MTTD 38 min) [investigated]│</w:t>
        <w:br/>
      </w:r>
      <w:r>
        <w:rPr>
          <w:rFonts w:ascii="Consolas" w:hAnsi="Consolas"/>
          <w:color w:val="334155"/>
          <w:sz w:val="18"/>
        </w:rPr>
        <w:t>│  2026-08-22  Novel anomaly in formation (MTTD 41 min) [Kaizen #7] │</w:t>
        <w:br/>
      </w:r>
      <w:r>
        <w:rPr>
          <w:rFonts w:ascii="Consolas" w:hAnsi="Consolas"/>
          <w:color w:val="334155"/>
          <w:sz w:val="18"/>
        </w:rPr>
        <w:t>│                                                                   │</w:t>
        <w:br/>
      </w:r>
      <w:r>
        <w:rPr>
          <w:rFonts w:ascii="Consolas" w:hAnsi="Consolas"/>
          <w:color w:val="334155"/>
          <w:sz w:val="18"/>
        </w:rPr>
        <w:t>│  Source: Anonymised data lake, query ID = query_a3f7b2             │</w:t>
        <w:br/>
      </w:r>
      <w:r>
        <w:rPr>
          <w:rFonts w:ascii="Consolas" w:hAnsi="Consolas"/>
          <w:color w:val="334155"/>
          <w:sz w:val="18"/>
        </w:rPr>
        <w:t>│  Access log: CISO team reviewed 2026-09-01                         │</w:t>
        <w:br/>
      </w:r>
      <w:r>
        <w:rPr>
          <w:rFonts w:ascii="Consolas" w:hAnsi="Consolas"/>
          <w:color w:val="334155"/>
          <w:sz w:val="18"/>
        </w:rPr>
        <w:t>└──────────────────────────────────────────────────────────────────┘</w:t>
      </w:r>
    </w:p>
    <w:p>
      <w:r>
        <w:rPr>
          <w:rFonts w:ascii="Calibri" w:hAnsi="Calibri"/>
          <w:sz w:val="22"/>
        </w:rPr>
        <w:t>The drill-down is fully anonymised per the data-access protocol (§3.5). Source data is accessible only via the CISO's anonymised data lake; the query ID is logged for audit.</w:t>
      </w:r>
    </w:p>
    <w:p>
      <w:pPr>
        <w:pBdr>
          <w:bottom w:val="single" w:sz="6" w:space="1" w:color="CBD5E1"/>
        </w:pBdr>
      </w:pPr>
    </w:p>
    <w:p>
      <w:r>
        <w:rPr>
          <w:rFonts w:ascii="Calibri" w:hAnsi="Calibri"/>
          <w:b/>
          <w:color w:val="0F172A"/>
          <w:sz w:val="28"/>
        </w:rPr>
        <w:t>B.7 What Appendix B Does Not Cover</w:t>
      </w:r>
    </w:p>
    <w:p>
      <w:r>
        <w:rPr>
          <w:rFonts w:ascii="Calibri" w:hAnsi="Calibri"/>
          <w:sz w:val="22"/>
        </w:rPr>
        <w:t xml:space="preserve">Appendix B is the static reference for the Executive Dashboard. The interactive HTML mockup is provided as a </w:t>
      </w:r>
      <w:r>
        <w:rPr>
          <w:rFonts w:ascii="Calibri" w:hAnsi="Calibri"/>
          <w:b/>
          <w:sz w:val="22"/>
        </w:rPr>
        <w:t>separate deliverable</w:t>
      </w:r>
      <w:r>
        <w:rPr>
          <w:rFonts w:ascii="Calibri" w:hAnsi="Calibri"/>
          <w:sz w:val="22"/>
        </w:rPr>
        <w:t xml:space="preserve"> (see </w:t>
      </w:r>
      <w:r>
        <w:rPr>
          <w:rFonts w:ascii="Consolas" w:hAnsi="Consolas"/>
          <w:color w:val="334155"/>
          <w:sz w:val="20"/>
        </w:rPr>
        <w:t>deliverables/</w:t>
      </w:r>
      <w:r>
        <w:rPr>
          <w:rFonts w:ascii="Calibri" w:hAnsi="Calibri"/>
          <w:sz w:val="22"/>
        </w:rPr>
        <w:t xml:space="preserve"> folder) for the CISO meeting presentation. The final compiled charter includes both this static mockup and a link/reference to the interactive HTML version.</w:t>
      </w:r>
    </w:p>
    <w:sectPr w:rsidR="00FC693F" w:rsidRPr="0006063C" w:rsidSect="00034616">
      <w:headerReference w:type="default" r:id="rId9"/>
      <w:foot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748B"/>
        <w:sz w:val="18"/>
      </w:rPr>
      <w:t xml:space="preserve">Cyber Resilience Project Charter  |  Page </w:t>
    </w:r>
    <w:r>
      <w:rPr>
        <w:rFonts w:ascii="Calibri" w:hAnsi="Calibri"/>
        <w:color w:val="64748B"/>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olor w:val="64748B"/>
        <w:sz w:val="18"/>
      </w:rPr>
      <w:t>Cyber Resilience Project Charter — Global EV Cell Manufacturing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