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BRAND MANAGER BOOTCAMP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8425A"/>
                <w:sz w:val="22"/>
                <w:szCs w:val="22"/>
              </w:rPr>
              <w:t xml:space="preserve">Manager's guide to supporting your team member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Brand management is one of the most technically broad jobs in a start-up. It spans positioning, channel strategy, customer lifecycle, performance marketing, and creative direction. Most people step into it without any structured training, which means gaps in skills show up later — and cost more to fix.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Brand Manager Bootcamp (BMBC) is a 12-week structured training programme for startup marketers stepping into, or growing within, a brand management role. It runs from 3rd September 2026, with a cohort of 20 people.</w:t>
      </w:r>
    </w:p>
    <w:p>
      <w:pPr>
        <w:spacing w:after="24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YOUR TEAM MEMBER WILL LEARN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programme covers 8 core lectures and 4 expert-led clinic sessions:</w:t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57"/>
        <w:gridCol w:w="4757"/>
      </w:tblGrid>
      <w:tr>
        <w:tc>
          <w:tcPr>
            <w:tcW w:type="dxa" w:w="4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8 Core Lectures (Thursday evenings)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What brand management actually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Positioning and messaging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Customer lifecycle and retention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Paid marketing fundamentals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Organic and content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Data, attribution, and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Brand leadership and stakeholder management</w:t>
            </w:r>
          </w:p>
        </w:tc>
        <w:tc>
          <w:tcPr>
            <w:tcW w:type="dxa" w:w="4757"/>
            <w:tcBorders>
              <w:top w:val="none" w:color="FFFFFF" w:sz="0"/>
              <w:left w:val="single" w:color="E8425A" w:sz="4"/>
              <w:bottom w:val="none" w:color="FFFFFF" w:sz="0"/>
              <w:right w:val="none" w:color="FFFFFF" w:sz="0"/>
            </w:tcBorders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4 Deep-Dive Clinics (Brand Hackers)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18"/>
                <w:szCs w:val="18"/>
              </w:rPr>
              <w:t xml:space="preserve">CRM: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think about your customer lifecycle and retention strategy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18"/>
                <w:szCs w:val="18"/>
              </w:rPr>
              <w:t xml:space="preserve">Paid social: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Building and scaling paid social channels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18"/>
                <w:szCs w:val="18"/>
              </w:rPr>
              <w:t xml:space="preserve">Organic social: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Growing owned audiences without relying on ad spend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18"/>
                <w:szCs w:val="18"/>
              </w:rPr>
              <w:t xml:space="preserve">Paid ads: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Performance marketing strategy across search and social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DELIVERS IT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57"/>
        <w:gridCol w:w="4757"/>
      </w:tblGrid>
      <w:tr>
        <w:tc>
          <w:tcPr>
            <w:tcW w:type="dxa" w:w="4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2"/>
                <w:szCs w:val="22"/>
              </w:rPr>
              <w:t xml:space="preserve">Charlotte "Lottie" Power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8425A"/>
                <w:sz w:val="18"/>
                <w:szCs w:val="18"/>
              </w:rPr>
              <w:t xml:space="preserve">Founder, Up Club &amp; Up World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Lottie has led brand and marketing at consumer start-ups including Heights and Pasta Evangelists. She trained in P&amp;G's brand management programme — one of the industry's most rigorous — and has spent the last four years building Up Club, a 1,000+ member community for startup marketers.</w:t>
            </w:r>
          </w:p>
        </w:tc>
        <w:tc>
          <w:tcPr>
            <w:tcW w:type="dxa" w:w="4757"/>
            <w:tcBorders>
              <w:top w:val="none" w:color="FFFFFF" w:sz="0"/>
              <w:left w:val="single" w:color="E8425A" w:sz="4"/>
              <w:bottom w:val="none" w:color="FFFFFF" w:sz="0"/>
              <w:right w:val="none" w:color="FFFFFF" w:sz="0"/>
            </w:tcBorders>
            <w:tcMar>
              <w:top w:type="dxa" w:w="0"/>
              <w:left w:type="dxa" w:w="28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2"/>
                <w:szCs w:val="22"/>
              </w:rPr>
              <w:t xml:space="preserve">Brand Hackers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E8425A"/>
                <w:sz w:val="18"/>
                <w:szCs w:val="18"/>
              </w:rPr>
              <w:t xml:space="preserve">Expert partners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Brand Hackers bring senior practitioner expertise to the four clinic sessions. Each clinic is led by someone who has done the work at scale. They are not consultants talking theory — they are practitioners who have built the channels your team member will be responsible for.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INVESTMENT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57"/>
        <w:gridCol w:w="4657"/>
      </w:tblGrid>
      <w:tr>
        <w:tc>
          <w:tcPr>
            <w:tcW w:type="dxa" w:w="4657"/>
            <w:tcBorders>
              <w:top w:val="single" w:color="E8425A" w:sz="4"/>
              <w:left w:val="single" w:color="E8425A" w:sz="4"/>
              <w:bottom w:val="single" w:color="E8425A" w:sz="4"/>
              <w:right w:val="single" w:color="E8425A" w:sz="4"/>
            </w:tcBorders>
            <w:shd w:fill="FFF0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2"/>
                <w:szCs w:val="22"/>
              </w:rPr>
              <w:t xml:space="preserve">Early bird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425A"/>
                <w:sz w:val="40"/>
                <w:szCs w:val="40"/>
              </w:rPr>
              <w:t xml:space="preserve">£899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Closes [DATE]</w:t>
            </w:r>
          </w:p>
        </w:tc>
        <w:tc>
          <w:tcPr>
            <w:tcW w:type="dxa" w:w="465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2"/>
                <w:szCs w:val="22"/>
              </w:rPr>
              <w:t xml:space="preserve">Full price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40"/>
                <w:szCs w:val="40"/>
              </w:rPr>
              <w:t xml:space="preserve">£999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From [DATE]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programme runs over 12 weeks — 8 Thursday evening lectures plus 4 clinics. Designed to fit around full-time work. That's less than the cost of one day of external consultant time for 12 weeks of structured, senior-level training.</w:t>
      </w:r>
    </w:p>
    <w:p>
      <w:pPr>
        <w:spacing w:after="24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OTHER MANAGERS SAY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77"/>
        <w:gridCol w:w="4737"/>
      </w:tblGrid>
      <w:tr>
        <w:tc>
          <w:tcPr>
            <w:tcW w:type="dxa" w:w="4577"/>
            <w:tcBorders>
              <w:top w:val="none" w:color="FFFFFF" w:sz="0"/>
              <w:left w:val="single" w:color="E8425A" w:sz="12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“I was really impressed by the structure and depth of the programme. It gave [name] a language for brand strategy that's already changed how we brief creatives and talk about positioning in team meetings.”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18"/>
                <w:szCs w:val="18"/>
              </w:rPr>
              <w:t xml:space="preserve">Malini, Head of Marketing, Heights</w:t>
            </w:r>
          </w:p>
        </w:tc>
        <w:tc>
          <w:tcPr>
            <w:tcW w:type="dxa" w:w="4737"/>
            <w:tcBorders>
              <w:top w:val="none" w:color="FFFFFF" w:sz="0"/>
              <w:left w:val="single" w:color="E8425A" w:sz="12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“I had reservations about the time commitment — [name] was already stretched. But the weekly format was much more manageable than I expected, and the skills came back into the business almost immediately.”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18"/>
                <w:szCs w:val="18"/>
              </w:rPr>
              <w:t xml:space="preserve">Ellie, Marketing Director, Refer a Friend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FAQs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How much time will it take?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One Thursday evening per fortnight for lectures (around 2 hours each), plus 4 clinic sessions across the programme. Total: approximately 2–3 hours per fortnight.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Will it affect their day job?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Sessions are in the evening and outside of core hours. Most participants find the structured learning reinforces what they’re already working on.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How is it different from a Udemy or Coursera course?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It’s cohort-based, practical, and led by people who have done the work at consumer start-ups. Live sessions with direct access to the trainer and a peer group of 20 marketers at similar stages. Not pre-recorded modules.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What if they need to miss a session?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Sessions are recorded. Missing one won’t put them behind.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Is there any assessment?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 formal assessment. Participants are encouraged to bring real work to sessions and clinics.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F3C"/>
          <w:sz w:val="20"/>
          <w:szCs w:val="20"/>
        </w:rPr>
        <w:t xml:space="preserve">What’s the refund policy?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Full refund up to 14 days before the start date (3rd September 2026).</w:t>
      </w:r>
    </w:p>
    <w:p>
      <w:pPr>
        <w:spacing w:after="240" w:before="0"/>
      </w:pPr>
      <w:r>
        <w:t xml:space="preserve"/>
      </w:r>
    </w:p>
    <w:tbl>
      <w:tblPr>
        <w:tblW w:type="dxa" w:w="93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14"/>
      </w:tblGrid>
      <w:tr>
        <w:tc>
          <w:tcPr>
            <w:tcW w:type="dxa" w:w="9314"/>
            <w:tcBorders>
              <w:top w:val="single" w:color="1A1F3C" w:sz="4"/>
              <w:left w:val="single" w:color="1A1F3C" w:sz="4"/>
              <w:bottom w:val="single" w:color="1A1F3C" w:sz="4"/>
              <w:right w:val="single" w:color="1A1F3C" w:sz="4"/>
            </w:tcBorders>
            <w:shd w:fill="F0F1F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6"/>
                <w:szCs w:val="26"/>
              </w:rPr>
              <w:t xml:space="preserve">Ready to confirm their place?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Website: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up-world.co/brand-manager-bootcamp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Contact: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olivia@up-world.co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425A"/>
                <w:sz w:val="20"/>
                <w:szCs w:val="20"/>
              </w:rPr>
              <w:t xml:space="preserve">Early bird closes [DATE]. Cohort limited to 20 people.</w:t>
            </w:r>
          </w:p>
        </w:tc>
      </w:tr>
    </w:tbl>
    <w:sectPr>
      <w:footerReference w:type="default" r:id="rId7"/>
      <w:pgSz w:w="11906" w:h="16838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14"/>
      <w:tblBorders>
        <w:top w:val="single" w:color="E8425A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588"/>
      <w:gridCol w:w="3725"/>
    </w:tblGrid>
    <w:tr>
      <w:tc>
        <w:tcPr>
          <w:tcW w:type="dxa" w:w="55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F3C"/>
              <w:sz w:val="16"/>
              <w:szCs w:val="16"/>
            </w:rPr>
            <w:t xml:space="preserve">Up World | up-world.co</w:t>
          </w:r>
        </w:p>
      </w:tc>
      <w:tc>
        <w:tcPr>
          <w:tcW w:type="dxa" w:w="372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44444"/>
              <w:sz w:val="16"/>
              <w:szCs w:val="16"/>
            </w:rPr>
            <w:t xml:space="preserve">olivia@up-world.co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E8425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1A1F3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2026-06-24T07:19:36.574Z</dcterms:created>
  <dcterms:modified xsi:type="dcterms:W3CDTF">2026-06-24T07:19:36.574Z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