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FA04D" w14:textId="77777777" w:rsidR="00B0066D" w:rsidRPr="003B68AC" w:rsidRDefault="00A55A6D" w:rsidP="00E719BE">
      <w:pPr>
        <w:jc w:val="center"/>
        <w:rPr>
          <w:b/>
          <w:sz w:val="28"/>
          <w:szCs w:val="28"/>
        </w:rPr>
      </w:pPr>
      <w:r w:rsidRPr="003B68AC">
        <w:rPr>
          <w:b/>
          <w:sz w:val="28"/>
          <w:szCs w:val="28"/>
        </w:rPr>
        <w:t>CISC 250</w:t>
      </w:r>
    </w:p>
    <w:p w14:paraId="4DB57AE5" w14:textId="77777777" w:rsidR="00A55A6D" w:rsidRPr="00E719BE" w:rsidRDefault="00A55A6D" w:rsidP="00E719BE">
      <w:pPr>
        <w:jc w:val="center"/>
        <w:rPr>
          <w:b/>
          <w:sz w:val="28"/>
          <w:szCs w:val="28"/>
        </w:rPr>
      </w:pPr>
      <w:r w:rsidRPr="00E719BE">
        <w:rPr>
          <w:b/>
          <w:sz w:val="28"/>
          <w:szCs w:val="28"/>
        </w:rPr>
        <w:t xml:space="preserve">Assignment </w:t>
      </w:r>
      <w:r w:rsidR="00277F66">
        <w:rPr>
          <w:b/>
          <w:sz w:val="28"/>
          <w:szCs w:val="28"/>
        </w:rPr>
        <w:t>4</w:t>
      </w:r>
    </w:p>
    <w:p w14:paraId="463883A0" w14:textId="77777777" w:rsidR="0037480A" w:rsidRDefault="0037480A"/>
    <w:p w14:paraId="011E6234" w14:textId="77777777" w:rsidR="003B68AC" w:rsidRDefault="003B68AC"/>
    <w:p w14:paraId="05AA068A" w14:textId="77777777" w:rsidR="00A55A6D" w:rsidRPr="00AA0F96" w:rsidRDefault="00733B55" w:rsidP="00692A8A">
      <w:pPr>
        <w:numPr>
          <w:ilvl w:val="0"/>
          <w:numId w:val="1"/>
        </w:numPr>
        <w:tabs>
          <w:tab w:val="num" w:pos="1080"/>
        </w:tabs>
        <w:rPr>
          <w:b/>
          <w:color w:val="000000" w:themeColor="text1"/>
        </w:rPr>
      </w:pPr>
      <w:proofErr w:type="gramStart"/>
      <w:r w:rsidRPr="00AA0F96">
        <w:rPr>
          <w:b/>
          <w:color w:val="000000" w:themeColor="text1"/>
        </w:rPr>
        <w:t>Compare and contrast</w:t>
      </w:r>
      <w:proofErr w:type="gramEnd"/>
      <w:r w:rsidRPr="00AA0F96">
        <w:rPr>
          <w:b/>
          <w:color w:val="000000" w:themeColor="text1"/>
        </w:rPr>
        <w:t xml:space="preserve"> symmetric (private key) and asymmetric (public key) encryption</w:t>
      </w:r>
      <w:r w:rsidR="00D61C40" w:rsidRPr="00AA0F96">
        <w:rPr>
          <w:b/>
          <w:color w:val="000000" w:themeColor="text1"/>
        </w:rPr>
        <w:t>.</w:t>
      </w:r>
    </w:p>
    <w:p w14:paraId="66C97E99" w14:textId="63614C76" w:rsidR="00C4743B" w:rsidRDefault="00F97E45" w:rsidP="0078030E">
      <w:pPr>
        <w:ind w:left="360"/>
        <w:jc w:val="both"/>
      </w:pPr>
      <w:r>
        <w:t xml:space="preserve">    </w:t>
      </w:r>
      <w:r w:rsidR="0078030E" w:rsidRPr="00F97E45">
        <w:rPr>
          <w:b/>
        </w:rPr>
        <w:t>Asymmetric encryption</w:t>
      </w:r>
      <w:r w:rsidR="0078030E">
        <w:t xml:space="preserve"> utilizes a pair of keys- a public key and a private key.</w:t>
      </w:r>
      <w:r w:rsidR="009F461E">
        <w:t xml:space="preserve"> If you encrypt data with the public key, only the holder of the corresponding private key can decrypt the data,</w:t>
      </w:r>
      <w:r w:rsidR="00796E9E">
        <w:t xml:space="preserve"> hence ensuring confidentiality. An asymmetric encryption algorithms typically involve exponential op</w:t>
      </w:r>
      <w:bookmarkStart w:id="0" w:name="_GoBack"/>
      <w:bookmarkEnd w:id="0"/>
      <w:r w:rsidR="00796E9E">
        <w:t xml:space="preserve">erations, they are not lightweight in terms of performance. </w:t>
      </w:r>
      <w:proofErr w:type="gramStart"/>
      <w:r w:rsidR="00796E9E">
        <w:t>So</w:t>
      </w:r>
      <w:proofErr w:type="gramEnd"/>
      <w:r w:rsidR="00796E9E">
        <w:t xml:space="preserve"> asymmetric algorithms are often used to secure key exchanges rather than used for bulk data encryption.</w:t>
      </w:r>
    </w:p>
    <w:p w14:paraId="5B0AAE32" w14:textId="77777777" w:rsidR="00796E9E" w:rsidRDefault="00796E9E" w:rsidP="0078030E">
      <w:pPr>
        <w:ind w:left="360"/>
        <w:jc w:val="both"/>
      </w:pPr>
    </w:p>
    <w:p w14:paraId="43C9A35C" w14:textId="12D82CEA" w:rsidR="00796E9E" w:rsidRDefault="00F97E45" w:rsidP="0078030E">
      <w:pPr>
        <w:ind w:left="360"/>
        <w:jc w:val="both"/>
      </w:pPr>
      <w:r>
        <w:t xml:space="preserve">    </w:t>
      </w:r>
      <w:r w:rsidR="00796E9E" w:rsidRPr="00F97E45">
        <w:rPr>
          <w:b/>
        </w:rPr>
        <w:t>Symmetric encryption</w:t>
      </w:r>
      <w:r w:rsidR="00796E9E">
        <w:t xml:space="preserve"> means that the encryption and decryption operations utilize the same key. For two communicating parties using symmetric encryption for secure communication, the key represents a shared secret between the two. Symmetric encryption is typically more efficient than asymmetric encryption, and is often used for bulk data encryption.</w:t>
      </w:r>
    </w:p>
    <w:p w14:paraId="298CC92E" w14:textId="77777777" w:rsidR="000A4B6E" w:rsidRDefault="000A4B6E" w:rsidP="00277F66">
      <w:pPr>
        <w:jc w:val="both"/>
      </w:pPr>
    </w:p>
    <w:p w14:paraId="190EAB80" w14:textId="77777777" w:rsidR="00AE0E24" w:rsidRDefault="00AE0E24" w:rsidP="00277F66">
      <w:pPr>
        <w:jc w:val="both"/>
      </w:pPr>
    </w:p>
    <w:p w14:paraId="62D61368" w14:textId="77777777" w:rsidR="008B0A5A" w:rsidRPr="00796E9E" w:rsidRDefault="003A72BD" w:rsidP="008B0A5A">
      <w:pPr>
        <w:numPr>
          <w:ilvl w:val="0"/>
          <w:numId w:val="1"/>
        </w:numPr>
        <w:rPr>
          <w:b/>
          <w:color w:val="FF0000"/>
        </w:rPr>
      </w:pPr>
      <w:r>
        <w:rPr>
          <w:b/>
        </w:rPr>
        <w:t>List and b</w:t>
      </w:r>
      <w:r w:rsidRPr="008107DF">
        <w:rPr>
          <w:b/>
        </w:rPr>
        <w:t xml:space="preserve">riefly describe the </w:t>
      </w:r>
      <w:r>
        <w:rPr>
          <w:b/>
        </w:rPr>
        <w:t>4</w:t>
      </w:r>
      <w:r w:rsidRPr="008107DF">
        <w:rPr>
          <w:b/>
        </w:rPr>
        <w:t xml:space="preserve"> </w:t>
      </w:r>
      <w:r>
        <w:rPr>
          <w:b/>
        </w:rPr>
        <w:t>generations of cellular (mobile) networks</w:t>
      </w:r>
      <w:r w:rsidR="008B0A5A" w:rsidRPr="003B68AC">
        <w:rPr>
          <w:b/>
        </w:rPr>
        <w:t>.</w:t>
      </w:r>
      <w:r>
        <w:rPr>
          <w:b/>
        </w:rPr>
        <w:t xml:space="preserve"> For each generation, list the names of the most commonly used standards (e.g., GSM), </w:t>
      </w:r>
      <w:r w:rsidR="003D4080" w:rsidRPr="00D27870">
        <w:rPr>
          <w:b/>
          <w:color w:val="000000" w:themeColor="text1"/>
        </w:rPr>
        <w:t>the data rate supported, etc.</w:t>
      </w:r>
    </w:p>
    <w:p w14:paraId="49B368AD" w14:textId="77777777" w:rsidR="00796E9E" w:rsidRDefault="00796E9E" w:rsidP="00796E9E">
      <w:pPr>
        <w:ind w:left="360"/>
        <w:rPr>
          <w:b/>
        </w:rPr>
      </w:pPr>
      <w:r>
        <w:rPr>
          <w:b/>
        </w:rPr>
        <w:t>1</w:t>
      </w:r>
      <w:r w:rsidRPr="00796E9E">
        <w:rPr>
          <w:b/>
          <w:vertAlign w:val="superscript"/>
        </w:rPr>
        <w:t>st</w:t>
      </w:r>
      <w:r>
        <w:rPr>
          <w:b/>
        </w:rPr>
        <w:t xml:space="preserve"> Generation(1G):</w:t>
      </w:r>
    </w:p>
    <w:p w14:paraId="02C3A445" w14:textId="044561CF" w:rsidR="00796E9E" w:rsidRDefault="00796E9E" w:rsidP="00796E9E">
      <w:pPr>
        <w:ind w:left="360"/>
        <w:rPr>
          <w:b/>
        </w:rPr>
      </w:pPr>
      <w:r>
        <w:rPr>
          <w:b/>
        </w:rPr>
        <w:t>AMPS (advanced mobile phone system): introduced in North America in Oct. 1983, only supports calls</w:t>
      </w:r>
      <w:r w:rsidR="006D1F35">
        <w:rPr>
          <w:b/>
        </w:rPr>
        <w:t xml:space="preserve"> //still didn’t find the data rate supported for this one</w:t>
      </w:r>
    </w:p>
    <w:p w14:paraId="35F9C4CF" w14:textId="77777777" w:rsidR="00F97E45" w:rsidRDefault="00F97E45" w:rsidP="00796E9E">
      <w:pPr>
        <w:ind w:left="360"/>
        <w:rPr>
          <w:b/>
        </w:rPr>
      </w:pPr>
    </w:p>
    <w:p w14:paraId="2681A25E" w14:textId="0A3FC236" w:rsidR="00796E9E" w:rsidRDefault="00796E9E" w:rsidP="00796E9E">
      <w:pPr>
        <w:ind w:left="360"/>
        <w:rPr>
          <w:b/>
        </w:rPr>
      </w:pPr>
      <w:r>
        <w:rPr>
          <w:b/>
        </w:rPr>
        <w:t>2</w:t>
      </w:r>
      <w:r w:rsidRPr="00796E9E">
        <w:rPr>
          <w:b/>
          <w:vertAlign w:val="superscript"/>
        </w:rPr>
        <w:t>nd</w:t>
      </w:r>
      <w:r>
        <w:rPr>
          <w:b/>
        </w:rPr>
        <w:t xml:space="preserve"> Generation(2G)</w:t>
      </w:r>
      <w:r w:rsidR="00F97E45">
        <w:rPr>
          <w:b/>
        </w:rPr>
        <w:t>:</w:t>
      </w:r>
    </w:p>
    <w:p w14:paraId="563EA593" w14:textId="3BA3A1CC" w:rsidR="00796E9E" w:rsidRDefault="00796E9E" w:rsidP="00796E9E">
      <w:pPr>
        <w:ind w:left="360"/>
        <w:rPr>
          <w:b/>
        </w:rPr>
      </w:pPr>
      <w:r>
        <w:rPr>
          <w:b/>
        </w:rPr>
        <w:t>GSM (Global System for Mobile Communications): introduced in Finland in 1991, supports voice calls a</w:t>
      </w:r>
      <w:r w:rsidR="006D1F35">
        <w:rPr>
          <w:b/>
        </w:rPr>
        <w:t xml:space="preserve">nd data transfer speeds up to 9.6 </w:t>
      </w:r>
      <w:r>
        <w:rPr>
          <w:b/>
        </w:rPr>
        <w:t>kb</w:t>
      </w:r>
      <w:r w:rsidR="003E1381">
        <w:rPr>
          <w:b/>
        </w:rPr>
        <w:t>p</w:t>
      </w:r>
      <w:r>
        <w:rPr>
          <w:b/>
        </w:rPr>
        <w:t>s, and short message ser</w:t>
      </w:r>
      <w:r w:rsidR="003E1381">
        <w:rPr>
          <w:b/>
        </w:rPr>
        <w:t>vice, uses SIM card</w:t>
      </w:r>
    </w:p>
    <w:p w14:paraId="4B0A43BE" w14:textId="77777777" w:rsidR="00F97E45" w:rsidRDefault="00F97E45" w:rsidP="00796E9E">
      <w:pPr>
        <w:ind w:left="360"/>
        <w:rPr>
          <w:b/>
        </w:rPr>
      </w:pPr>
    </w:p>
    <w:p w14:paraId="3C62D670" w14:textId="75B0F71D" w:rsidR="00796E9E" w:rsidRDefault="00796E9E" w:rsidP="00796E9E">
      <w:pPr>
        <w:ind w:left="360"/>
        <w:rPr>
          <w:b/>
        </w:rPr>
      </w:pPr>
      <w:r>
        <w:rPr>
          <w:b/>
        </w:rPr>
        <w:t>IS-95</w:t>
      </w:r>
      <w:r w:rsidR="003E1381">
        <w:rPr>
          <w:b/>
        </w:rPr>
        <w:t xml:space="preserve">(Interim Standard 95): first CDMA based 2G digital cellular standard, and </w:t>
      </w:r>
      <w:proofErr w:type="spellStart"/>
      <w:r w:rsidR="003E1381">
        <w:rPr>
          <w:b/>
        </w:rPr>
        <w:t>cdmaOne</w:t>
      </w:r>
      <w:proofErr w:type="spellEnd"/>
      <w:r w:rsidR="003E1381">
        <w:rPr>
          <w:b/>
        </w:rPr>
        <w:t xml:space="preserve"> is the brands name fo</w:t>
      </w:r>
      <w:r w:rsidR="00AC191B">
        <w:rPr>
          <w:b/>
        </w:rPr>
        <w:t>r IS-95 that was developed by Qualcomm</w:t>
      </w:r>
      <w:r w:rsidR="003E1381">
        <w:rPr>
          <w:b/>
        </w:rPr>
        <w:t>.  IS-95 traffic channels support voice o</w:t>
      </w:r>
      <w:r w:rsidR="006D1F35">
        <w:rPr>
          <w:b/>
        </w:rPr>
        <w:t xml:space="preserve">r data at bit rates of up to 14.4 </w:t>
      </w:r>
      <w:r w:rsidR="003E1381">
        <w:rPr>
          <w:b/>
        </w:rPr>
        <w:t>kbps</w:t>
      </w:r>
    </w:p>
    <w:p w14:paraId="63D5BDB7" w14:textId="77777777" w:rsidR="00F97E45" w:rsidRDefault="00F97E45" w:rsidP="00796E9E">
      <w:pPr>
        <w:ind w:left="360"/>
        <w:rPr>
          <w:b/>
        </w:rPr>
      </w:pPr>
    </w:p>
    <w:p w14:paraId="36C95EF4" w14:textId="19DC12B0" w:rsidR="00796E9E" w:rsidRDefault="00796E9E" w:rsidP="00796E9E">
      <w:pPr>
        <w:ind w:left="360"/>
        <w:rPr>
          <w:b/>
        </w:rPr>
      </w:pPr>
      <w:r>
        <w:rPr>
          <w:b/>
        </w:rPr>
        <w:t>3</w:t>
      </w:r>
      <w:r w:rsidRPr="00796E9E">
        <w:rPr>
          <w:b/>
          <w:vertAlign w:val="superscript"/>
        </w:rPr>
        <w:t>rd</w:t>
      </w:r>
      <w:r>
        <w:rPr>
          <w:b/>
        </w:rPr>
        <w:t xml:space="preserve"> Generation(3G)</w:t>
      </w:r>
      <w:r w:rsidR="00F97E45">
        <w:rPr>
          <w:b/>
        </w:rPr>
        <w:t>:</w:t>
      </w:r>
    </w:p>
    <w:p w14:paraId="664C8F6E" w14:textId="77777777" w:rsidR="00796E9E" w:rsidRDefault="00796E9E" w:rsidP="00796E9E">
      <w:pPr>
        <w:ind w:left="360"/>
        <w:rPr>
          <w:b/>
        </w:rPr>
      </w:pPr>
      <w:r>
        <w:rPr>
          <w:b/>
        </w:rPr>
        <w:t>UMTS</w:t>
      </w:r>
      <w:r w:rsidR="003E1381">
        <w:rPr>
          <w:b/>
        </w:rPr>
        <w:t xml:space="preserve"> (Universal Mobile Telecommunication System) UMTS Terrestrial Radio Access supports several different terrestrial air interfaces. Multiple Access in UTRA can be supported by UTRA-FDD or UTRA-TDD. </w:t>
      </w:r>
      <w:proofErr w:type="gramStart"/>
      <w:r w:rsidR="003E1381">
        <w:rPr>
          <w:b/>
        </w:rPr>
        <w:t>WCDMA(</w:t>
      </w:r>
      <w:proofErr w:type="gramEnd"/>
      <w:r w:rsidR="003E1381">
        <w:rPr>
          <w:b/>
        </w:rPr>
        <w:t>Wideband Code Division Multiple access) is the 3G mobile cellular system that uses the UTRA-FDD mode. It has seamless mobility for voice and packet data applications. It has simultaneous voice and data support, and interworks with existing GSM networks.</w:t>
      </w:r>
    </w:p>
    <w:p w14:paraId="2AC5B16C" w14:textId="77777777" w:rsidR="00F97E45" w:rsidRDefault="00F97E45" w:rsidP="00796E9E">
      <w:pPr>
        <w:ind w:left="360"/>
        <w:rPr>
          <w:b/>
        </w:rPr>
      </w:pPr>
    </w:p>
    <w:p w14:paraId="2227522B" w14:textId="3BCA4D9C" w:rsidR="00796E9E" w:rsidRDefault="00796E9E" w:rsidP="00796E9E">
      <w:pPr>
        <w:ind w:left="360"/>
        <w:rPr>
          <w:b/>
        </w:rPr>
      </w:pPr>
      <w:r>
        <w:rPr>
          <w:b/>
        </w:rPr>
        <w:t>CDMA2000</w:t>
      </w:r>
      <w:r w:rsidR="003E1381">
        <w:rPr>
          <w:b/>
        </w:rPr>
        <w:t>: standardized by 3GPP2. CDMA2000 1Xev-</w:t>
      </w:r>
      <w:proofErr w:type="gramStart"/>
      <w:r w:rsidR="003E1381">
        <w:rPr>
          <w:b/>
        </w:rPr>
        <w:t>DO(</w:t>
      </w:r>
      <w:proofErr w:type="gramEnd"/>
      <w:r w:rsidR="003E1381">
        <w:rPr>
          <w:b/>
        </w:rPr>
        <w:t>Evol</w:t>
      </w:r>
      <w:r w:rsidR="00250743">
        <w:rPr>
          <w:b/>
        </w:rPr>
        <w:t xml:space="preserve">ution-Data Optimized) enables 2.4Mbps </w:t>
      </w:r>
      <w:r w:rsidR="003E1381">
        <w:rPr>
          <w:b/>
        </w:rPr>
        <w:t>data rate.</w:t>
      </w:r>
    </w:p>
    <w:p w14:paraId="7D343AA5" w14:textId="77777777" w:rsidR="00F97E45" w:rsidRDefault="00F97E45" w:rsidP="00796E9E">
      <w:pPr>
        <w:ind w:left="360"/>
        <w:rPr>
          <w:b/>
        </w:rPr>
      </w:pPr>
    </w:p>
    <w:p w14:paraId="598801FA" w14:textId="57BAD7E8" w:rsidR="00796E9E" w:rsidRPr="003B68AC" w:rsidRDefault="00796E9E" w:rsidP="00796E9E">
      <w:pPr>
        <w:ind w:left="360"/>
        <w:rPr>
          <w:b/>
        </w:rPr>
      </w:pPr>
      <w:r>
        <w:rPr>
          <w:b/>
        </w:rPr>
        <w:lastRenderedPageBreak/>
        <w:t>4</w:t>
      </w:r>
      <w:r w:rsidRPr="00796E9E">
        <w:rPr>
          <w:b/>
          <w:vertAlign w:val="superscript"/>
        </w:rPr>
        <w:t>th</w:t>
      </w:r>
      <w:r>
        <w:rPr>
          <w:b/>
        </w:rPr>
        <w:t xml:space="preserve"> Generation(4G)</w:t>
      </w:r>
      <w:r w:rsidR="00F97E45">
        <w:rPr>
          <w:b/>
        </w:rPr>
        <w:t>:</w:t>
      </w:r>
    </w:p>
    <w:p w14:paraId="51C0C32A" w14:textId="5860B72C" w:rsidR="001A7E55" w:rsidRPr="00F97E45" w:rsidRDefault="00796E9E" w:rsidP="00D02BAF">
      <w:pPr>
        <w:ind w:left="360"/>
        <w:rPr>
          <w:b/>
        </w:rPr>
      </w:pPr>
      <w:r w:rsidRPr="00F97E45">
        <w:rPr>
          <w:b/>
        </w:rPr>
        <w:t>LTE-A</w:t>
      </w:r>
      <w:r w:rsidR="003E1381" w:rsidRPr="00F97E45">
        <w:rPr>
          <w:b/>
        </w:rPr>
        <w:t xml:space="preserve"> (LTE-Advanced): considered as a 4G technology based on the ITU-R IMT-Advanced proces</w:t>
      </w:r>
      <w:r w:rsidR="00250743">
        <w:rPr>
          <w:b/>
        </w:rPr>
        <w:t>s. The peak data rate can be 3Gbps downlink and</w:t>
      </w:r>
      <w:r w:rsidR="003E1381" w:rsidRPr="00F97E45">
        <w:rPr>
          <w:b/>
        </w:rPr>
        <w:t xml:space="preserve"> </w:t>
      </w:r>
      <w:r w:rsidR="00250743">
        <w:rPr>
          <w:b/>
        </w:rPr>
        <w:t xml:space="preserve">1.5Gps </w:t>
      </w:r>
      <w:r w:rsidR="003E1381" w:rsidRPr="00F97E45">
        <w:rPr>
          <w:b/>
        </w:rPr>
        <w:t>uplink. LTE-A incorporate higher order MIMO and allows multiple carries to be bonded into a single stream</w:t>
      </w:r>
    </w:p>
    <w:p w14:paraId="6B0BF8F3" w14:textId="77777777" w:rsidR="00D02BAF" w:rsidRDefault="00D02BAF" w:rsidP="00D02BAF">
      <w:pPr>
        <w:ind w:left="360"/>
      </w:pPr>
    </w:p>
    <w:p w14:paraId="455A6230" w14:textId="77777777" w:rsidR="00A51D69" w:rsidRDefault="00A51D69" w:rsidP="007A54AD">
      <w:pPr>
        <w:ind w:left="360"/>
      </w:pPr>
    </w:p>
    <w:p w14:paraId="37759219" w14:textId="77777777" w:rsidR="007A52C4" w:rsidRPr="003B68AC" w:rsidRDefault="00921530" w:rsidP="00692A8A">
      <w:pPr>
        <w:numPr>
          <w:ilvl w:val="0"/>
          <w:numId w:val="1"/>
        </w:numPr>
        <w:rPr>
          <w:b/>
        </w:rPr>
      </w:pPr>
      <w:r>
        <w:rPr>
          <w:b/>
        </w:rPr>
        <w:t>List and b</w:t>
      </w:r>
      <w:r w:rsidRPr="008107DF">
        <w:rPr>
          <w:b/>
        </w:rPr>
        <w:t>riefly describe the 6 sub-systems of structured cabling in commercial buildings</w:t>
      </w:r>
      <w:r w:rsidR="00AC20E4">
        <w:rPr>
          <w:b/>
        </w:rPr>
        <w:t>.</w:t>
      </w:r>
      <w:r w:rsidR="003A65E6">
        <w:rPr>
          <w:b/>
        </w:rPr>
        <w:t xml:space="preserve"> </w:t>
      </w:r>
    </w:p>
    <w:p w14:paraId="34728793" w14:textId="77777777" w:rsidR="003B68AC" w:rsidRDefault="0037453B" w:rsidP="003B68AC">
      <w:pPr>
        <w:ind w:left="360"/>
      </w:pPr>
      <w:r w:rsidRPr="00F97E45">
        <w:rPr>
          <w:b/>
        </w:rPr>
        <w:t>Entrance Facility</w:t>
      </w:r>
      <w:r>
        <w:t>:</w:t>
      </w:r>
      <w:r w:rsidR="00375A34">
        <w:t xml:space="preserve"> provides the point at which outside cabling interfaces with the </w:t>
      </w:r>
      <w:proofErr w:type="spellStart"/>
      <w:r w:rsidR="00375A34">
        <w:t>intrabuilding</w:t>
      </w:r>
      <w:proofErr w:type="spellEnd"/>
      <w:r w:rsidR="00375A34">
        <w:t xml:space="preserve"> backbone cabling. The physical requirements of the network interface are defined in the EIA/TIA-569 standard</w:t>
      </w:r>
    </w:p>
    <w:p w14:paraId="4A0017C2" w14:textId="77777777" w:rsidR="00F97E45" w:rsidRDefault="00F97E45" w:rsidP="003B68AC">
      <w:pPr>
        <w:ind w:left="360"/>
      </w:pPr>
    </w:p>
    <w:p w14:paraId="28C7D89D" w14:textId="77777777" w:rsidR="0037453B" w:rsidRDefault="0037453B" w:rsidP="003B68AC">
      <w:pPr>
        <w:ind w:left="360"/>
      </w:pPr>
      <w:r w:rsidRPr="00F97E45">
        <w:rPr>
          <w:b/>
        </w:rPr>
        <w:t>Equipment Room</w:t>
      </w:r>
      <w:r>
        <w:t>: anything from a broom closet with communication hardware mounted in the wall to giant rooms with raised floors full racks of equipment and cable trays connecting them. It usually houses equipment of higher complexity than TC. The design aspects of the equipment room are specified in the EIA/TIA 569 standard</w:t>
      </w:r>
    </w:p>
    <w:p w14:paraId="009C5029" w14:textId="77777777" w:rsidR="00F97E45" w:rsidRDefault="00F97E45" w:rsidP="003B68AC">
      <w:pPr>
        <w:ind w:left="360"/>
      </w:pPr>
    </w:p>
    <w:p w14:paraId="15CDBA15" w14:textId="77777777" w:rsidR="0037453B" w:rsidRDefault="0037453B" w:rsidP="003B68AC">
      <w:pPr>
        <w:ind w:left="360"/>
      </w:pPr>
      <w:r w:rsidRPr="00F97E45">
        <w:rPr>
          <w:b/>
        </w:rPr>
        <w:t>Backbone Cabling</w:t>
      </w:r>
      <w:r>
        <w:t>: is cabling between TC, equipment rooms and building entrance facilities. The most commonly used cablings are multi-mode fibers.</w:t>
      </w:r>
    </w:p>
    <w:p w14:paraId="07BBF0D7" w14:textId="77777777" w:rsidR="00F97E45" w:rsidRDefault="00F97E45" w:rsidP="003B68AC">
      <w:pPr>
        <w:ind w:left="360"/>
      </w:pPr>
    </w:p>
    <w:p w14:paraId="10687034" w14:textId="77777777" w:rsidR="0037453B" w:rsidRDefault="0037453B" w:rsidP="003B68AC">
      <w:pPr>
        <w:ind w:left="360"/>
      </w:pPr>
      <w:r w:rsidRPr="00F97E45">
        <w:rPr>
          <w:b/>
        </w:rPr>
        <w:t>Telecommunications Closet</w:t>
      </w:r>
      <w:r>
        <w:t>: It’s a closet or cabinet to house. It’s the terminations for the other end horizontal cabling, the cross connect device, patch cords, and electronic switch equipment for the network of that floor.</w:t>
      </w:r>
    </w:p>
    <w:p w14:paraId="50132792" w14:textId="77777777" w:rsidR="00F97E45" w:rsidRDefault="00F97E45" w:rsidP="003B68AC">
      <w:pPr>
        <w:ind w:left="360"/>
      </w:pPr>
    </w:p>
    <w:p w14:paraId="11A533B0" w14:textId="77777777" w:rsidR="0037453B" w:rsidRDefault="0037453B" w:rsidP="003B68AC">
      <w:pPr>
        <w:ind w:left="360"/>
      </w:pPr>
      <w:r w:rsidRPr="00F97E45">
        <w:rPr>
          <w:b/>
        </w:rPr>
        <w:t>Horizontal Cabling</w:t>
      </w:r>
      <w:r>
        <w:t>: from the information outlet in the work area to the horizontal cross-connect in the telecommunication closet. It is in start topology, and has a length limit of 90m.</w:t>
      </w:r>
    </w:p>
    <w:p w14:paraId="09BCB4A4" w14:textId="77777777" w:rsidR="008B0A5A" w:rsidRDefault="0037453B" w:rsidP="0037453B">
      <w:pPr>
        <w:ind w:left="360"/>
      </w:pPr>
      <w:r>
        <w:t>Work Area: from the information outlet to the station equipment. It is relatively simple, and has station equipment, patch cables and adapters.</w:t>
      </w:r>
    </w:p>
    <w:p w14:paraId="09E1EB9D" w14:textId="77777777" w:rsidR="00F97E45" w:rsidRDefault="00F97E45" w:rsidP="0037453B">
      <w:pPr>
        <w:ind w:left="360"/>
      </w:pPr>
    </w:p>
    <w:p w14:paraId="4444D1D5" w14:textId="7B3F6BDB" w:rsidR="00146D37" w:rsidRPr="0010384D" w:rsidRDefault="0051051A" w:rsidP="0010384D">
      <w:pPr>
        <w:numPr>
          <w:ilvl w:val="0"/>
          <w:numId w:val="1"/>
        </w:numPr>
        <w:rPr>
          <w:b/>
        </w:rPr>
      </w:pPr>
      <w:r>
        <w:rPr>
          <w:b/>
        </w:rPr>
        <w:t xml:space="preserve">List </w:t>
      </w:r>
      <w:r w:rsidR="003D4080">
        <w:rPr>
          <w:b/>
        </w:rPr>
        <w:t>two</w:t>
      </w:r>
      <w:r w:rsidR="007A54AD" w:rsidRPr="00692A8A">
        <w:rPr>
          <w:b/>
        </w:rPr>
        <w:t xml:space="preserve"> IEEE 802.11 wireless LAN </w:t>
      </w:r>
      <w:r w:rsidR="00C4743B" w:rsidRPr="00692A8A">
        <w:rPr>
          <w:b/>
        </w:rPr>
        <w:t>specifications</w:t>
      </w:r>
      <w:r w:rsidR="007A54AD" w:rsidRPr="00692A8A">
        <w:rPr>
          <w:b/>
        </w:rPr>
        <w:t xml:space="preserve"> </w:t>
      </w:r>
      <w:r w:rsidR="003D4080">
        <w:rPr>
          <w:b/>
        </w:rPr>
        <w:t>(e.g., 802.11ac</w:t>
      </w:r>
      <w:r>
        <w:rPr>
          <w:b/>
        </w:rPr>
        <w:t xml:space="preserve">) that the University of Delaware is currently using or </w:t>
      </w:r>
      <w:r w:rsidR="003D4080">
        <w:rPr>
          <w:b/>
        </w:rPr>
        <w:t>used to use</w:t>
      </w:r>
      <w:r>
        <w:rPr>
          <w:b/>
        </w:rPr>
        <w:t>, and compare them</w:t>
      </w:r>
      <w:r w:rsidR="007A54AD" w:rsidRPr="00692A8A">
        <w:rPr>
          <w:b/>
        </w:rPr>
        <w:t xml:space="preserve"> in terms of frequency range, maximum data rate, and their pros and cons.</w:t>
      </w:r>
      <w:r>
        <w:rPr>
          <w:b/>
        </w:rPr>
        <w:t xml:space="preserve"> </w:t>
      </w:r>
    </w:p>
    <w:p w14:paraId="1F32B6A4" w14:textId="3149157D" w:rsidR="00146D37" w:rsidRPr="00ED0B57" w:rsidRDefault="0010384D" w:rsidP="00146D37">
      <w:pPr>
        <w:ind w:left="360"/>
        <w:rPr>
          <w:b/>
          <w:color w:val="000000" w:themeColor="text1"/>
        </w:rPr>
      </w:pPr>
      <w:r w:rsidRPr="00ED0B57">
        <w:rPr>
          <w:b/>
          <w:color w:val="000000" w:themeColor="text1"/>
        </w:rPr>
        <w:t>802.11n:</w:t>
      </w:r>
    </w:p>
    <w:p w14:paraId="4B19A12D" w14:textId="4CBC0503" w:rsidR="0010384D" w:rsidRDefault="0010384D" w:rsidP="00146D37">
      <w:pPr>
        <w:ind w:left="360"/>
      </w:pPr>
      <w:r>
        <w:t>frequency range: 2.4/5 GHz radio spectrum</w:t>
      </w:r>
      <w:r w:rsidR="00A93BC3">
        <w:t>, up to 300 feet range</w:t>
      </w:r>
    </w:p>
    <w:p w14:paraId="5BCA2397" w14:textId="722D3E4D" w:rsidR="0010384D" w:rsidRDefault="0010384D" w:rsidP="00146D37">
      <w:pPr>
        <w:ind w:left="360"/>
      </w:pPr>
      <w:r>
        <w:t>maximum data rate: up to 600 Mbps</w:t>
      </w:r>
      <w:r w:rsidR="00A93BC3">
        <w:t>, but typically around 100 Mbps</w:t>
      </w:r>
    </w:p>
    <w:p w14:paraId="28E9665A" w14:textId="16FA2E87" w:rsidR="0010384D" w:rsidRDefault="0010384D" w:rsidP="00146D37">
      <w:pPr>
        <w:ind w:left="360"/>
      </w:pPr>
      <w:r>
        <w:t>pros:</w:t>
      </w:r>
      <w:r w:rsidR="00A93BC3">
        <w:t xml:space="preserve"> cheaper, the covering range is wider</w:t>
      </w:r>
    </w:p>
    <w:p w14:paraId="0B701A8E" w14:textId="69A9F5AB" w:rsidR="0010384D" w:rsidRDefault="0010384D" w:rsidP="00146D37">
      <w:pPr>
        <w:ind w:left="360"/>
      </w:pPr>
      <w:r>
        <w:t>cons:</w:t>
      </w:r>
      <w:r w:rsidR="00A93BC3">
        <w:t xml:space="preserve"> the speed is quite low comparing to 802.11ac</w:t>
      </w:r>
    </w:p>
    <w:p w14:paraId="19043087" w14:textId="496FD7B8" w:rsidR="0010384D" w:rsidRPr="00ED0B57" w:rsidRDefault="0010384D" w:rsidP="00146D37">
      <w:pPr>
        <w:ind w:left="360"/>
        <w:rPr>
          <w:b/>
          <w:color w:val="000000" w:themeColor="text1"/>
        </w:rPr>
      </w:pPr>
      <w:r w:rsidRPr="00ED0B57">
        <w:rPr>
          <w:b/>
          <w:color w:val="000000" w:themeColor="text1"/>
        </w:rPr>
        <w:t>802.11ac:</w:t>
      </w:r>
    </w:p>
    <w:p w14:paraId="62B386DB" w14:textId="64191370" w:rsidR="0010384D" w:rsidRDefault="0010384D" w:rsidP="0010384D">
      <w:pPr>
        <w:ind w:left="360"/>
      </w:pPr>
      <w:r>
        <w:t>frequency range</w:t>
      </w:r>
      <w:r w:rsidR="00A93BC3">
        <w:t>: operates at 5GHz radio spectrum only</w:t>
      </w:r>
    </w:p>
    <w:p w14:paraId="1C4977AC" w14:textId="310B973D" w:rsidR="0010384D" w:rsidRDefault="0010384D" w:rsidP="0010384D">
      <w:pPr>
        <w:ind w:left="360"/>
      </w:pPr>
      <w:r>
        <w:t>maximum data rate</w:t>
      </w:r>
      <w:r w:rsidR="00A93BC3">
        <w:t xml:space="preserve">: at least 1 </w:t>
      </w:r>
      <w:proofErr w:type="spellStart"/>
      <w:r w:rsidR="00A93BC3">
        <w:t>Gbps</w:t>
      </w:r>
      <w:proofErr w:type="spellEnd"/>
    </w:p>
    <w:p w14:paraId="4980BB7B" w14:textId="58AAB858" w:rsidR="0010384D" w:rsidRDefault="0010384D" w:rsidP="0010384D">
      <w:pPr>
        <w:ind w:left="360"/>
      </w:pPr>
      <w:r>
        <w:t>pros:</w:t>
      </w:r>
      <w:r w:rsidR="00A93BC3">
        <w:t xml:space="preserve"> faster</w:t>
      </w:r>
    </w:p>
    <w:p w14:paraId="65B770D0" w14:textId="01156FCD" w:rsidR="0010384D" w:rsidRDefault="0010384D" w:rsidP="0010384D">
      <w:pPr>
        <w:ind w:left="360"/>
      </w:pPr>
      <w:r>
        <w:t>cons:</w:t>
      </w:r>
      <w:r w:rsidR="00A93BC3">
        <w:t xml:space="preserve"> more expensive, the covering range may not be as wide as 802.11n</w:t>
      </w:r>
    </w:p>
    <w:p w14:paraId="77957862" w14:textId="77777777" w:rsidR="00C41987" w:rsidRDefault="00C41987" w:rsidP="00692A8A"/>
    <w:p w14:paraId="3C383A64" w14:textId="77777777" w:rsidR="0065341E" w:rsidRDefault="00277F66" w:rsidP="00A43F86">
      <w:pPr>
        <w:numPr>
          <w:ilvl w:val="0"/>
          <w:numId w:val="1"/>
        </w:numPr>
        <w:tabs>
          <w:tab w:val="clear" w:pos="360"/>
          <w:tab w:val="num" w:pos="0"/>
        </w:tabs>
        <w:rPr>
          <w:b/>
        </w:rPr>
      </w:pPr>
      <w:r w:rsidRPr="00692A8A">
        <w:rPr>
          <w:b/>
        </w:rPr>
        <w:lastRenderedPageBreak/>
        <w:t xml:space="preserve">Briefly explain: (a) the media access control method used in the 802.11 </w:t>
      </w:r>
      <w:r w:rsidR="00C4743B" w:rsidRPr="00692A8A">
        <w:rPr>
          <w:b/>
        </w:rPr>
        <w:t xml:space="preserve">wireless </w:t>
      </w:r>
      <w:r w:rsidRPr="00692A8A">
        <w:rPr>
          <w:b/>
        </w:rPr>
        <w:t>LAN; (b) why the media access control method used in Ethernet cannot be used in wireless LAN?</w:t>
      </w:r>
    </w:p>
    <w:p w14:paraId="522F843D" w14:textId="79899C62" w:rsidR="00DD2025" w:rsidRDefault="00DD2025" w:rsidP="00DD2025">
      <w:pPr>
        <w:pStyle w:val="ListParagraph"/>
        <w:numPr>
          <w:ilvl w:val="0"/>
          <w:numId w:val="23"/>
        </w:numPr>
        <w:rPr>
          <w:b/>
        </w:rPr>
      </w:pPr>
      <w:r>
        <w:rPr>
          <w:b/>
        </w:rPr>
        <w:t>The media access control method used in in the 802.11 wireless LAN is CSMA/CA+ACK.</w:t>
      </w:r>
    </w:p>
    <w:p w14:paraId="3B18A07B" w14:textId="77777777" w:rsidR="00F97E45" w:rsidRDefault="00F97E45" w:rsidP="00F97E45">
      <w:pPr>
        <w:pStyle w:val="ListParagraph"/>
        <w:rPr>
          <w:b/>
        </w:rPr>
      </w:pPr>
    </w:p>
    <w:p w14:paraId="287DF930" w14:textId="74CB684C" w:rsidR="00A57AA2" w:rsidRPr="00DD2025" w:rsidRDefault="007E3B5F" w:rsidP="00DD2025">
      <w:pPr>
        <w:pStyle w:val="ListParagraph"/>
        <w:numPr>
          <w:ilvl w:val="0"/>
          <w:numId w:val="23"/>
        </w:numPr>
        <w:rPr>
          <w:b/>
        </w:rPr>
      </w:pPr>
      <w:r>
        <w:rPr>
          <w:b/>
        </w:rPr>
        <w:t>The media access control method used in Ethernet is CSMA/CD.</w:t>
      </w:r>
      <w:r w:rsidR="00F14B62">
        <w:rPr>
          <w:b/>
        </w:rPr>
        <w:t xml:space="preserve"> The reason why the media access control method used in Ethernet cannot be used in wireless LAN is that wireless transceivers can’t send and receive on the same channel at the same time, so they can’t detect collisions. </w:t>
      </w:r>
      <w:r w:rsidR="00635FBE">
        <w:rPr>
          <w:b/>
        </w:rPr>
        <w:t xml:space="preserve">It mainly has a carrier sense to listen to the media to see if it is free, and use the collision avoidance which is to minimize chances of collision by starting a random back off time, when medium is free and prior to transmission. Since it cannot detect the collision, it will wait a little longer before </w:t>
      </w:r>
      <w:r w:rsidR="00DC3CF6">
        <w:rPr>
          <w:b/>
        </w:rPr>
        <w:t>starting sending information.</w:t>
      </w:r>
      <w:r w:rsidR="00635FBE">
        <w:rPr>
          <w:b/>
        </w:rPr>
        <w:t xml:space="preserve"> </w:t>
      </w:r>
    </w:p>
    <w:p w14:paraId="03CD7E55" w14:textId="77777777" w:rsidR="00A57AA2" w:rsidRDefault="00A57AA2" w:rsidP="00A43F86">
      <w:pPr>
        <w:ind w:left="360"/>
        <w:rPr>
          <w:lang w:val="en"/>
        </w:rPr>
      </w:pPr>
    </w:p>
    <w:p w14:paraId="7D7438D3" w14:textId="77777777" w:rsidR="0065341E" w:rsidRDefault="007A54AD" w:rsidP="00A43F86">
      <w:pPr>
        <w:numPr>
          <w:ilvl w:val="0"/>
          <w:numId w:val="1"/>
        </w:numPr>
        <w:tabs>
          <w:tab w:val="clear" w:pos="360"/>
          <w:tab w:val="num" w:pos="0"/>
        </w:tabs>
        <w:rPr>
          <w:b/>
        </w:rPr>
      </w:pPr>
      <w:r w:rsidRPr="00692A8A">
        <w:rPr>
          <w:b/>
        </w:rPr>
        <w:t>List and b</w:t>
      </w:r>
      <w:r w:rsidR="0065341E" w:rsidRPr="00692A8A">
        <w:rPr>
          <w:b/>
        </w:rPr>
        <w:t>riefly describe</w:t>
      </w:r>
      <w:r w:rsidRPr="00692A8A">
        <w:rPr>
          <w:b/>
        </w:rPr>
        <w:t xml:space="preserve"> at least two ways to provide security for wireless LAN</w:t>
      </w:r>
      <w:r w:rsidR="0065341E" w:rsidRPr="00692A8A">
        <w:rPr>
          <w:b/>
        </w:rPr>
        <w:t xml:space="preserve"> </w:t>
      </w:r>
      <w:r w:rsidR="00B478FD" w:rsidRPr="00692A8A">
        <w:rPr>
          <w:b/>
        </w:rPr>
        <w:t>(</w:t>
      </w:r>
      <w:r w:rsidRPr="00692A8A">
        <w:rPr>
          <w:b/>
        </w:rPr>
        <w:t>e.g.</w:t>
      </w:r>
      <w:r w:rsidR="00C4743B" w:rsidRPr="00692A8A">
        <w:rPr>
          <w:b/>
        </w:rPr>
        <w:t>,</w:t>
      </w:r>
      <w:r w:rsidRPr="00692A8A">
        <w:rPr>
          <w:b/>
        </w:rPr>
        <w:t xml:space="preserve"> </w:t>
      </w:r>
      <w:r w:rsidR="003D4080">
        <w:rPr>
          <w:b/>
        </w:rPr>
        <w:t>WPA</w:t>
      </w:r>
      <w:r w:rsidR="00B478FD" w:rsidRPr="00692A8A">
        <w:rPr>
          <w:b/>
        </w:rPr>
        <w:t>)</w:t>
      </w:r>
      <w:r w:rsidR="00C4743B" w:rsidRPr="00692A8A">
        <w:rPr>
          <w:b/>
        </w:rPr>
        <w:t>.</w:t>
      </w:r>
    </w:p>
    <w:p w14:paraId="3AD15C3C" w14:textId="77777777" w:rsidR="00F97E45" w:rsidRDefault="00F97E45" w:rsidP="00F97E45">
      <w:pPr>
        <w:ind w:left="360"/>
        <w:rPr>
          <w:b/>
        </w:rPr>
      </w:pPr>
    </w:p>
    <w:p w14:paraId="6EB4EE76" w14:textId="69476634" w:rsidR="00553ABD" w:rsidRDefault="00553ABD" w:rsidP="00553ABD">
      <w:pPr>
        <w:ind w:left="360"/>
        <w:rPr>
          <w:b/>
        </w:rPr>
      </w:pPr>
      <w:r>
        <w:rPr>
          <w:b/>
        </w:rPr>
        <w:t>WPA:</w:t>
      </w:r>
      <w:r w:rsidR="00770F2B">
        <w:rPr>
          <w:b/>
        </w:rPr>
        <w:t xml:space="preserve"> WPA strengthened WEP by including authentication using 802.1X framework or a passphrase, creating a key hierarchy out of the master key, doubling the size of the initialization vector used during encryption and including a more robust data integrity algorithm. </w:t>
      </w:r>
    </w:p>
    <w:p w14:paraId="0CCC4390" w14:textId="77777777" w:rsidR="00F97E45" w:rsidRDefault="00F97E45" w:rsidP="00553ABD">
      <w:pPr>
        <w:ind w:left="360"/>
        <w:rPr>
          <w:b/>
        </w:rPr>
      </w:pPr>
    </w:p>
    <w:p w14:paraId="2E2D0FCB" w14:textId="2BB5A88B" w:rsidR="00553ABD" w:rsidRPr="00692A8A" w:rsidRDefault="00553ABD" w:rsidP="00553ABD">
      <w:pPr>
        <w:ind w:left="360"/>
        <w:rPr>
          <w:b/>
        </w:rPr>
      </w:pPr>
      <w:r w:rsidRPr="00ED0B57">
        <w:rPr>
          <w:b/>
          <w:color w:val="000000" w:themeColor="text1"/>
        </w:rPr>
        <w:t>WPA2</w:t>
      </w:r>
      <w:r>
        <w:rPr>
          <w:b/>
        </w:rPr>
        <w:t>:</w:t>
      </w:r>
      <w:r w:rsidR="00770F2B">
        <w:rPr>
          <w:b/>
        </w:rPr>
        <w:t xml:space="preserve"> uses the same authentication process, 4-way handshake and key hierarchy as WPA, the difference is that in WPA2 sessions, the TKIP is replaced with the advance encryption standard(AES) CCMP protocol.</w:t>
      </w:r>
    </w:p>
    <w:p w14:paraId="11C39A04" w14:textId="77777777" w:rsidR="00692A8A" w:rsidRDefault="00692A8A" w:rsidP="00A43F86">
      <w:pPr>
        <w:tabs>
          <w:tab w:val="num" w:pos="720"/>
        </w:tabs>
        <w:autoSpaceDE w:val="0"/>
        <w:autoSpaceDN w:val="0"/>
        <w:adjustRightInd w:val="0"/>
        <w:ind w:left="360"/>
        <w:rPr>
          <w:rFonts w:eastAsia="Times New Roman"/>
          <w:lang w:eastAsia="en-US"/>
        </w:rPr>
      </w:pPr>
    </w:p>
    <w:sectPr w:rsidR="00692A8A" w:rsidSect="000B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2AD5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87ADA"/>
    <w:multiLevelType w:val="hybridMultilevel"/>
    <w:tmpl w:val="F2BE0D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736C1C"/>
    <w:multiLevelType w:val="hybridMultilevel"/>
    <w:tmpl w:val="9B5C8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19107B"/>
    <w:multiLevelType w:val="hybridMultilevel"/>
    <w:tmpl w:val="192C362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4ECC494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9265E4"/>
    <w:multiLevelType w:val="multilevel"/>
    <w:tmpl w:val="741A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2100D"/>
    <w:multiLevelType w:val="multilevel"/>
    <w:tmpl w:val="E39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C7BF5"/>
    <w:multiLevelType w:val="hybridMultilevel"/>
    <w:tmpl w:val="7C5A0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506E2"/>
    <w:multiLevelType w:val="multilevel"/>
    <w:tmpl w:val="91F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72AFC"/>
    <w:multiLevelType w:val="multilevel"/>
    <w:tmpl w:val="900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47546"/>
    <w:multiLevelType w:val="hybridMultilevel"/>
    <w:tmpl w:val="BB08AF4C"/>
    <w:lvl w:ilvl="0" w:tplc="95544ABA">
      <w:start w:val="1"/>
      <w:numFmt w:val="bullet"/>
      <w:lvlText w:val=""/>
      <w:lvlJc w:val="left"/>
      <w:pPr>
        <w:tabs>
          <w:tab w:val="num" w:pos="720"/>
        </w:tabs>
        <w:ind w:left="720" w:hanging="360"/>
      </w:pPr>
      <w:rPr>
        <w:rFonts w:ascii="Wingdings" w:hAnsi="Wingdings" w:hint="default"/>
      </w:rPr>
    </w:lvl>
    <w:lvl w:ilvl="1" w:tplc="381C0D12">
      <w:start w:val="498"/>
      <w:numFmt w:val="bullet"/>
      <w:lvlText w:val=""/>
      <w:lvlJc w:val="left"/>
      <w:pPr>
        <w:tabs>
          <w:tab w:val="num" w:pos="1440"/>
        </w:tabs>
        <w:ind w:left="1440" w:hanging="360"/>
      </w:pPr>
      <w:rPr>
        <w:rFonts w:ascii="Wingdings" w:hAnsi="Wingdings" w:hint="default"/>
      </w:rPr>
    </w:lvl>
    <w:lvl w:ilvl="2" w:tplc="DB3C4BB2">
      <w:start w:val="1"/>
      <w:numFmt w:val="bullet"/>
      <w:lvlText w:val=""/>
      <w:lvlJc w:val="left"/>
      <w:pPr>
        <w:tabs>
          <w:tab w:val="num" w:pos="2160"/>
        </w:tabs>
        <w:ind w:left="2160" w:hanging="360"/>
      </w:pPr>
      <w:rPr>
        <w:rFonts w:ascii="Wingdings" w:hAnsi="Wingdings" w:hint="default"/>
      </w:rPr>
    </w:lvl>
    <w:lvl w:ilvl="3" w:tplc="77EAE1C8" w:tentative="1">
      <w:start w:val="1"/>
      <w:numFmt w:val="bullet"/>
      <w:lvlText w:val=""/>
      <w:lvlJc w:val="left"/>
      <w:pPr>
        <w:tabs>
          <w:tab w:val="num" w:pos="2880"/>
        </w:tabs>
        <w:ind w:left="2880" w:hanging="360"/>
      </w:pPr>
      <w:rPr>
        <w:rFonts w:ascii="Wingdings" w:hAnsi="Wingdings" w:hint="default"/>
      </w:rPr>
    </w:lvl>
    <w:lvl w:ilvl="4" w:tplc="44C491F2" w:tentative="1">
      <w:start w:val="1"/>
      <w:numFmt w:val="bullet"/>
      <w:lvlText w:val=""/>
      <w:lvlJc w:val="left"/>
      <w:pPr>
        <w:tabs>
          <w:tab w:val="num" w:pos="3600"/>
        </w:tabs>
        <w:ind w:left="3600" w:hanging="360"/>
      </w:pPr>
      <w:rPr>
        <w:rFonts w:ascii="Wingdings" w:hAnsi="Wingdings" w:hint="default"/>
      </w:rPr>
    </w:lvl>
    <w:lvl w:ilvl="5" w:tplc="5DD2A38A" w:tentative="1">
      <w:start w:val="1"/>
      <w:numFmt w:val="bullet"/>
      <w:lvlText w:val=""/>
      <w:lvlJc w:val="left"/>
      <w:pPr>
        <w:tabs>
          <w:tab w:val="num" w:pos="4320"/>
        </w:tabs>
        <w:ind w:left="4320" w:hanging="360"/>
      </w:pPr>
      <w:rPr>
        <w:rFonts w:ascii="Wingdings" w:hAnsi="Wingdings" w:hint="default"/>
      </w:rPr>
    </w:lvl>
    <w:lvl w:ilvl="6" w:tplc="5F523B04" w:tentative="1">
      <w:start w:val="1"/>
      <w:numFmt w:val="bullet"/>
      <w:lvlText w:val=""/>
      <w:lvlJc w:val="left"/>
      <w:pPr>
        <w:tabs>
          <w:tab w:val="num" w:pos="5040"/>
        </w:tabs>
        <w:ind w:left="5040" w:hanging="360"/>
      </w:pPr>
      <w:rPr>
        <w:rFonts w:ascii="Wingdings" w:hAnsi="Wingdings" w:hint="default"/>
      </w:rPr>
    </w:lvl>
    <w:lvl w:ilvl="7" w:tplc="98C66946" w:tentative="1">
      <w:start w:val="1"/>
      <w:numFmt w:val="bullet"/>
      <w:lvlText w:val=""/>
      <w:lvlJc w:val="left"/>
      <w:pPr>
        <w:tabs>
          <w:tab w:val="num" w:pos="5760"/>
        </w:tabs>
        <w:ind w:left="5760" w:hanging="360"/>
      </w:pPr>
      <w:rPr>
        <w:rFonts w:ascii="Wingdings" w:hAnsi="Wingdings" w:hint="default"/>
      </w:rPr>
    </w:lvl>
    <w:lvl w:ilvl="8" w:tplc="0B448868" w:tentative="1">
      <w:start w:val="1"/>
      <w:numFmt w:val="bullet"/>
      <w:lvlText w:val=""/>
      <w:lvlJc w:val="left"/>
      <w:pPr>
        <w:tabs>
          <w:tab w:val="num" w:pos="6480"/>
        </w:tabs>
        <w:ind w:left="6480" w:hanging="360"/>
      </w:pPr>
      <w:rPr>
        <w:rFonts w:ascii="Wingdings" w:hAnsi="Wingdings" w:hint="default"/>
      </w:rPr>
    </w:lvl>
  </w:abstractNum>
  <w:abstractNum w:abstractNumId="10">
    <w:nsid w:val="1F49589F"/>
    <w:multiLevelType w:val="hybridMultilevel"/>
    <w:tmpl w:val="41189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6203E9"/>
    <w:multiLevelType w:val="multilevel"/>
    <w:tmpl w:val="5D9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12886"/>
    <w:multiLevelType w:val="multilevel"/>
    <w:tmpl w:val="98F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D4B40"/>
    <w:multiLevelType w:val="multilevel"/>
    <w:tmpl w:val="2A0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46D5C"/>
    <w:multiLevelType w:val="multilevel"/>
    <w:tmpl w:val="3C8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F6A29"/>
    <w:multiLevelType w:val="multilevel"/>
    <w:tmpl w:val="EC4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52187"/>
    <w:multiLevelType w:val="hybridMultilevel"/>
    <w:tmpl w:val="E8B29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BA41462"/>
    <w:multiLevelType w:val="multilevel"/>
    <w:tmpl w:val="6C7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E23EE"/>
    <w:multiLevelType w:val="hybridMultilevel"/>
    <w:tmpl w:val="1F8A7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CA0904"/>
    <w:multiLevelType w:val="multilevel"/>
    <w:tmpl w:val="2A8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AF6088"/>
    <w:multiLevelType w:val="hybridMultilevel"/>
    <w:tmpl w:val="247C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1065ED"/>
    <w:multiLevelType w:val="multilevel"/>
    <w:tmpl w:val="105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A87E61"/>
    <w:multiLevelType w:val="hybridMultilevel"/>
    <w:tmpl w:val="360A8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21"/>
  </w:num>
  <w:num w:numId="5">
    <w:abstractNumId w:val="13"/>
  </w:num>
  <w:num w:numId="6">
    <w:abstractNumId w:val="7"/>
  </w:num>
  <w:num w:numId="7">
    <w:abstractNumId w:val="5"/>
  </w:num>
  <w:num w:numId="8">
    <w:abstractNumId w:val="17"/>
  </w:num>
  <w:num w:numId="9">
    <w:abstractNumId w:val="19"/>
  </w:num>
  <w:num w:numId="10">
    <w:abstractNumId w:val="15"/>
  </w:num>
  <w:num w:numId="11">
    <w:abstractNumId w:val="12"/>
  </w:num>
  <w:num w:numId="12">
    <w:abstractNumId w:val="8"/>
  </w:num>
  <w:num w:numId="13">
    <w:abstractNumId w:val="14"/>
  </w:num>
  <w:num w:numId="14">
    <w:abstractNumId w:val="20"/>
  </w:num>
  <w:num w:numId="15">
    <w:abstractNumId w:val="2"/>
  </w:num>
  <w:num w:numId="16">
    <w:abstractNumId w:val="10"/>
  </w:num>
  <w:num w:numId="17">
    <w:abstractNumId w:val="16"/>
  </w:num>
  <w:num w:numId="18">
    <w:abstractNumId w:val="22"/>
  </w:num>
  <w:num w:numId="19">
    <w:abstractNumId w:val="9"/>
  </w:num>
  <w:num w:numId="20">
    <w:abstractNumId w:val="1"/>
  </w:num>
  <w:num w:numId="21">
    <w:abstractNumId w:val="18"/>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D"/>
    <w:rsid w:val="00033DCD"/>
    <w:rsid w:val="000524EE"/>
    <w:rsid w:val="00053C6E"/>
    <w:rsid w:val="000A37C1"/>
    <w:rsid w:val="000A4B6E"/>
    <w:rsid w:val="000B57CB"/>
    <w:rsid w:val="000E7967"/>
    <w:rsid w:val="000F2EBE"/>
    <w:rsid w:val="0010384D"/>
    <w:rsid w:val="001151B2"/>
    <w:rsid w:val="00122CF3"/>
    <w:rsid w:val="00144905"/>
    <w:rsid w:val="00146D37"/>
    <w:rsid w:val="001526C8"/>
    <w:rsid w:val="0015792C"/>
    <w:rsid w:val="001613F9"/>
    <w:rsid w:val="001A6402"/>
    <w:rsid w:val="001A7E55"/>
    <w:rsid w:val="001C095C"/>
    <w:rsid w:val="001D4F9F"/>
    <w:rsid w:val="001E509C"/>
    <w:rsid w:val="00201BEF"/>
    <w:rsid w:val="00205D5E"/>
    <w:rsid w:val="002266B5"/>
    <w:rsid w:val="00250743"/>
    <w:rsid w:val="00250CAA"/>
    <w:rsid w:val="002635C8"/>
    <w:rsid w:val="002707D9"/>
    <w:rsid w:val="00270ACA"/>
    <w:rsid w:val="00277F66"/>
    <w:rsid w:val="00280EE1"/>
    <w:rsid w:val="0029379D"/>
    <w:rsid w:val="002E2AA7"/>
    <w:rsid w:val="002E3B1C"/>
    <w:rsid w:val="002E62C4"/>
    <w:rsid w:val="0032617D"/>
    <w:rsid w:val="00331F5D"/>
    <w:rsid w:val="00334101"/>
    <w:rsid w:val="0034730D"/>
    <w:rsid w:val="0037453B"/>
    <w:rsid w:val="0037480A"/>
    <w:rsid w:val="00375A34"/>
    <w:rsid w:val="00380AD9"/>
    <w:rsid w:val="003A65E6"/>
    <w:rsid w:val="003A6E1E"/>
    <w:rsid w:val="003A72BD"/>
    <w:rsid w:val="003B68AC"/>
    <w:rsid w:val="003D18AB"/>
    <w:rsid w:val="003D4080"/>
    <w:rsid w:val="003E1381"/>
    <w:rsid w:val="004149BE"/>
    <w:rsid w:val="0042245D"/>
    <w:rsid w:val="00447F3D"/>
    <w:rsid w:val="00484208"/>
    <w:rsid w:val="004A612F"/>
    <w:rsid w:val="004B3AF4"/>
    <w:rsid w:val="004B7A11"/>
    <w:rsid w:val="004D19C9"/>
    <w:rsid w:val="004D2EF7"/>
    <w:rsid w:val="004D6D73"/>
    <w:rsid w:val="00505565"/>
    <w:rsid w:val="0051051A"/>
    <w:rsid w:val="00511690"/>
    <w:rsid w:val="00511F1E"/>
    <w:rsid w:val="00536DB1"/>
    <w:rsid w:val="00553ABD"/>
    <w:rsid w:val="005563CD"/>
    <w:rsid w:val="00560E7D"/>
    <w:rsid w:val="005632F1"/>
    <w:rsid w:val="00582B7C"/>
    <w:rsid w:val="00595121"/>
    <w:rsid w:val="005E7812"/>
    <w:rsid w:val="005E7EB8"/>
    <w:rsid w:val="00600A94"/>
    <w:rsid w:val="00602F47"/>
    <w:rsid w:val="00606227"/>
    <w:rsid w:val="00635FBE"/>
    <w:rsid w:val="0065341E"/>
    <w:rsid w:val="00692A8A"/>
    <w:rsid w:val="00697400"/>
    <w:rsid w:val="006D1F35"/>
    <w:rsid w:val="006E2B7E"/>
    <w:rsid w:val="0071342D"/>
    <w:rsid w:val="00720D2E"/>
    <w:rsid w:val="00733B55"/>
    <w:rsid w:val="0073549C"/>
    <w:rsid w:val="00742EA8"/>
    <w:rsid w:val="00743ABA"/>
    <w:rsid w:val="00770F2B"/>
    <w:rsid w:val="0078030E"/>
    <w:rsid w:val="00796E9E"/>
    <w:rsid w:val="007A52C4"/>
    <w:rsid w:val="007A54AD"/>
    <w:rsid w:val="007A7EBF"/>
    <w:rsid w:val="007E3B5F"/>
    <w:rsid w:val="00844FAF"/>
    <w:rsid w:val="0085307A"/>
    <w:rsid w:val="00874A04"/>
    <w:rsid w:val="008B0A5A"/>
    <w:rsid w:val="008C1ED5"/>
    <w:rsid w:val="008D1DEF"/>
    <w:rsid w:val="008E42F3"/>
    <w:rsid w:val="00903FB5"/>
    <w:rsid w:val="00910454"/>
    <w:rsid w:val="00910893"/>
    <w:rsid w:val="00920844"/>
    <w:rsid w:val="00921530"/>
    <w:rsid w:val="00930751"/>
    <w:rsid w:val="0094098E"/>
    <w:rsid w:val="00950C9E"/>
    <w:rsid w:val="00956B53"/>
    <w:rsid w:val="00975FA4"/>
    <w:rsid w:val="0098046E"/>
    <w:rsid w:val="009D6635"/>
    <w:rsid w:val="009F461E"/>
    <w:rsid w:val="009F60E9"/>
    <w:rsid w:val="00A31600"/>
    <w:rsid w:val="00A43F86"/>
    <w:rsid w:val="00A51D69"/>
    <w:rsid w:val="00A55A6D"/>
    <w:rsid w:val="00A57AA2"/>
    <w:rsid w:val="00A6168E"/>
    <w:rsid w:val="00A83A1B"/>
    <w:rsid w:val="00A93BC3"/>
    <w:rsid w:val="00AA0F96"/>
    <w:rsid w:val="00AB2DC1"/>
    <w:rsid w:val="00AC191B"/>
    <w:rsid w:val="00AC20E4"/>
    <w:rsid w:val="00AE0E24"/>
    <w:rsid w:val="00AF6BFD"/>
    <w:rsid w:val="00B0066D"/>
    <w:rsid w:val="00B437F9"/>
    <w:rsid w:val="00B478FD"/>
    <w:rsid w:val="00B7027E"/>
    <w:rsid w:val="00B73E95"/>
    <w:rsid w:val="00B86CAC"/>
    <w:rsid w:val="00B92C77"/>
    <w:rsid w:val="00BA3617"/>
    <w:rsid w:val="00BC3DA1"/>
    <w:rsid w:val="00BD303A"/>
    <w:rsid w:val="00BD37AF"/>
    <w:rsid w:val="00C16ECE"/>
    <w:rsid w:val="00C41987"/>
    <w:rsid w:val="00C4743B"/>
    <w:rsid w:val="00C856DA"/>
    <w:rsid w:val="00CA1726"/>
    <w:rsid w:val="00CC5E46"/>
    <w:rsid w:val="00CD08F5"/>
    <w:rsid w:val="00CD4AAC"/>
    <w:rsid w:val="00CF0C8D"/>
    <w:rsid w:val="00D02102"/>
    <w:rsid w:val="00D02BAF"/>
    <w:rsid w:val="00D0383E"/>
    <w:rsid w:val="00D27870"/>
    <w:rsid w:val="00D27E9A"/>
    <w:rsid w:val="00D433E5"/>
    <w:rsid w:val="00D61C40"/>
    <w:rsid w:val="00D75829"/>
    <w:rsid w:val="00DA1474"/>
    <w:rsid w:val="00DC3CF6"/>
    <w:rsid w:val="00DC6168"/>
    <w:rsid w:val="00DD2025"/>
    <w:rsid w:val="00E33A18"/>
    <w:rsid w:val="00E52FE9"/>
    <w:rsid w:val="00E60D76"/>
    <w:rsid w:val="00E6774E"/>
    <w:rsid w:val="00E719BE"/>
    <w:rsid w:val="00E71F72"/>
    <w:rsid w:val="00E95599"/>
    <w:rsid w:val="00E97EA8"/>
    <w:rsid w:val="00EA63DC"/>
    <w:rsid w:val="00ED0B57"/>
    <w:rsid w:val="00ED290D"/>
    <w:rsid w:val="00F14B62"/>
    <w:rsid w:val="00F51C6A"/>
    <w:rsid w:val="00F71B5D"/>
    <w:rsid w:val="00F731C5"/>
    <w:rsid w:val="00F73BB3"/>
    <w:rsid w:val="00F80CB1"/>
    <w:rsid w:val="00F8573B"/>
    <w:rsid w:val="00F86EEA"/>
    <w:rsid w:val="00F87974"/>
    <w:rsid w:val="00F97E45"/>
    <w:rsid w:val="00FA5EE6"/>
    <w:rsid w:val="00FC6851"/>
    <w:rsid w:val="00FD559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02C29"/>
  <w15:chartTrackingRefBased/>
  <w15:docId w15:val="{F27DD7E2-A426-4354-9E50-797672B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102"/>
    <w:rPr>
      <w:color w:val="0000FF"/>
      <w:u w:val="single"/>
    </w:rPr>
  </w:style>
  <w:style w:type="paragraph" w:customStyle="1" w:styleId="pbu1bullet1">
    <w:name w:val="pbu1_bullet1"/>
    <w:basedOn w:val="Normal"/>
    <w:rsid w:val="00A51D69"/>
    <w:pPr>
      <w:spacing w:before="100" w:beforeAutospacing="1" w:after="100" w:afterAutospacing="1"/>
    </w:pPr>
    <w:rPr>
      <w:rFonts w:eastAsia="Times New Roman"/>
      <w:lang w:eastAsia="en-US"/>
    </w:rPr>
  </w:style>
  <w:style w:type="paragraph" w:styleId="NormalWeb">
    <w:name w:val="Normal (Web)"/>
    <w:basedOn w:val="Normal"/>
    <w:rsid w:val="00A51D69"/>
    <w:pPr>
      <w:spacing w:before="100" w:beforeAutospacing="1" w:after="100" w:afterAutospacing="1"/>
    </w:pPr>
    <w:rPr>
      <w:rFonts w:eastAsia="Times New Roman"/>
      <w:color w:val="000000"/>
      <w:lang w:eastAsia="en-US"/>
    </w:rPr>
  </w:style>
  <w:style w:type="character" w:styleId="Strong">
    <w:name w:val="Strong"/>
    <w:qFormat/>
    <w:rsid w:val="00C41987"/>
    <w:rPr>
      <w:b/>
      <w:bCs/>
    </w:rPr>
  </w:style>
  <w:style w:type="table" w:styleId="TableGrid">
    <w:name w:val="Table Grid"/>
    <w:basedOn w:val="TableNormal"/>
    <w:rsid w:val="00853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20D2E"/>
    <w:rPr>
      <w:sz w:val="16"/>
      <w:szCs w:val="16"/>
    </w:rPr>
  </w:style>
  <w:style w:type="paragraph" w:styleId="CommentText">
    <w:name w:val="annotation text"/>
    <w:basedOn w:val="Normal"/>
    <w:semiHidden/>
    <w:rsid w:val="00720D2E"/>
    <w:rPr>
      <w:sz w:val="20"/>
      <w:szCs w:val="20"/>
    </w:rPr>
  </w:style>
  <w:style w:type="paragraph" w:styleId="CommentSubject">
    <w:name w:val="annotation subject"/>
    <w:basedOn w:val="CommentText"/>
    <w:next w:val="CommentText"/>
    <w:semiHidden/>
    <w:rsid w:val="00720D2E"/>
    <w:rPr>
      <w:b/>
      <w:bCs/>
    </w:rPr>
  </w:style>
  <w:style w:type="paragraph" w:styleId="BalloonText">
    <w:name w:val="Balloon Text"/>
    <w:basedOn w:val="Normal"/>
    <w:semiHidden/>
    <w:rsid w:val="00720D2E"/>
    <w:rPr>
      <w:rFonts w:ascii="Tahoma" w:hAnsi="Tahoma" w:cs="Tahoma"/>
      <w:sz w:val="16"/>
      <w:szCs w:val="16"/>
    </w:rPr>
  </w:style>
  <w:style w:type="paragraph" w:styleId="ListParagraph">
    <w:name w:val="List Paragraph"/>
    <w:basedOn w:val="Normal"/>
    <w:uiPriority w:val="34"/>
    <w:qFormat/>
    <w:rsid w:val="00DD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86">
      <w:bodyDiv w:val="1"/>
      <w:marLeft w:val="0"/>
      <w:marRight w:val="0"/>
      <w:marTop w:val="0"/>
      <w:marBottom w:val="0"/>
      <w:divBdr>
        <w:top w:val="none" w:sz="0" w:space="0" w:color="auto"/>
        <w:left w:val="none" w:sz="0" w:space="0" w:color="auto"/>
        <w:bottom w:val="none" w:sz="0" w:space="0" w:color="auto"/>
        <w:right w:val="none" w:sz="0" w:space="0" w:color="auto"/>
      </w:divBdr>
    </w:div>
    <w:div w:id="310065534">
      <w:bodyDiv w:val="1"/>
      <w:marLeft w:val="0"/>
      <w:marRight w:val="0"/>
      <w:marTop w:val="0"/>
      <w:marBottom w:val="0"/>
      <w:divBdr>
        <w:top w:val="none" w:sz="0" w:space="0" w:color="auto"/>
        <w:left w:val="none" w:sz="0" w:space="0" w:color="auto"/>
        <w:bottom w:val="none" w:sz="0" w:space="0" w:color="auto"/>
        <w:right w:val="none" w:sz="0" w:space="0" w:color="auto"/>
      </w:divBdr>
      <w:divsChild>
        <w:div w:id="2092773059">
          <w:marLeft w:val="0"/>
          <w:marRight w:val="0"/>
          <w:marTop w:val="0"/>
          <w:marBottom w:val="0"/>
          <w:divBdr>
            <w:top w:val="none" w:sz="0" w:space="0" w:color="auto"/>
            <w:left w:val="none" w:sz="0" w:space="0" w:color="auto"/>
            <w:bottom w:val="none" w:sz="0" w:space="0" w:color="auto"/>
            <w:right w:val="none" w:sz="0" w:space="0" w:color="auto"/>
          </w:divBdr>
          <w:divsChild>
            <w:div w:id="1603880244">
              <w:marLeft w:val="0"/>
              <w:marRight w:val="0"/>
              <w:marTop w:val="0"/>
              <w:marBottom w:val="0"/>
              <w:divBdr>
                <w:top w:val="none" w:sz="0" w:space="0" w:color="auto"/>
                <w:left w:val="none" w:sz="0" w:space="0" w:color="auto"/>
                <w:bottom w:val="none" w:sz="0" w:space="0" w:color="auto"/>
                <w:right w:val="none" w:sz="0" w:space="0" w:color="auto"/>
              </w:divBdr>
              <w:divsChild>
                <w:div w:id="1392538424">
                  <w:marLeft w:val="2928"/>
                  <w:marRight w:val="0"/>
                  <w:marTop w:val="720"/>
                  <w:marBottom w:val="0"/>
                  <w:divBdr>
                    <w:top w:val="none" w:sz="0" w:space="0" w:color="auto"/>
                    <w:left w:val="none" w:sz="0" w:space="0" w:color="auto"/>
                    <w:bottom w:val="none" w:sz="0" w:space="0" w:color="auto"/>
                    <w:right w:val="none" w:sz="0" w:space="0" w:color="auto"/>
                  </w:divBdr>
                  <w:divsChild>
                    <w:div w:id="193104223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12603180">
      <w:bodyDiv w:val="1"/>
      <w:marLeft w:val="0"/>
      <w:marRight w:val="0"/>
      <w:marTop w:val="0"/>
      <w:marBottom w:val="0"/>
      <w:divBdr>
        <w:top w:val="none" w:sz="0" w:space="0" w:color="auto"/>
        <w:left w:val="none" w:sz="0" w:space="0" w:color="auto"/>
        <w:bottom w:val="none" w:sz="0" w:space="0" w:color="auto"/>
        <w:right w:val="none" w:sz="0" w:space="0" w:color="auto"/>
      </w:divBdr>
      <w:divsChild>
        <w:div w:id="1953314961">
          <w:marLeft w:val="0"/>
          <w:marRight w:val="0"/>
          <w:marTop w:val="0"/>
          <w:marBottom w:val="0"/>
          <w:divBdr>
            <w:top w:val="none" w:sz="0" w:space="0" w:color="auto"/>
            <w:left w:val="none" w:sz="0" w:space="0" w:color="auto"/>
            <w:bottom w:val="none" w:sz="0" w:space="0" w:color="auto"/>
            <w:right w:val="none" w:sz="0" w:space="0" w:color="auto"/>
          </w:divBdr>
          <w:divsChild>
            <w:div w:id="513417725">
              <w:marLeft w:val="0"/>
              <w:marRight w:val="0"/>
              <w:marTop w:val="0"/>
              <w:marBottom w:val="0"/>
              <w:divBdr>
                <w:top w:val="none" w:sz="0" w:space="0" w:color="auto"/>
                <w:left w:val="none" w:sz="0" w:space="0" w:color="auto"/>
                <w:bottom w:val="none" w:sz="0" w:space="0" w:color="auto"/>
                <w:right w:val="none" w:sz="0" w:space="0" w:color="auto"/>
              </w:divBdr>
              <w:divsChild>
                <w:div w:id="357584178">
                  <w:marLeft w:val="2928"/>
                  <w:marRight w:val="0"/>
                  <w:marTop w:val="720"/>
                  <w:marBottom w:val="0"/>
                  <w:divBdr>
                    <w:top w:val="none" w:sz="0" w:space="0" w:color="auto"/>
                    <w:left w:val="none" w:sz="0" w:space="0" w:color="auto"/>
                    <w:bottom w:val="none" w:sz="0" w:space="0" w:color="auto"/>
                    <w:right w:val="none" w:sz="0" w:space="0" w:color="auto"/>
                  </w:divBdr>
                  <w:divsChild>
                    <w:div w:id="561600198">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046566683">
      <w:bodyDiv w:val="1"/>
      <w:marLeft w:val="0"/>
      <w:marRight w:val="0"/>
      <w:marTop w:val="0"/>
      <w:marBottom w:val="0"/>
      <w:divBdr>
        <w:top w:val="none" w:sz="0" w:space="0" w:color="auto"/>
        <w:left w:val="none" w:sz="0" w:space="0" w:color="auto"/>
        <w:bottom w:val="none" w:sz="0" w:space="0" w:color="auto"/>
        <w:right w:val="none" w:sz="0" w:space="0" w:color="auto"/>
      </w:divBdr>
      <w:divsChild>
        <w:div w:id="1650162575">
          <w:marLeft w:val="533"/>
          <w:marRight w:val="0"/>
          <w:marTop w:val="135"/>
          <w:marBottom w:val="0"/>
          <w:divBdr>
            <w:top w:val="none" w:sz="0" w:space="0" w:color="auto"/>
            <w:left w:val="none" w:sz="0" w:space="0" w:color="auto"/>
            <w:bottom w:val="none" w:sz="0" w:space="0" w:color="auto"/>
            <w:right w:val="none" w:sz="0" w:space="0" w:color="auto"/>
          </w:divBdr>
        </w:div>
      </w:divsChild>
    </w:div>
    <w:div w:id="1542084360">
      <w:bodyDiv w:val="1"/>
      <w:marLeft w:val="0"/>
      <w:marRight w:val="0"/>
      <w:marTop w:val="0"/>
      <w:marBottom w:val="0"/>
      <w:divBdr>
        <w:top w:val="none" w:sz="0" w:space="0" w:color="auto"/>
        <w:left w:val="none" w:sz="0" w:space="0" w:color="auto"/>
        <w:bottom w:val="none" w:sz="0" w:space="0" w:color="auto"/>
        <w:right w:val="none" w:sz="0" w:space="0" w:color="auto"/>
      </w:divBdr>
    </w:div>
    <w:div w:id="1601525733">
      <w:bodyDiv w:val="1"/>
      <w:marLeft w:val="0"/>
      <w:marRight w:val="0"/>
      <w:marTop w:val="0"/>
      <w:marBottom w:val="0"/>
      <w:divBdr>
        <w:top w:val="none" w:sz="0" w:space="0" w:color="auto"/>
        <w:left w:val="none" w:sz="0" w:space="0" w:color="auto"/>
        <w:bottom w:val="none" w:sz="0" w:space="0" w:color="auto"/>
        <w:right w:val="none" w:sz="0" w:space="0" w:color="auto"/>
      </w:divBdr>
      <w:divsChild>
        <w:div w:id="737097117">
          <w:marLeft w:val="0"/>
          <w:marRight w:val="0"/>
          <w:marTop w:val="0"/>
          <w:marBottom w:val="0"/>
          <w:divBdr>
            <w:top w:val="none" w:sz="0" w:space="0" w:color="auto"/>
            <w:left w:val="none" w:sz="0" w:space="0" w:color="auto"/>
            <w:bottom w:val="none" w:sz="0" w:space="0" w:color="auto"/>
            <w:right w:val="none" w:sz="0" w:space="0" w:color="auto"/>
          </w:divBdr>
          <w:divsChild>
            <w:div w:id="559287931">
              <w:marLeft w:val="0"/>
              <w:marRight w:val="0"/>
              <w:marTop w:val="0"/>
              <w:marBottom w:val="0"/>
              <w:divBdr>
                <w:top w:val="none" w:sz="0" w:space="0" w:color="auto"/>
                <w:left w:val="none" w:sz="0" w:space="0" w:color="auto"/>
                <w:bottom w:val="none" w:sz="0" w:space="0" w:color="auto"/>
                <w:right w:val="none" w:sz="0" w:space="0" w:color="auto"/>
              </w:divBdr>
            </w:div>
            <w:div w:id="565652783">
              <w:marLeft w:val="0"/>
              <w:marRight w:val="0"/>
              <w:marTop w:val="0"/>
              <w:marBottom w:val="0"/>
              <w:divBdr>
                <w:top w:val="none" w:sz="0" w:space="0" w:color="auto"/>
                <w:left w:val="none" w:sz="0" w:space="0" w:color="auto"/>
                <w:bottom w:val="none" w:sz="0" w:space="0" w:color="auto"/>
                <w:right w:val="none" w:sz="0" w:space="0" w:color="auto"/>
              </w:divBdr>
            </w:div>
            <w:div w:id="818689573">
              <w:marLeft w:val="0"/>
              <w:marRight w:val="0"/>
              <w:marTop w:val="0"/>
              <w:marBottom w:val="0"/>
              <w:divBdr>
                <w:top w:val="none" w:sz="0" w:space="0" w:color="auto"/>
                <w:left w:val="none" w:sz="0" w:space="0" w:color="auto"/>
                <w:bottom w:val="none" w:sz="0" w:space="0" w:color="auto"/>
                <w:right w:val="none" w:sz="0" w:space="0" w:color="auto"/>
              </w:divBdr>
            </w:div>
            <w:div w:id="1030180589">
              <w:marLeft w:val="0"/>
              <w:marRight w:val="0"/>
              <w:marTop w:val="0"/>
              <w:marBottom w:val="0"/>
              <w:divBdr>
                <w:top w:val="none" w:sz="0" w:space="0" w:color="auto"/>
                <w:left w:val="none" w:sz="0" w:space="0" w:color="auto"/>
                <w:bottom w:val="none" w:sz="0" w:space="0" w:color="auto"/>
                <w:right w:val="none" w:sz="0" w:space="0" w:color="auto"/>
              </w:divBdr>
            </w:div>
            <w:div w:id="1781532645">
              <w:marLeft w:val="0"/>
              <w:marRight w:val="0"/>
              <w:marTop w:val="0"/>
              <w:marBottom w:val="0"/>
              <w:divBdr>
                <w:top w:val="none" w:sz="0" w:space="0" w:color="auto"/>
                <w:left w:val="none" w:sz="0" w:space="0" w:color="auto"/>
                <w:bottom w:val="none" w:sz="0" w:space="0" w:color="auto"/>
                <w:right w:val="none" w:sz="0" w:space="0" w:color="auto"/>
              </w:divBdr>
            </w:div>
            <w:div w:id="1842812890">
              <w:marLeft w:val="0"/>
              <w:marRight w:val="0"/>
              <w:marTop w:val="0"/>
              <w:marBottom w:val="0"/>
              <w:divBdr>
                <w:top w:val="none" w:sz="0" w:space="0" w:color="auto"/>
                <w:left w:val="none" w:sz="0" w:space="0" w:color="auto"/>
                <w:bottom w:val="none" w:sz="0" w:space="0" w:color="auto"/>
                <w:right w:val="none" w:sz="0" w:space="0" w:color="auto"/>
              </w:divBdr>
            </w:div>
            <w:div w:id="1913587557">
              <w:marLeft w:val="0"/>
              <w:marRight w:val="0"/>
              <w:marTop w:val="0"/>
              <w:marBottom w:val="0"/>
              <w:divBdr>
                <w:top w:val="none" w:sz="0" w:space="0" w:color="auto"/>
                <w:left w:val="none" w:sz="0" w:space="0" w:color="auto"/>
                <w:bottom w:val="none" w:sz="0" w:space="0" w:color="auto"/>
                <w:right w:val="none" w:sz="0" w:space="0" w:color="auto"/>
              </w:divBdr>
            </w:div>
            <w:div w:id="1922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2757">
      <w:bodyDiv w:val="1"/>
      <w:marLeft w:val="0"/>
      <w:marRight w:val="0"/>
      <w:marTop w:val="0"/>
      <w:marBottom w:val="0"/>
      <w:divBdr>
        <w:top w:val="none" w:sz="0" w:space="0" w:color="auto"/>
        <w:left w:val="none" w:sz="0" w:space="0" w:color="auto"/>
        <w:bottom w:val="none" w:sz="0" w:space="0" w:color="auto"/>
        <w:right w:val="none" w:sz="0" w:space="0" w:color="auto"/>
      </w:divBdr>
      <w:divsChild>
        <w:div w:id="43536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2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895</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CISC 250</vt:lpstr>
    </vt:vector>
  </TitlesOfParts>
  <Company>University of Delaware</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250</dc:title>
  <dc:subject/>
  <dc:creator>Jinwei Cao</dc:creator>
  <cp:keywords/>
  <cp:lastModifiedBy>Wang, Peiyu</cp:lastModifiedBy>
  <cp:revision>13</cp:revision>
  <cp:lastPrinted>2011-05-06T22:01:00Z</cp:lastPrinted>
  <dcterms:created xsi:type="dcterms:W3CDTF">2017-05-01T18:44:00Z</dcterms:created>
  <dcterms:modified xsi:type="dcterms:W3CDTF">2017-05-10T21:53:00Z</dcterms:modified>
</cp:coreProperties>
</file>