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5F1" w:rsidRPr="00631B5F" w:rsidRDefault="003965F1" w:rsidP="003965F1">
      <w:pPr>
        <w:spacing w:line="276" w:lineRule="auto"/>
        <w:jc w:val="center"/>
        <w:rPr>
          <w:rFonts w:ascii="Arial" w:hAnsi="Arial" w:cs="Arial"/>
        </w:rPr>
      </w:pPr>
      <w:r>
        <w:rPr>
          <w:rFonts w:ascii="Arial" w:hAnsi="Arial" w:cs="Arial"/>
        </w:rPr>
        <w:t>REP</w:t>
      </w:r>
      <w:r w:rsidRPr="00797D63">
        <w:rPr>
          <w:rFonts w:ascii="Arial" w:hAnsi="Arial" w:cs="Arial"/>
        </w:rPr>
        <w:t>Ú</w:t>
      </w:r>
      <w:r w:rsidRPr="00631B5F">
        <w:rPr>
          <w:rFonts w:ascii="Arial" w:hAnsi="Arial" w:cs="Arial"/>
        </w:rPr>
        <w:t>BLICA BOLIVARIANA DE VENEZUELA</w:t>
      </w:r>
    </w:p>
    <w:p w:rsidR="003965F1" w:rsidRPr="00631B5F" w:rsidRDefault="003965F1" w:rsidP="003965F1">
      <w:pPr>
        <w:spacing w:line="276" w:lineRule="auto"/>
        <w:jc w:val="center"/>
        <w:rPr>
          <w:rFonts w:ascii="Arial" w:hAnsi="Arial" w:cs="Arial"/>
        </w:rPr>
      </w:pPr>
      <w:r w:rsidRPr="00631B5F">
        <w:rPr>
          <w:rFonts w:ascii="Arial" w:hAnsi="Arial" w:cs="Arial"/>
        </w:rPr>
        <w:t>MINISTERIO DEL PODER POPULAR PARA LA EDUCACIÓN</w:t>
      </w:r>
      <w:r>
        <w:rPr>
          <w:rFonts w:ascii="Arial" w:hAnsi="Arial" w:cs="Arial"/>
        </w:rPr>
        <w:t xml:space="preserve"> UNIVERSITARIA</w:t>
      </w:r>
    </w:p>
    <w:p w:rsidR="003965F1" w:rsidRPr="008B5D75"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4810F8" w:rsidRDefault="004810F8" w:rsidP="00EB179A">
      <w:pPr>
        <w:spacing w:line="276" w:lineRule="auto"/>
        <w:jc w:val="center"/>
        <w:rPr>
          <w:rFonts w:ascii="Arial" w:hAnsi="Arial" w:cs="Arial"/>
        </w:rPr>
      </w:pPr>
    </w:p>
    <w:p w:rsidR="00660C86" w:rsidRDefault="00660C86" w:rsidP="00EB179A">
      <w:pPr>
        <w:spacing w:line="276" w:lineRule="auto"/>
        <w:jc w:val="center"/>
        <w:rPr>
          <w:rFonts w:ascii="Arial" w:hAnsi="Arial" w:cs="Arial"/>
        </w:rPr>
      </w:pPr>
    </w:p>
    <w:p w:rsidR="00660C86" w:rsidRPr="007E57D0" w:rsidRDefault="00660C86" w:rsidP="00EB179A">
      <w:pPr>
        <w:spacing w:line="276" w:lineRule="auto"/>
        <w:jc w:val="center"/>
        <w:rPr>
          <w:rFonts w:ascii="Arial" w:hAnsi="Arial" w:cs="Arial"/>
        </w:rPr>
      </w:pPr>
    </w:p>
    <w:p w:rsidR="004648A4" w:rsidRPr="007E57D0" w:rsidRDefault="004648A4" w:rsidP="00795285">
      <w:pPr>
        <w:spacing w:line="276" w:lineRule="auto"/>
        <w:rPr>
          <w:rFonts w:ascii="Arial" w:hAnsi="Arial" w:cs="Arial"/>
        </w:rPr>
      </w:pPr>
    </w:p>
    <w:p w:rsidR="00416495" w:rsidRPr="009D3754" w:rsidRDefault="00416495" w:rsidP="00EB179A">
      <w:pPr>
        <w:spacing w:line="276" w:lineRule="auto"/>
        <w:jc w:val="center"/>
        <w:rPr>
          <w:rFonts w:ascii="Arial" w:hAnsi="Arial" w:cs="Arial"/>
          <w:u w:val="single"/>
        </w:rPr>
      </w:pPr>
      <w:bookmarkStart w:id="0" w:name="_GoBack"/>
      <w:bookmarkEnd w:id="0"/>
    </w:p>
    <w:p w:rsidR="00416495" w:rsidRPr="007E57D0" w:rsidRDefault="00416495" w:rsidP="00EB179A">
      <w:pPr>
        <w:spacing w:line="276" w:lineRule="auto"/>
        <w:jc w:val="center"/>
        <w:rPr>
          <w:rFonts w:ascii="Arial" w:hAnsi="Arial" w:cs="Arial"/>
        </w:rPr>
      </w:pPr>
    </w:p>
    <w:p w:rsidR="00416495" w:rsidRPr="00BC440E" w:rsidRDefault="0047399F" w:rsidP="00EB179A">
      <w:pPr>
        <w:spacing w:line="276" w:lineRule="auto"/>
        <w:jc w:val="both"/>
        <w:rPr>
          <w:rFonts w:ascii="Arial" w:hAnsi="Arial" w:cs="Arial"/>
          <w:u w:val="single"/>
        </w:rPr>
      </w:pPr>
      <w:r w:rsidRPr="009D3754">
        <w:rPr>
          <w:rFonts w:ascii="Arial" w:hAnsi="Arial" w:cs="Arial"/>
        </w:rPr>
        <w:t xml:space="preserve"> </w:t>
      </w:r>
    </w:p>
    <w:p w:rsidR="00416495" w:rsidRPr="00D716E0" w:rsidRDefault="0047399F" w:rsidP="00EB179A">
      <w:pPr>
        <w:spacing w:line="276" w:lineRule="auto"/>
        <w:jc w:val="both"/>
        <w:rPr>
          <w:rFonts w:ascii="Arial" w:hAnsi="Arial" w:cs="Arial"/>
          <w:u w:val="single"/>
        </w:rPr>
      </w:pPr>
      <w:r w:rsidRPr="00D716E0">
        <w:rPr>
          <w:rFonts w:ascii="Arial" w:hAnsi="Arial" w:cs="Arial"/>
        </w:rPr>
        <w:t xml:space="preserve"> </w:t>
      </w:r>
    </w:p>
    <w:p w:rsidR="00CA0601" w:rsidRDefault="0047399F" w:rsidP="00EB179A">
      <w:pPr>
        <w:spacing w:line="276" w:lineRule="auto"/>
        <w:jc w:val="both"/>
        <w:rPr>
          <w:rFonts w:ascii="Arial" w:hAnsi="Arial" w:cs="Arial"/>
        </w:rPr>
      </w:pPr>
      <w:r w:rsidRPr="00D716E0">
        <w:rPr>
          <w:rFonts w:ascii="Arial" w:hAnsi="Arial" w:cs="Arial"/>
        </w:rPr>
        <w:t xml:space="preserve"> </w:t>
      </w:r>
    </w:p>
    <w:p w:rsidR="007D7F2F" w:rsidRPr="00D716E0" w:rsidRDefault="007D7F2F" w:rsidP="00EB179A">
      <w:pPr>
        <w:spacing w:line="276" w:lineRule="auto"/>
        <w:jc w:val="both"/>
        <w:rPr>
          <w:rFonts w:ascii="Arial" w:hAnsi="Arial" w:cs="Arial"/>
        </w:rPr>
      </w:pPr>
    </w:p>
    <w:p w:rsidR="00AB6F23" w:rsidRDefault="00AB6F23" w:rsidP="00177E73">
      <w:pPr>
        <w:spacing w:line="276" w:lineRule="auto"/>
        <w:rPr>
          <w:rFonts w:ascii="Arial" w:hAnsi="Arial" w:cs="Arial"/>
        </w:rPr>
      </w:pPr>
    </w:p>
    <w:p w:rsidR="00416495" w:rsidRPr="0038124E" w:rsidRDefault="00416495" w:rsidP="0024119E">
      <w:pPr>
        <w:spacing w:line="276" w:lineRule="auto"/>
        <w:rPr>
          <w:rFonts w:ascii="Arial" w:hAnsi="Arial" w:cs="Arial"/>
        </w:rPr>
      </w:pPr>
    </w:p>
    <w:p w:rsidR="00416495" w:rsidRPr="00AD5C32" w:rsidRDefault="00416495" w:rsidP="00AB6F23">
      <w:pPr>
        <w:spacing w:line="276" w:lineRule="auto"/>
        <w:jc w:val="center"/>
        <w:rPr>
          <w:rFonts w:ascii="Arial" w:hAnsi="Arial" w:cs="Arial"/>
          <w:sz w:val="35"/>
          <w:szCs w:val="35"/>
        </w:rPr>
      </w:pPr>
      <w:r>
        <w:rPr>
          <w:sz w:val="35"/>
        </w:rPr>
        <w:t>BLOCKCHAIN</w:t>
      </w:r>
    </w:p>
    <w:p w:rsidR="00416495" w:rsidRPr="0024119E" w:rsidRDefault="00416495" w:rsidP="00EB179A">
      <w:pPr>
        <w:spacing w:line="276" w:lineRule="auto"/>
        <w:rPr>
          <w:rFonts w:ascii="Arial" w:hAnsi="Arial" w:cs="Arial"/>
        </w:rPr>
      </w:pPr>
    </w:p>
    <w:p w:rsidR="00416495" w:rsidRPr="0024119E" w:rsidRDefault="00416495" w:rsidP="00EB179A">
      <w:pPr>
        <w:spacing w:line="276" w:lineRule="auto"/>
        <w:rPr>
          <w:rFonts w:ascii="Arial" w:hAnsi="Arial" w:cs="Arial"/>
        </w:rPr>
      </w:pPr>
    </w:p>
    <w:p w:rsidR="004523B7" w:rsidRPr="0024119E" w:rsidRDefault="004523B7" w:rsidP="00EB179A">
      <w:pPr>
        <w:spacing w:line="276" w:lineRule="auto"/>
        <w:rPr>
          <w:rFonts w:ascii="Arial" w:hAnsi="Arial" w:cs="Arial"/>
        </w:rPr>
      </w:pPr>
    </w:p>
    <w:p w:rsidR="00BC440E" w:rsidRPr="0024119E" w:rsidRDefault="00BC440E" w:rsidP="007D7F2F">
      <w:pPr>
        <w:spacing w:line="276" w:lineRule="auto"/>
        <w:rPr>
          <w:rFonts w:ascii="Arial" w:hAnsi="Arial" w:cs="Arial"/>
        </w:rPr>
      </w:pPr>
    </w:p>
    <w:p w:rsidR="00AB6F23" w:rsidRDefault="00AB6F23" w:rsidP="00EB179A">
      <w:pPr>
        <w:spacing w:line="276" w:lineRule="auto"/>
        <w:rPr>
          <w:rFonts w:ascii="Arial" w:hAnsi="Arial" w:cs="Arial"/>
        </w:rPr>
      </w:pPr>
    </w:p>
    <w:p w:rsidR="00AD5C32" w:rsidRDefault="00AD5C32" w:rsidP="00111F06">
      <w:pPr>
        <w:spacing w:line="276" w:lineRule="auto"/>
        <w:rPr>
          <w:rFonts w:ascii="Arial" w:hAnsi="Arial" w:cs="Arial"/>
        </w:rPr>
      </w:pPr>
    </w:p>
    <w:p w:rsidR="007D7F2F" w:rsidRDefault="007D7F2F" w:rsidP="00111F06">
      <w:pPr>
        <w:spacing w:line="276" w:lineRule="auto"/>
        <w:rPr>
          <w:rFonts w:ascii="Arial" w:hAnsi="Arial" w:cs="Arial"/>
        </w:rPr>
      </w:pPr>
    </w:p>
    <w:p w:rsidR="007D3292" w:rsidRDefault="007D3292" w:rsidP="00111F06">
      <w:pPr>
        <w:spacing w:line="276" w:lineRule="auto"/>
        <w:rPr>
          <w:rFonts w:ascii="Arial" w:hAnsi="Arial" w:cs="Arial"/>
        </w:rPr>
      </w:pPr>
    </w:p>
    <w:p w:rsidR="00090BC8" w:rsidRDefault="00090BC8" w:rsidP="00111F06">
      <w:pPr>
        <w:spacing w:line="276" w:lineRule="auto"/>
        <w:rPr>
          <w:rFonts w:ascii="Arial" w:hAnsi="Arial" w:cs="Arial"/>
        </w:rPr>
      </w:pPr>
    </w:p>
    <w:p w:rsidR="00160A3B" w:rsidRPr="0024119E" w:rsidRDefault="00160A3B" w:rsidP="00B870A5">
      <w:pPr>
        <w:tabs>
          <w:tab w:val="left" w:pos="3504"/>
        </w:tabs>
        <w:spacing w:line="276" w:lineRule="auto"/>
        <w:rPr>
          <w:rFonts w:ascii="Arial" w:hAnsi="Arial" w:cs="Arial"/>
        </w:rPr>
      </w:pPr>
    </w:p>
    <w:p w:rsidR="00416495" w:rsidRPr="0024119E" w:rsidRDefault="00B751CB" w:rsidP="00B751CB">
      <w:pPr>
        <w:tabs>
          <w:tab w:val="right" w:pos="9360"/>
        </w:tabs>
        <w:spacing w:line="276" w:lineRule="auto"/>
        <w:jc w:val="right"/>
        <w:rPr>
          <w:rFonts w:ascii="Arial" w:hAnsi="Arial" w:cs="Arial"/>
          <w:szCs w:val="36"/>
        </w:rPr>
      </w:pPr>
      <w:r/>
      <w:r>
        <w:rPr/>
      </w:r>
    </w:p>
    <w:p w:rsidR="00940939" w:rsidRPr="003965F1" w:rsidRDefault="0038124E" w:rsidP="000A51FC">
      <w:pPr>
        <w:tabs>
          <w:tab w:val="left" w:pos="492"/>
          <w:tab w:val="right" w:pos="9360"/>
        </w:tabs>
        <w:spacing w:line="276" w:lineRule="auto"/>
        <w:jc w:val="right"/>
        <w:rPr>
          <w:rFonts w:ascii="Arial" w:hAnsi="Arial" w:cs="Arial"/>
          <w:szCs w:val="36"/>
          <w:lang w:val="en-US"/>
        </w:rPr>
      </w:pPr>
      <w:r/>
      <w:r>
        <w:rPr/>
        <w:tab/>
      </w:r>
    </w:p>
    <w:p w:rsidR="00940939" w:rsidRPr="003965F1" w:rsidRDefault="0038124E" w:rsidP="000A51FC">
      <w:pPr>
        <w:tabs>
          <w:tab w:val="right" w:pos="9360"/>
        </w:tabs>
        <w:spacing w:line="276" w:lineRule="auto"/>
        <w:jc w:val="right"/>
        <w:rPr>
          <w:rFonts w:ascii="Arial" w:hAnsi="Arial" w:cs="Arial"/>
          <w:szCs w:val="36"/>
          <w:lang w:val="en-US"/>
        </w:rPr>
      </w:pPr>
      <w:r/>
      <w:r>
        <w:rPr/>
        <w:tab/>
      </w:r>
    </w:p>
    <w:p w:rsidR="00940939" w:rsidRPr="003965F1" w:rsidRDefault="00940939" w:rsidP="000A51FC">
      <w:pPr>
        <w:tabs>
          <w:tab w:val="right" w:pos="9360"/>
        </w:tabs>
        <w:spacing w:line="276" w:lineRule="auto"/>
        <w:jc w:val="right"/>
        <w:rPr>
          <w:rFonts w:ascii="Arial" w:hAnsi="Arial" w:cs="Arial"/>
          <w:szCs w:val="36"/>
          <w:lang w:val="en-US"/>
        </w:rPr>
      </w:pPr>
      <w:r/>
      <w:r>
        <w:rPr/>
      </w:r>
    </w:p>
    <w:p w:rsidR="00940939" w:rsidRPr="000A51FC" w:rsidRDefault="00FA2772" w:rsidP="000A51FC">
      <w:pPr>
        <w:tabs>
          <w:tab w:val="right" w:pos="9360"/>
        </w:tabs>
        <w:spacing w:line="276" w:lineRule="auto"/>
        <w:jc w:val="right"/>
        <w:rPr>
          <w:rFonts w:ascii="Arial" w:hAnsi="Arial" w:cs="Arial"/>
          <w:szCs w:val="36"/>
        </w:rPr>
      </w:pPr>
      <w:r/>
      <w:r>
        <w:rPr/>
        <w:tab/>
      </w:r>
    </w:p>
    <w:p w:rsidR="00940939" w:rsidRPr="00A60AED" w:rsidRDefault="00FA2772" w:rsidP="000A51FC">
      <w:pPr>
        <w:tabs>
          <w:tab w:val="right" w:pos="9360"/>
        </w:tabs>
        <w:spacing w:line="276" w:lineRule="auto"/>
        <w:jc w:val="right"/>
        <w:rPr>
          <w:rFonts w:ascii="Arial" w:hAnsi="Arial" w:cs="Arial"/>
          <w:szCs w:val="36"/>
        </w:rPr>
      </w:pPr>
      <w:r/>
      <w:r>
        <w:rPr/>
        <w:tab/>
      </w:r>
    </w:p>
    <w:p w:rsidR="00940939" w:rsidRPr="00A60AED" w:rsidRDefault="00A60AED" w:rsidP="000A51FC">
      <w:pPr>
        <w:tabs>
          <w:tab w:val="right" w:pos="9360"/>
        </w:tabs>
        <w:spacing w:line="276" w:lineRule="auto"/>
        <w:jc w:val="right"/>
        <w:rPr>
          <w:rFonts w:ascii="Arial" w:hAnsi="Arial" w:cs="Arial"/>
        </w:rPr>
      </w:pPr>
      <w:r/>
      <w:r>
        <w:rPr/>
        <w:tab/>
      </w:r>
    </w:p>
    <w:p w:rsidR="00940939" w:rsidRPr="00A60AED" w:rsidRDefault="0038124E" w:rsidP="000A51FC">
      <w:pPr>
        <w:tabs>
          <w:tab w:val="right" w:pos="9360"/>
        </w:tabs>
        <w:spacing w:line="276" w:lineRule="auto"/>
        <w:jc w:val="right"/>
        <w:rPr>
          <w:rFonts w:ascii="Arial" w:hAnsi="Arial" w:cs="Arial"/>
          <w:szCs w:val="36"/>
        </w:rPr>
      </w:pPr>
      <w:r/>
      <w:r>
        <w:rPr/>
        <w:tab/>
      </w:r>
    </w:p>
    <w:p w:rsidR="00940939" w:rsidRPr="00AE3493" w:rsidRDefault="00A60AED" w:rsidP="000A51FC">
      <w:pPr>
        <w:tabs>
          <w:tab w:val="right" w:pos="9360"/>
        </w:tabs>
        <w:spacing w:line="276" w:lineRule="auto"/>
        <w:jc w:val="right"/>
        <w:rPr>
          <w:rFonts w:ascii="Arial" w:hAnsi="Arial" w:cs="Arial"/>
          <w:szCs w:val="36"/>
        </w:rPr>
      </w:pPr>
      <w:r/>
      <w:r>
        <w:rPr/>
        <w:tab/>
      </w:r>
    </w:p>
    <w:p w:rsidR="00B870A5" w:rsidRPr="00A24ED9" w:rsidRDefault="004523B7" w:rsidP="007D7F2F">
      <w:pPr>
        <w:tabs>
          <w:tab w:val="center" w:pos="4680"/>
        </w:tabs>
        <w:spacing w:line="276" w:lineRule="auto"/>
        <w:jc w:val="center"/>
        <w:rPr>
          <w:rFonts w:ascii="Arial" w:hAnsi="Arial" w:cs="Arial"/>
        </w:rPr>
      </w:pPr>
      <w:r/>
    </w:p>
    <w:p/>
    <w:p/>
    <w:p>
      <w:pPr>
        <w:spacing w:line="420" w:lineRule="exact"/>
        <w:jc w:val="center"/>
      </w:pPr>
      <w:r>
        <w:t>Introducción</w:t>
      </w:r>
    </w:p>
    <w:p>
      <w:pPr>
        <w:jc w:val="center"/>
      </w:pPr>
    </w:p>
    <w:p>
      <w:pPr>
        <w:spacing w:line="420" w:lineRule="exact"/>
        <w:jc w:val="both"/>
      </w:pPr>
      <w:r>
        <w:t xml:space="preserve">Este trabajo analiza la tecnología Blockchain explorando sus diferentes facetas, desde los mercados de criptomonedas y la minería hasta la arquitectura P2P y sus proyecciones futuras. Se examinará la volatilidad inherente a los mercados de criptomonedas, la influencia de factores como la oferta y la demanda, las noticias del mercado y la regulación gubernamental, así como la diversificación de los mercados de intercambio, incluyendo exchanges centralizados y descentralizados (DEX).  </w:t>
      </w:r>
    </w:p>
    <w:p>
      <w:pPr>
        <w:spacing w:line="420" w:lineRule="exact"/>
        <w:jc w:val="both"/>
      </w:pPr>
    </w:p>
    <w:p>
      <w:pPr>
        <w:spacing w:line="420" w:lineRule="exact"/>
        <w:jc w:val="both"/>
      </w:pPr>
      <w:r>
        <w:t>A continuación, se profundizará en el proceso de minería en Blockchain, su importancia para la seguridad y la integridad de la red, el consumo energético asociado y las alternativas de minería más eficientes y sostenibles. Se describirá la arquitectura peer-to-peer (P2P) de Blockchain, su papel en la descentralización, la transparencia y la resistencia a la censura, así como la importancia de los protocolos de red para la comunicación entre nodos y el mantenimiento de la consistencia de la cadena de bloques.</w:t>
      </w:r>
    </w:p>
    <w:p>
      <w:pPr>
        <w:spacing w:line="420" w:lineRule="exact"/>
        <w:jc w:val="both"/>
      </w:pPr>
    </w:p>
    <w:p>
      <w:pPr>
        <w:spacing w:line="420" w:lineRule="exact"/>
        <w:jc w:val="both"/>
      </w:pPr>
      <w:r>
        <w:t>Finalmente, se explorará el futuro de la tecnología Blockchain, incluyendo su potencial de transformación en diversas industrias, el desarrollo de protocolos de escalabilidad e interoperabilidad, la influencia de la regulación gubernamental y el impacto de la computación cuántica en la seguridad de la tecnología.  Se destacará la creciente integración de Blockchain en aplicaciones como la gestión de la cadena de suministro, la identidad digital, el voto electrónico y la financiación descentralizada (DeFi), anticipando su impacto significativo en la interacción con la tecnología y la economía.</w:t>
      </w:r>
    </w:p>
    <w:p>
      <w:r>
        <w:br w:type="page"/>
      </w:r>
    </w:p>
    <w:p>
      <w:pPr>
        <w:spacing w:line="420" w:lineRule="exact"/>
        <w:jc w:val="center"/>
      </w:pPr>
      <w:r>
        <w:t>Blockchain</w:t>
      </w:r>
    </w:p>
    <w:p>
      <w:pPr>
        <w:jc w:val="center"/>
      </w:pPr>
    </w:p>
    <w:p>
      <w:pPr>
        <w:spacing w:line="420" w:lineRule="exact"/>
        <w:jc w:val="both"/>
      </w:pPr>
      <w:r>
        <w:t>Mercados</w:t>
      </w:r>
    </w:p>
    <w:p>
      <w:pPr>
        <w:spacing w:line="420" w:lineRule="exact"/>
        <w:jc w:val="both"/>
      </w:pPr>
    </w:p>
    <w:p>
      <w:pPr>
        <w:spacing w:line="420" w:lineRule="exact"/>
        <w:jc w:val="both"/>
      </w:pPr>
      <w:r>
        <w:t>El mercado de las criptomonedas es un ecosistema dinámico y volátil, donde el precio de las criptomonedas, incluyendo las que utilizan tecnología blockchain, puede fluctuar significativamente en cortos periodos de tiempo.  La demanda y la oferta, así como las noticias del mercado y la regulación gubernamental, son factores clave que influyen en estas fluctuaciones.  Existen diversos mercados de intercambio de criptomonedas (exchanges) donde los usuarios pueden comprar, vender e intercambiar criptomonedas.  Estos exchanges varían en tamaño, liquidez, seguridad y comisiones.  Algunos exchanges se centran en pares de criptomonedas (cripto-cripto), mientras que otros ofrecen pares de criptomonedas con monedas fiduciarias (cripto-fiat).  Además de los exchanges centralizados, existen también mercados descentralizados (DEX) que operan sin intermediarios, utilizando la tecnología blockchain para facilitar las transacciones.  La regulación de los mercados de criptomonedas es un tema en constante evolución, con diferentes países adoptando diferentes enfoques.  La falta de una regulación global unificada crea incertidumbre y puede afectar la estabilidad del mercado.</w:t>
      </w:r>
    </w:p>
    <w:p>
      <w:pPr>
        <w:spacing w:line="420" w:lineRule="exact"/>
        <w:jc w:val="both"/>
      </w:pPr>
    </w:p>
    <w:p>
      <w:pPr>
        <w:spacing w:line="420" w:lineRule="exact"/>
        <w:jc w:val="both"/>
      </w:pPr>
      <w:r>
        <w:t>Minería</w:t>
      </w:r>
    </w:p>
    <w:p>
      <w:pPr>
        <w:spacing w:line="420" w:lineRule="exact"/>
        <w:jc w:val="both"/>
      </w:pPr>
    </w:p>
    <w:p>
      <w:pPr>
        <w:spacing w:line="420" w:lineRule="exact"/>
        <w:jc w:val="both"/>
      </w:pPr>
      <w:r>
        <w:t>La minería en blockchain es el proceso mediante el cual se verifican y añaden nuevas transacciones a la cadena de bloques.  Este proceso, que requiere un gran poder de cómputo, asegura la seguridad y la integridad de la red.  Los mineros utilizan algoritmos criptográficos complejos para resolver problemas matemáticos, y el primero en resolver el problema recibe una recompensa en forma de criptomonedas.  La minería es esencial para la descentralización de la red, ya que evita que una sola entidad controle la cadena de bloques.  Sin embargo, la minería también tiene un impacto ambiental significativo, debido al alto consumo de energía.  Existen diferentes métodos de minería, incluyendo la minería en la nube, que permite a los usuarios participar en la minería sin necesidad de hardware especializado.  La rentabilidad de la minería depende de varios factores, incluyendo el precio de la criptomoneda, la dificultad del algoritmo de minería, y el costo de la energía.  La creciente preocupación por el impacto ambiental de la minería ha llevado al desarrollo de métodos de minería más eficientes y sostenibles.</w:t>
      </w:r>
    </w:p>
    <w:p>
      <w:pPr>
        <w:spacing w:line="420" w:lineRule="exact"/>
        <w:jc w:val="both"/>
      </w:pPr>
    </w:p>
    <w:p>
      <w:pPr>
        <w:spacing w:line="420" w:lineRule="exact"/>
        <w:jc w:val="both"/>
      </w:pPr>
      <w:r>
        <w:t>P2P</w:t>
      </w:r>
    </w:p>
    <w:p>
      <w:pPr>
        <w:spacing w:line="420" w:lineRule="exact"/>
        <w:jc w:val="both"/>
      </w:pPr>
    </w:p>
    <w:p>
      <w:pPr>
        <w:spacing w:line="420" w:lineRule="exact"/>
        <w:jc w:val="both"/>
      </w:pPr>
      <w:r>
        <w:t>La tecnología blockchain se basa en la arquitectura peer-to-peer (P2P), donde cada nodo en la red tiene una copia completa o parcial de la cadena de bloques.  Esta estructura descentralizada permite la transparencia y la resistencia a la censura.  Las transacciones se verifican y se validan por los nodos de la red, en lugar de depender de una autoridad central.  La naturaleza P2P de blockchain permite una mayor seguridad, ya que no hay un único punto de fallo.  Si un nodo falla, la red continúa funcionando.  La comunicación P2P se realiza a través de protocolos de red, que permiten a los nodos intercambiar información y mantener la consistencia de la cadena de bloques.  La arquitectura P2P también facilita la participación de un gran número de nodos en la red, lo que aumenta la seguridad y la resistencia a ataques.  El desarrollo de protocolos P2P más eficientes y escalables es crucial para el crecimiento y la adopción de la tecnología blockchain.</w:t>
      </w:r>
    </w:p>
    <w:p>
      <w:pPr>
        <w:spacing w:line="420" w:lineRule="exact"/>
        <w:jc w:val="both"/>
      </w:pPr>
    </w:p>
    <w:p>
      <w:pPr>
        <w:spacing w:line="420" w:lineRule="exact"/>
        <w:jc w:val="both"/>
      </w:pPr>
      <w:r>
        <w:t>Futuro</w:t>
      </w:r>
    </w:p>
    <w:p>
      <w:pPr>
        <w:spacing w:line="420" w:lineRule="exact"/>
        <w:jc w:val="both"/>
      </w:pPr>
    </w:p>
    <w:p>
      <w:pPr>
        <w:spacing w:line="420" w:lineRule="exact"/>
        <w:jc w:val="both"/>
      </w:pPr>
      <w:r>
        <w:t>El futuro de la tecnología blockchain es prometedor, con un potencial de transformación en diversas industrias.  Se espera que la tecnología blockchain se integre en una variedad de aplicaciones, incluyendo la gestión de la cadena de suministro, la identidad digital, el voto electrónico, la gestión de registros médicos y la financiación descentralizada (DeFi).  El desarrollo de protocolos de escalabilidad, como el sharding, es crucial para mejorar el rendimiento y la eficiencia de la tecnología blockchain.  La interoperabilidad entre diferentes cadenas de bloques también es un área de investigación activa, con el objetivo de conectar diferentes redes blockchain y permitir la transferencia de datos y activos entre ellas.  La regulación gubernamental del sector blockchain y las criptomonedas también jugará un papel importante en el futuro de la tecnología, influyendo en su adopción y desarrollo.  La investigación en áreas como la computación cuántica y su impacto en la seguridad de la tecnología blockchain es un tema importante a considerar.  A medida que la tecnología blockchain madure y se integre en más aplicaciones, se espera que tenga un impacto significativo en la forma en que interactuamos con la tecnología y la economía.</w:t>
      </w:r>
    </w:p>
    <w:p>
      <w:r>
        <w:br w:type="page"/>
      </w:r>
    </w:p>
    <w:p>
      <w:pPr>
        <w:spacing w:line="420" w:lineRule="exact"/>
        <w:jc w:val="center"/>
      </w:pPr>
      <w:r>
        <w:t>Conclusión</w:t>
      </w:r>
    </w:p>
    <w:p>
      <w:pPr>
        <w:jc w:val="center"/>
      </w:pPr>
    </w:p>
    <w:p>
      <w:pPr>
        <w:spacing w:line="420" w:lineRule="exact"/>
        <w:jc w:val="both"/>
      </w:pPr>
      <w:r>
        <w:t>En resumen, la tecnología blockchain, con sus características de descentralización, transparencia y seguridad, presenta un futuro prometedor con un potencial transformador en diversas industrias.  Su arquitectura P2P, que elimina la necesidad de intermediarios,  aumenta la seguridad y la resistencia a la censura, aunque la minería, esencial para su funcionamiento, plantea desafíos ambientales que requieren soluciones innovadoras y sostenibles.  El mercado de criptomonedas, estrechamente ligado a blockchain,  es volátil y requiere una regulación global eficiente para asegurar su estabilidad.  El desarrollo de protocolos de escalabilidad e interoperabilidad, junto con la adaptación a la regulación gubernamental y la mitigación de los riesgos de la computación cuántica, serán cruciales para la adopción masiva y el éxito a largo plazo de esta tecnología.  En definitiva, blockchain representa una innovación disruptiva con el potencial de revolucionar la forma en que se gestionan los datos, las transacciones y la confianza en el mundo digital.</w:t>
      </w:r>
    </w:p>
    <w:sectPr w:rsidR="00B870A5" w:rsidRPr="00A24ED9" w:rsidSect="004164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9B2" w:rsidRDefault="008739B2" w:rsidP="0024119E">
      <w:r>
        <w:separator/>
      </w:r>
    </w:p>
  </w:endnote>
  <w:endnote w:type="continuationSeparator" w:id="0">
    <w:p w:rsidR="008739B2" w:rsidRDefault="008739B2" w:rsidP="0024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9B2" w:rsidRDefault="008739B2" w:rsidP="0024119E">
      <w:r>
        <w:separator/>
      </w:r>
    </w:p>
  </w:footnote>
  <w:footnote w:type="continuationSeparator" w:id="0">
    <w:p w:rsidR="008739B2" w:rsidRDefault="008739B2" w:rsidP="002411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495"/>
    <w:rsid w:val="00005828"/>
    <w:rsid w:val="00090BC8"/>
    <w:rsid w:val="000A51FC"/>
    <w:rsid w:val="000B23BB"/>
    <w:rsid w:val="000D29FB"/>
    <w:rsid w:val="00111F06"/>
    <w:rsid w:val="00156A52"/>
    <w:rsid w:val="00160A3B"/>
    <w:rsid w:val="0016155E"/>
    <w:rsid w:val="0016158C"/>
    <w:rsid w:val="00177E73"/>
    <w:rsid w:val="001D3B9C"/>
    <w:rsid w:val="002257C9"/>
    <w:rsid w:val="0024119E"/>
    <w:rsid w:val="002B102B"/>
    <w:rsid w:val="00341441"/>
    <w:rsid w:val="003529DC"/>
    <w:rsid w:val="003637C7"/>
    <w:rsid w:val="0038124E"/>
    <w:rsid w:val="003965F1"/>
    <w:rsid w:val="003A3A81"/>
    <w:rsid w:val="003E28D3"/>
    <w:rsid w:val="003E2C51"/>
    <w:rsid w:val="00416495"/>
    <w:rsid w:val="00427208"/>
    <w:rsid w:val="00433BD1"/>
    <w:rsid w:val="004420D9"/>
    <w:rsid w:val="004523B7"/>
    <w:rsid w:val="004648A4"/>
    <w:rsid w:val="0047399F"/>
    <w:rsid w:val="00476178"/>
    <w:rsid w:val="004810F8"/>
    <w:rsid w:val="00484043"/>
    <w:rsid w:val="0048603D"/>
    <w:rsid w:val="004B4810"/>
    <w:rsid w:val="004B7352"/>
    <w:rsid w:val="00505C4C"/>
    <w:rsid w:val="005174A0"/>
    <w:rsid w:val="0052204D"/>
    <w:rsid w:val="005228F0"/>
    <w:rsid w:val="00527B17"/>
    <w:rsid w:val="00581FAB"/>
    <w:rsid w:val="005C5F64"/>
    <w:rsid w:val="00623674"/>
    <w:rsid w:val="00624832"/>
    <w:rsid w:val="00625712"/>
    <w:rsid w:val="00627EE5"/>
    <w:rsid w:val="00636980"/>
    <w:rsid w:val="00657DA2"/>
    <w:rsid w:val="00660C86"/>
    <w:rsid w:val="006831B3"/>
    <w:rsid w:val="006D7A70"/>
    <w:rsid w:val="00706214"/>
    <w:rsid w:val="007147D0"/>
    <w:rsid w:val="00715FA5"/>
    <w:rsid w:val="00736D7B"/>
    <w:rsid w:val="0074320C"/>
    <w:rsid w:val="00770E73"/>
    <w:rsid w:val="00795285"/>
    <w:rsid w:val="00796B09"/>
    <w:rsid w:val="00797D63"/>
    <w:rsid w:val="007D3292"/>
    <w:rsid w:val="007D7F2F"/>
    <w:rsid w:val="007E57D0"/>
    <w:rsid w:val="007E7F81"/>
    <w:rsid w:val="007F432E"/>
    <w:rsid w:val="007F5830"/>
    <w:rsid w:val="00850D8E"/>
    <w:rsid w:val="008574FC"/>
    <w:rsid w:val="008739B2"/>
    <w:rsid w:val="008A054E"/>
    <w:rsid w:val="008B5D75"/>
    <w:rsid w:val="008D0D41"/>
    <w:rsid w:val="008D710B"/>
    <w:rsid w:val="00932A48"/>
    <w:rsid w:val="00940939"/>
    <w:rsid w:val="00994409"/>
    <w:rsid w:val="009D3754"/>
    <w:rsid w:val="00A07509"/>
    <w:rsid w:val="00A24ED9"/>
    <w:rsid w:val="00A30141"/>
    <w:rsid w:val="00A60AED"/>
    <w:rsid w:val="00A77C04"/>
    <w:rsid w:val="00A84A83"/>
    <w:rsid w:val="00AB6F23"/>
    <w:rsid w:val="00AD5C32"/>
    <w:rsid w:val="00AE3493"/>
    <w:rsid w:val="00B41657"/>
    <w:rsid w:val="00B66569"/>
    <w:rsid w:val="00B751CB"/>
    <w:rsid w:val="00B85589"/>
    <w:rsid w:val="00B870A5"/>
    <w:rsid w:val="00BA522A"/>
    <w:rsid w:val="00BC440E"/>
    <w:rsid w:val="00C064FE"/>
    <w:rsid w:val="00C478E3"/>
    <w:rsid w:val="00C543C9"/>
    <w:rsid w:val="00C55D74"/>
    <w:rsid w:val="00CA0601"/>
    <w:rsid w:val="00CA522E"/>
    <w:rsid w:val="00CA5488"/>
    <w:rsid w:val="00CC207F"/>
    <w:rsid w:val="00CF533B"/>
    <w:rsid w:val="00D2676C"/>
    <w:rsid w:val="00D277C4"/>
    <w:rsid w:val="00D34786"/>
    <w:rsid w:val="00D607E0"/>
    <w:rsid w:val="00D716E0"/>
    <w:rsid w:val="00D82BF3"/>
    <w:rsid w:val="00D83B74"/>
    <w:rsid w:val="00DB097F"/>
    <w:rsid w:val="00E00FD6"/>
    <w:rsid w:val="00E25711"/>
    <w:rsid w:val="00E334AE"/>
    <w:rsid w:val="00E371B5"/>
    <w:rsid w:val="00E64B31"/>
    <w:rsid w:val="00EA3C23"/>
    <w:rsid w:val="00EB179A"/>
    <w:rsid w:val="00EB3E08"/>
    <w:rsid w:val="00ED68E2"/>
    <w:rsid w:val="00F12EFB"/>
    <w:rsid w:val="00F37A34"/>
    <w:rsid w:val="00F453EF"/>
    <w:rsid w:val="00F52F66"/>
    <w:rsid w:val="00F6649A"/>
    <w:rsid w:val="00F67F29"/>
    <w:rsid w:val="00F84B2B"/>
    <w:rsid w:val="00F97E7B"/>
    <w:rsid w:val="00FA2772"/>
    <w:rsid w:val="00FC3DB4"/>
    <w:rsid w:val="00FC5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A6D131-2ACF-4860-8226-F6EE1275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495"/>
    <w:pPr>
      <w:suppressAutoHyphens/>
      <w:spacing w:after="0" w:line="240" w:lineRule="auto"/>
    </w:pPr>
    <w:rPr>
      <w:rFonts w:ascii="Arial" w:eastAsia="Times New Roman" w:hAnsi="Arial" w:cs="Times New Roman"/>
      <w:noProof/>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4119E"/>
    <w:pPr>
      <w:tabs>
        <w:tab w:val="center" w:pos="4680"/>
        <w:tab w:val="right" w:pos="9360"/>
      </w:tabs>
    </w:pPr>
  </w:style>
  <w:style w:type="character" w:customStyle="1" w:styleId="EncabezadoCar">
    <w:name w:val="Encabezado Car"/>
    <w:basedOn w:val="Fuentedeprrafopredeter"/>
    <w:link w:val="Encabezado"/>
    <w:uiPriority w:val="99"/>
    <w:rsid w:val="0024119E"/>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24119E"/>
    <w:pPr>
      <w:tabs>
        <w:tab w:val="center" w:pos="4680"/>
        <w:tab w:val="right" w:pos="9360"/>
      </w:tabs>
    </w:pPr>
  </w:style>
  <w:style w:type="character" w:customStyle="1" w:styleId="PiedepginaCar">
    <w:name w:val="Pie de página Car"/>
    <w:basedOn w:val="Fuentedeprrafopredeter"/>
    <w:link w:val="Piedepgina"/>
    <w:uiPriority w:val="99"/>
    <w:rsid w:val="0024119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1</Pages>
  <Words>55</Words>
  <Characters>305</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olimorovane07@gmail.com</dc:creator>
  <cp:keywords/>
  <dc:description/>
  <cp:lastModifiedBy>olimorovane07@gmail.com</cp:lastModifiedBy>
  <cp:revision>88</cp:revision>
  <dcterms:created xsi:type="dcterms:W3CDTF">2024-04-11T03:14:00Z</dcterms:created>
  <dcterms:modified xsi:type="dcterms:W3CDTF">2024-10-05T00:14:00Z</dcterms:modified>
</cp:coreProperties>
</file>