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3965F1" w:rsidRPr="00631B5F" w:rsidRDefault="003965F1" w:rsidP="003965F1">
      <w:pPr>
        <w:spacing w:line="276" w:lineRule="auto"/>
        <w:jc w:val="center"/>
        <w:rPr>
          <w:rFonts w:ascii="Arial" w:hAnsi="Arial" w:cs="Arial"/>
        </w:rPr>
      </w:pPr>
      <w:r>
        <w:rPr>
          <w:rFonts w:ascii="Arial" w:hAnsi="Arial" w:cs="Arial"/>
        </w:rPr>
        <w:t>REP</w:t>
      </w:r>
      <w:r w:rsidRPr="00797D63">
        <w:rPr>
          <w:rFonts w:ascii="Arial" w:hAnsi="Arial" w:cs="Arial"/>
        </w:rPr>
        <w:t>Ú</w:t>
      </w:r>
      <w:r w:rsidRPr="00631B5F">
        <w:rPr>
          <w:rFonts w:ascii="Arial" w:hAnsi="Arial" w:cs="Arial"/>
        </w:rPr>
        <w:t>BLICA BOLIVARIANA DE VENEZUELA</w:t>
      </w:r>
    </w:p>
    <w:p w:rsidR="003965F1" w:rsidRPr="00631B5F" w:rsidRDefault="003965F1" w:rsidP="003965F1">
      <w:pPr>
        <w:spacing w:line="276" w:lineRule="auto"/>
        <w:jc w:val="center"/>
        <w:rPr>
          <w:rFonts w:ascii="Arial" w:hAnsi="Arial" w:cs="Arial"/>
        </w:rPr>
      </w:pPr>
      <w:r w:rsidRPr="00631B5F">
        <w:rPr>
          <w:rFonts w:ascii="Arial" w:hAnsi="Arial" w:cs="Arial"/>
        </w:rPr>
        <w:t>MINISTERIO DEL PODER POPULAR PARA LA EDUCACIÓN</w:t>
      </w:r>
      <w:r>
        <w:rPr>
          <w:rFonts w:ascii="Arial" w:hAnsi="Arial" w:cs="Arial"/>
        </w:rPr>
        <w:t xml:space="preserve"> UNIVERSITARIA</w:t>
      </w:r>
    </w:p>
    <w:p w:rsidR="003965F1" w:rsidRPr="008B5D75" w:rsidRDefault="003965F1" w:rsidP="003965F1">
      <w:pPr>
        <w:spacing w:line="276" w:lineRule="auto"/>
        <w:jc w:val="center"/>
        <w:rPr>
          <w:rFonts w:ascii="Arial" w:hAnsi="Arial" w:cs="Arial"/>
        </w:rPr>
      </w:pPr>
      <w:r/>
    </w:p>
    <w:p w:rsidR="003965F1" w:rsidRDefault="003965F1" w:rsidP="003965F1">
      <w:pPr>
        <w:spacing w:line="276" w:lineRule="auto"/>
        <w:jc w:val="center"/>
        <w:rPr>
          <w:rFonts w:ascii="Arial" w:hAnsi="Arial" w:cs="Arial"/>
        </w:rPr>
      </w:pPr>
      <w:r/>
    </w:p>
    <w:p w:rsidR="003965F1" w:rsidRDefault="003965F1" w:rsidP="003965F1">
      <w:pPr>
        <w:spacing w:line="276" w:lineRule="auto"/>
        <w:jc w:val="center"/>
        <w:rPr>
          <w:rFonts w:ascii="Arial" w:hAnsi="Arial" w:cs="Arial"/>
        </w:rPr>
      </w:pPr>
      <w:r/>
    </w:p>
    <w:p w:rsidR="004810F8" w:rsidRDefault="004810F8" w:rsidP="00EB179A">
      <w:pPr>
        <w:spacing w:line="276" w:lineRule="auto"/>
        <w:jc w:val="center"/>
        <w:rPr>
          <w:rFonts w:ascii="Arial" w:hAnsi="Arial" w:cs="Arial"/>
        </w:rPr>
      </w:pPr>
    </w:p>
    <w:p w:rsidR="00660C86" w:rsidRDefault="00660C86" w:rsidP="00EB179A">
      <w:pPr>
        <w:spacing w:line="276" w:lineRule="auto"/>
        <w:jc w:val="center"/>
        <w:rPr>
          <w:rFonts w:ascii="Arial" w:hAnsi="Arial" w:cs="Arial"/>
        </w:rPr>
      </w:pPr>
    </w:p>
    <w:p w:rsidR="00660C86" w:rsidRPr="007E57D0" w:rsidRDefault="00660C86" w:rsidP="00EB179A">
      <w:pPr>
        <w:spacing w:line="276" w:lineRule="auto"/>
        <w:jc w:val="center"/>
        <w:rPr>
          <w:rFonts w:ascii="Arial" w:hAnsi="Arial" w:cs="Arial"/>
        </w:rPr>
      </w:pPr>
    </w:p>
    <w:p w:rsidR="004648A4" w:rsidRPr="007E57D0" w:rsidRDefault="004648A4" w:rsidP="00795285">
      <w:pPr>
        <w:spacing w:line="276" w:lineRule="auto"/>
        <w:rPr>
          <w:rFonts w:ascii="Arial" w:hAnsi="Arial" w:cs="Arial"/>
        </w:rPr>
      </w:pPr>
    </w:p>
    <w:p w:rsidR="00416495" w:rsidRPr="009D3754" w:rsidRDefault="00416495" w:rsidP="00EB179A">
      <w:pPr>
        <w:spacing w:line="276" w:lineRule="auto"/>
        <w:jc w:val="center"/>
        <w:rPr>
          <w:rFonts w:ascii="Arial" w:hAnsi="Arial" w:cs="Arial"/>
          <w:u w:val="single"/>
        </w:rPr>
      </w:pPr>
      <w:bookmarkStart w:id="0" w:name="_GoBack"/>
      <w:bookmarkEnd w:id="0"/>
    </w:p>
    <w:p w:rsidR="00416495" w:rsidRPr="007E57D0" w:rsidRDefault="00416495" w:rsidP="00EB179A">
      <w:pPr>
        <w:spacing w:line="276" w:lineRule="auto"/>
        <w:jc w:val="center"/>
        <w:rPr>
          <w:rFonts w:ascii="Arial" w:hAnsi="Arial" w:cs="Arial"/>
        </w:rPr>
      </w:pPr>
    </w:p>
    <w:p w:rsidR="00416495" w:rsidRPr="00BC440E" w:rsidRDefault="0047399F" w:rsidP="00EB179A">
      <w:pPr>
        <w:spacing w:line="276" w:lineRule="auto"/>
        <w:jc w:val="both"/>
        <w:rPr>
          <w:rFonts w:ascii="Arial" w:hAnsi="Arial" w:cs="Arial"/>
          <w:u w:val="single"/>
        </w:rPr>
      </w:pPr>
      <w:r w:rsidRPr="009D3754">
        <w:rPr>
          <w:rFonts w:ascii="Arial" w:hAnsi="Arial" w:cs="Arial"/>
        </w:rPr>
        <w:t xml:space="preserve"> </w:t>
      </w:r>
    </w:p>
    <w:p w:rsidR="00416495" w:rsidRPr="00D716E0" w:rsidRDefault="0047399F" w:rsidP="00EB179A">
      <w:pPr>
        <w:spacing w:line="276" w:lineRule="auto"/>
        <w:jc w:val="both"/>
        <w:rPr>
          <w:rFonts w:ascii="Arial" w:hAnsi="Arial" w:cs="Arial"/>
          <w:u w:val="single"/>
        </w:rPr>
      </w:pPr>
      <w:r w:rsidRPr="00D716E0">
        <w:rPr>
          <w:rFonts w:ascii="Arial" w:hAnsi="Arial" w:cs="Arial"/>
        </w:rPr>
        <w:t xml:space="preserve"> </w:t>
      </w:r>
    </w:p>
    <w:p w:rsidR="00CA0601" w:rsidRDefault="0047399F" w:rsidP="00EB179A">
      <w:pPr>
        <w:spacing w:line="276" w:lineRule="auto"/>
        <w:jc w:val="both"/>
        <w:rPr>
          <w:rFonts w:ascii="Arial" w:hAnsi="Arial" w:cs="Arial"/>
        </w:rPr>
      </w:pPr>
      <w:r w:rsidRPr="00D716E0">
        <w:rPr>
          <w:rFonts w:ascii="Arial" w:hAnsi="Arial" w:cs="Arial"/>
        </w:rPr>
        <w:t xml:space="preserve"> </w:t>
      </w:r>
    </w:p>
    <w:p w:rsidR="007D7F2F" w:rsidRPr="00D716E0" w:rsidRDefault="007D7F2F" w:rsidP="00EB179A">
      <w:pPr>
        <w:spacing w:line="276" w:lineRule="auto"/>
        <w:jc w:val="both"/>
        <w:rPr>
          <w:rFonts w:ascii="Arial" w:hAnsi="Arial" w:cs="Arial"/>
        </w:rPr>
      </w:pPr>
    </w:p>
    <w:p w:rsidR="00AB6F23" w:rsidRDefault="00AB6F23" w:rsidP="00177E73">
      <w:pPr>
        <w:spacing w:line="276" w:lineRule="auto"/>
        <w:rPr>
          <w:rFonts w:ascii="Arial" w:hAnsi="Arial" w:cs="Arial"/>
        </w:rPr>
      </w:pPr>
    </w:p>
    <w:p w:rsidR="00416495" w:rsidRPr="0038124E" w:rsidRDefault="00416495" w:rsidP="0024119E">
      <w:pPr>
        <w:spacing w:line="276" w:lineRule="auto"/>
        <w:rPr>
          <w:rFonts w:ascii="Arial" w:hAnsi="Arial" w:cs="Arial"/>
        </w:rPr>
      </w:pPr>
    </w:p>
    <w:p w:rsidR="00416495" w:rsidRPr="00AD5C32" w:rsidRDefault="00416495" w:rsidP="00AB6F23">
      <w:pPr>
        <w:spacing w:line="276" w:lineRule="auto"/>
        <w:jc w:val="center"/>
        <w:rPr>
          <w:rFonts w:ascii="Arial" w:hAnsi="Arial" w:cs="Arial"/>
          <w:sz w:val="35"/>
          <w:szCs w:val="35"/>
        </w:rPr>
      </w:pPr>
      <w:r>
        <w:rPr>
          <w:sz w:val="35"/>
        </w:rPr>
        <w:t>EL TREN DE ARAGUA</w:t>
      </w:r>
    </w:p>
    <w:p w:rsidR="00416495" w:rsidRPr="0024119E" w:rsidRDefault="00416495" w:rsidP="00EB179A">
      <w:pPr>
        <w:spacing w:line="276" w:lineRule="auto"/>
        <w:rPr>
          <w:rFonts w:ascii="Arial" w:hAnsi="Arial" w:cs="Arial"/>
        </w:rPr>
      </w:pPr>
    </w:p>
    <w:p w:rsidR="00416495" w:rsidRPr="0024119E" w:rsidRDefault="00416495" w:rsidP="00EB179A">
      <w:pPr>
        <w:spacing w:line="276" w:lineRule="auto"/>
        <w:rPr>
          <w:rFonts w:ascii="Arial" w:hAnsi="Arial" w:cs="Arial"/>
        </w:rPr>
      </w:pPr>
    </w:p>
    <w:p w:rsidR="004523B7" w:rsidRPr="0024119E" w:rsidRDefault="004523B7" w:rsidP="00EB179A">
      <w:pPr>
        <w:spacing w:line="276" w:lineRule="auto"/>
        <w:rPr>
          <w:rFonts w:ascii="Arial" w:hAnsi="Arial" w:cs="Arial"/>
        </w:rPr>
      </w:pPr>
    </w:p>
    <w:p w:rsidR="00BC440E" w:rsidRPr="0024119E" w:rsidRDefault="00BC440E" w:rsidP="007D7F2F">
      <w:pPr>
        <w:spacing w:line="276" w:lineRule="auto"/>
        <w:rPr>
          <w:rFonts w:ascii="Arial" w:hAnsi="Arial" w:cs="Arial"/>
        </w:rPr>
      </w:pPr>
    </w:p>
    <w:p w:rsidR="00AB6F23" w:rsidRDefault="00AB6F23" w:rsidP="00EB179A">
      <w:pPr>
        <w:spacing w:line="276" w:lineRule="auto"/>
        <w:rPr>
          <w:rFonts w:ascii="Arial" w:hAnsi="Arial" w:cs="Arial"/>
        </w:rPr>
      </w:pPr>
    </w:p>
    <w:p w:rsidR="00AD5C32" w:rsidRDefault="00AD5C32" w:rsidP="00111F06">
      <w:pPr>
        <w:spacing w:line="276" w:lineRule="auto"/>
        <w:rPr>
          <w:rFonts w:ascii="Arial" w:hAnsi="Arial" w:cs="Arial"/>
        </w:rPr>
      </w:pPr>
    </w:p>
    <w:p w:rsidR="007D7F2F" w:rsidRDefault="007D7F2F" w:rsidP="00111F06">
      <w:pPr>
        <w:spacing w:line="276" w:lineRule="auto"/>
        <w:rPr>
          <w:rFonts w:ascii="Arial" w:hAnsi="Arial" w:cs="Arial"/>
        </w:rPr>
      </w:pPr>
    </w:p>
    <w:p w:rsidR="007D3292" w:rsidRDefault="007D3292" w:rsidP="00111F06">
      <w:pPr>
        <w:spacing w:line="276" w:lineRule="auto"/>
        <w:rPr>
          <w:rFonts w:ascii="Arial" w:hAnsi="Arial" w:cs="Arial"/>
        </w:rPr>
      </w:pPr>
    </w:p>
    <w:p w:rsidR="00090BC8" w:rsidRDefault="00090BC8" w:rsidP="00111F06">
      <w:pPr>
        <w:spacing w:line="276" w:lineRule="auto"/>
        <w:rPr>
          <w:rFonts w:ascii="Arial" w:hAnsi="Arial" w:cs="Arial"/>
        </w:rPr>
      </w:pPr>
    </w:p>
    <w:p w:rsidR="00160A3B" w:rsidRPr="0024119E" w:rsidRDefault="00160A3B" w:rsidP="00B870A5">
      <w:pPr>
        <w:tabs>
          <w:tab w:val="left" w:pos="3504"/>
        </w:tabs>
        <w:spacing w:line="276" w:lineRule="auto"/>
        <w:rPr>
          <w:rFonts w:ascii="Arial" w:hAnsi="Arial" w:cs="Arial"/>
        </w:rPr>
      </w:pPr>
    </w:p>
    <w:p w:rsidR="00416495" w:rsidRPr="0024119E" w:rsidRDefault="00B751CB" w:rsidP="00B751CB">
      <w:pPr>
        <w:tabs>
          <w:tab w:val="right" w:pos="9360"/>
        </w:tabs>
        <w:spacing w:line="276" w:lineRule="auto"/>
        <w:jc w:val="right"/>
        <w:rPr>
          <w:rFonts w:ascii="Arial" w:hAnsi="Arial" w:cs="Arial"/>
          <w:szCs w:val="36"/>
        </w:rPr>
      </w:pPr>
      <w:r/>
      <w:r>
        <w:rPr/>
      </w:r>
    </w:p>
    <w:p w:rsidR="00940939" w:rsidRPr="003965F1" w:rsidRDefault="0038124E" w:rsidP="000A51FC">
      <w:pPr>
        <w:tabs>
          <w:tab w:val="left" w:pos="492"/>
          <w:tab w:val="right" w:pos="9360"/>
        </w:tabs>
        <w:spacing w:line="276" w:lineRule="auto"/>
        <w:jc w:val="right"/>
        <w:rPr>
          <w:rFonts w:ascii="Arial" w:hAnsi="Arial" w:cs="Arial"/>
          <w:szCs w:val="36"/>
          <w:lang w:val="en-US"/>
        </w:rPr>
      </w:pPr>
      <w:r/>
      <w:r>
        <w:rPr/>
        <w:tab/>
      </w:r>
    </w:p>
    <w:p w:rsidR="00940939" w:rsidRPr="003965F1" w:rsidRDefault="0038124E" w:rsidP="000A51FC">
      <w:pPr>
        <w:tabs>
          <w:tab w:val="right" w:pos="9360"/>
        </w:tabs>
        <w:spacing w:line="276" w:lineRule="auto"/>
        <w:jc w:val="right"/>
        <w:rPr>
          <w:rFonts w:ascii="Arial" w:hAnsi="Arial" w:cs="Arial"/>
          <w:szCs w:val="36"/>
          <w:lang w:val="en-US"/>
        </w:rPr>
      </w:pPr>
      <w:r/>
      <w:r>
        <w:rPr/>
        <w:tab/>
      </w:r>
    </w:p>
    <w:p w:rsidR="00940939" w:rsidRPr="003965F1" w:rsidRDefault="00940939" w:rsidP="000A51FC">
      <w:pPr>
        <w:tabs>
          <w:tab w:val="right" w:pos="9360"/>
        </w:tabs>
        <w:spacing w:line="276" w:lineRule="auto"/>
        <w:jc w:val="right"/>
        <w:rPr>
          <w:rFonts w:ascii="Arial" w:hAnsi="Arial" w:cs="Arial"/>
          <w:szCs w:val="36"/>
          <w:lang w:val="en-US"/>
        </w:rPr>
      </w:pPr>
      <w:r/>
      <w:r>
        <w:rPr/>
      </w:r>
    </w:p>
    <w:p w:rsidR="00940939" w:rsidRPr="000A51FC" w:rsidRDefault="00FA2772" w:rsidP="000A51FC">
      <w:pPr>
        <w:tabs>
          <w:tab w:val="right" w:pos="9360"/>
        </w:tabs>
        <w:spacing w:line="276" w:lineRule="auto"/>
        <w:jc w:val="right"/>
        <w:rPr>
          <w:rFonts w:ascii="Arial" w:hAnsi="Arial" w:cs="Arial"/>
          <w:szCs w:val="36"/>
        </w:rPr>
      </w:pPr>
      <w:r/>
      <w:r>
        <w:rPr/>
        <w:tab/>
      </w:r>
    </w:p>
    <w:p w:rsidR="00940939" w:rsidRPr="00A60AED" w:rsidRDefault="00FA2772" w:rsidP="000A51FC">
      <w:pPr>
        <w:tabs>
          <w:tab w:val="right" w:pos="9360"/>
        </w:tabs>
        <w:spacing w:line="276" w:lineRule="auto"/>
        <w:jc w:val="right"/>
        <w:rPr>
          <w:rFonts w:ascii="Arial" w:hAnsi="Arial" w:cs="Arial"/>
          <w:szCs w:val="36"/>
        </w:rPr>
      </w:pPr>
      <w:r/>
      <w:r>
        <w:rPr/>
        <w:tab/>
      </w:r>
    </w:p>
    <w:p w:rsidR="00940939" w:rsidRPr="00A60AED" w:rsidRDefault="00A60AED" w:rsidP="000A51FC">
      <w:pPr>
        <w:tabs>
          <w:tab w:val="right" w:pos="9360"/>
        </w:tabs>
        <w:spacing w:line="276" w:lineRule="auto"/>
        <w:jc w:val="right"/>
        <w:rPr>
          <w:rFonts w:ascii="Arial" w:hAnsi="Arial" w:cs="Arial"/>
        </w:rPr>
      </w:pPr>
      <w:r/>
      <w:r>
        <w:rPr/>
        <w:tab/>
      </w:r>
    </w:p>
    <w:p w:rsidR="00940939" w:rsidRPr="00A60AED" w:rsidRDefault="0038124E" w:rsidP="000A51FC">
      <w:pPr>
        <w:tabs>
          <w:tab w:val="right" w:pos="9360"/>
        </w:tabs>
        <w:spacing w:line="276" w:lineRule="auto"/>
        <w:jc w:val="right"/>
        <w:rPr>
          <w:rFonts w:ascii="Arial" w:hAnsi="Arial" w:cs="Arial"/>
          <w:szCs w:val="36"/>
        </w:rPr>
      </w:pPr>
      <w:r/>
      <w:r>
        <w:rPr/>
        <w:tab/>
      </w:r>
    </w:p>
    <w:p w:rsidR="00940939" w:rsidRPr="00AE3493" w:rsidRDefault="00A60AED" w:rsidP="000A51FC">
      <w:pPr>
        <w:tabs>
          <w:tab w:val="right" w:pos="9360"/>
        </w:tabs>
        <w:spacing w:line="276" w:lineRule="auto"/>
        <w:jc w:val="right"/>
        <w:rPr>
          <w:rFonts w:ascii="Arial" w:hAnsi="Arial" w:cs="Arial"/>
          <w:szCs w:val="36"/>
        </w:rPr>
      </w:pPr>
      <w:r/>
      <w:r>
        <w:rPr/>
        <w:tab/>
      </w:r>
    </w:p>
    <w:p w:rsidR="00B870A5" w:rsidRPr="00A24ED9" w:rsidRDefault="004523B7" w:rsidP="007D7F2F">
      <w:pPr>
        <w:tabs>
          <w:tab w:val="center" w:pos="4680"/>
        </w:tabs>
        <w:spacing w:line="276" w:lineRule="auto"/>
        <w:jc w:val="center"/>
        <w:rPr>
          <w:rFonts w:ascii="Arial" w:hAnsi="Arial" w:cs="Arial"/>
        </w:rPr>
      </w:pPr>
      <w:r/>
    </w:p>
    <w:p/>
    <w:p/>
    <w:p>
      <w:pPr>
        <w:spacing w:line="420" w:lineRule="exact"/>
        <w:jc w:val="center"/>
      </w:pPr>
      <w:r>
        <w:t>Introducción</w:t>
      </w:r>
    </w:p>
    <w:p>
      <w:pPr>
        <w:jc w:val="center"/>
      </w:pPr>
    </w:p>
    <w:p>
      <w:pPr>
        <w:spacing w:line="420" w:lineRule="exact"/>
        <w:jc w:val="both"/>
      </w:pPr>
      <w:r>
        <w:t>Este trabajo analiza al Tren de Aragua, una organización criminal transnacional de origen venezolano, desde sus inicios como una banda local hasta su expansión internacional,  detallando su estructura jerárquica y sus actividades ilícitas, como el tráfico de drogas, armas y personas.  Se explora el devastador impacto de sus operaciones en las regiones donde opera, generando violencia, inseguridad, extorsión, secuestro, y debilitando las instituciones locales a través de la corrupción.  Se destaca la relevancia mundial del Tren de Aragua por su capacidad de operar transnacionalmente, creando una amenaza para la seguridad regional y global,  requiriendo una cooperación internacional para contrarrestar sus actividades. Finalmente, se proponen posibles soluciones que involucran el fortalecimiento institucional, la lucha contra la corrupción, la mejora de la seguridad ciudadana, el desarrollo económico,  la cooperación internacional, la persecución judicial, la desarticulación de sus redes de apoyo, la rehabilitación de víctimas y la implementación de programas de prevención del crimen y reinserción social.</w:t>
      </w:r>
    </w:p>
    <w:p>
      <w:r>
        <w:br w:type="page"/>
      </w:r>
    </w:p>
    <w:p>
      <w:pPr>
        <w:spacing w:line="420" w:lineRule="exact"/>
        <w:jc w:val="center"/>
      </w:pPr>
      <w:r>
        <w:t>El Tren de Aragua</w:t>
      </w:r>
    </w:p>
    <w:p>
      <w:pPr>
        <w:jc w:val="center"/>
      </w:pPr>
    </w:p>
    <w:p>
      <w:pPr>
        <w:spacing w:line="420" w:lineRule="exact"/>
        <w:jc w:val="both"/>
      </w:pPr>
      <w:r>
        <w:t>Orígenes</w:t>
      </w:r>
    </w:p>
    <w:p>
      <w:pPr>
        <w:spacing w:line="420" w:lineRule="exact"/>
        <w:jc w:val="both"/>
      </w:pPr>
    </w:p>
    <w:p>
      <w:pPr>
        <w:spacing w:line="420" w:lineRule="exact"/>
        <w:jc w:val="both"/>
      </w:pPr>
      <w:r>
        <w:t>El "Tren de Aragua" es una organización criminal transnacional de origen venezolano, con una estructura jerárquica compleja y ramificada.  Sus inicios se remontan a la década de 2000 en el estado Aragua, Venezuela, donde inicialmente operaba como una banda local dedicada al robo y la extorsión.  Su expansión se vio favorecida por la debilidad institucional, la corrupción y la alta tasa de criminalidad en Venezuela, lo que les permitió consolidar su poder y extender sus operaciones a otras regiones del país.  Posteriormente, sus actividades transnacionales se expandieron a países vecinos como Colombia, Perú, Ecuador, Chile, Brasil, Bolivia y Panamá, estableciendo rutas de tráfico de drogas, armas y personas.  Su capacidad de adaptación, violencia y corrupción les ha permitido infiltrarse en diversos sectores de la sociedad, facilitando sus operaciones ilícitas.</w:t>
      </w:r>
    </w:p>
    <w:p>
      <w:pPr>
        <w:spacing w:line="420" w:lineRule="exact"/>
        <w:jc w:val="both"/>
      </w:pPr>
    </w:p>
    <w:p>
      <w:pPr>
        <w:spacing w:line="420" w:lineRule="exact"/>
        <w:jc w:val="both"/>
      </w:pPr>
      <w:r>
        <w:t>Impacto</w:t>
      </w:r>
    </w:p>
    <w:p>
      <w:pPr>
        <w:spacing w:line="420" w:lineRule="exact"/>
        <w:jc w:val="both"/>
      </w:pPr>
    </w:p>
    <w:p>
      <w:pPr>
        <w:spacing w:line="420" w:lineRule="exact"/>
        <w:jc w:val="both"/>
      </w:pPr>
      <w:r>
        <w:t>El impacto del Tren de Aragua es devastador en las regiones donde opera.  Su actividad criminal genera violencia, inseguridad y miedo en la población.  Las extorsiones y secuestros afectan a la economía local, paralizando negocios y generando desplazamiento interno.  El tráfico de drogas y armas contribuye a la proliferación de la delincuencia organizada y al aumento de la violencia.  La corrupción que genera la organización criminal debilita las instituciones y socava el estado de derecho.  Además, la presencia del Tren de Aragua se asocia con el aumento de la trata de personas, la explotación sexual y el trabajo forzado.  Su influencia se extiende a la política local, creando una atmósfera de impunidad y facilitando su expansión.</w:t>
      </w:r>
    </w:p>
    <w:p>
      <w:pPr>
        <w:spacing w:line="420" w:lineRule="exact"/>
        <w:jc w:val="both"/>
      </w:pPr>
    </w:p>
    <w:p>
      <w:pPr>
        <w:spacing w:line="420" w:lineRule="exact"/>
        <w:jc w:val="both"/>
      </w:pPr>
      <w:r>
        <w:t>Relevancia mundial</w:t>
      </w:r>
    </w:p>
    <w:p>
      <w:pPr>
        <w:spacing w:line="420" w:lineRule="exact"/>
        <w:jc w:val="both"/>
      </w:pPr>
    </w:p>
    <w:p>
      <w:pPr>
        <w:spacing w:line="420" w:lineRule="exact"/>
        <w:jc w:val="both"/>
      </w:pPr>
      <w:r>
        <w:t>La relevancia mundial del Tren de Aragua radica en su capacidad para operar transnacionalmente.  La organización ha logrado establecer redes de tráfico de drogas y personas que conectan varias naciones de América del Sur y Centroamérica.  Su presencia en múltiples países representa una amenaza para la seguridad regional y global.  La cooperación internacional es crucial para contrarrestar su actividad, ya que sus operaciones trascienden las fronteras nacionales.  La creciente capacidad del Tren de Aragua para operar en el mercado internacional de drogas y armas requiere una respuesta coordinada entre los países afectados.  Su modelo de organización y su capacidad de adaptación representan una amenaza para la estabilidad de las regiones donde opera.</w:t>
      </w:r>
    </w:p>
    <w:p>
      <w:pPr>
        <w:spacing w:line="420" w:lineRule="exact"/>
        <w:jc w:val="both"/>
      </w:pPr>
    </w:p>
    <w:p>
      <w:pPr>
        <w:spacing w:line="420" w:lineRule="exact"/>
        <w:jc w:val="both"/>
      </w:pPr>
      <w:r>
        <w:t>Posibles soluciones</w:t>
      </w:r>
    </w:p>
    <w:p>
      <w:pPr>
        <w:spacing w:line="420" w:lineRule="exact"/>
        <w:jc w:val="both"/>
      </w:pPr>
    </w:p>
    <w:p>
      <w:pPr>
        <w:spacing w:line="420" w:lineRule="exact"/>
        <w:jc w:val="both"/>
      </w:pPr>
      <w:r>
        <w:t>Combatir al Tren de Aragua requiere una estrategia multifacética que aborde las causas estructurales de su surgimiento y las consecuencias de sus acciones criminales.  Esto implica fortalecer las instituciones del estado, combatir la corrupción, mejorar la seguridad ciudadana y promover el desarrollo económico.  La cooperación internacional es fundamental para desarticular las redes transnacionales del Tren de Aragua.  El intercambio de información, la coordinación de operaciones policiales y la creación de mecanismos para el seguimiento de las finanzas de la organización son cruciales para su debilitamiento.  Se requiere una estrategia integral que incluya la persecución judicial, la desarticulación de sus redes de apoyo y la rehabilitación de las víctimas de sus crímenes.  Programas de prevención del crimen y de reinserción social son necesarios para abordar las causas subyacentes de la delincuencia y evitar el reclutamiento de nuevos miembros.  La cooperación internacional y la implementación de políticas públicas integrales son vitales para enfrentar eficazmente la amenaza que representa el Tren de Aragua.</w:t>
      </w:r>
    </w:p>
    <w:p>
      <w:r>
        <w:br w:type="page"/>
      </w:r>
    </w:p>
    <w:p>
      <w:pPr>
        <w:spacing w:line="420" w:lineRule="exact"/>
        <w:jc w:val="center"/>
      </w:pPr>
      <w:r>
        <w:t>Conclusión</w:t>
      </w:r>
    </w:p>
    <w:p>
      <w:pPr>
        <w:jc w:val="center"/>
      </w:pPr>
    </w:p>
    <w:p>
      <w:pPr>
        <w:spacing w:line="420" w:lineRule="exact"/>
        <w:jc w:val="both"/>
      </w:pPr>
      <w:r>
        <w:t>En resumen, el Tren de Aragua representa una grave amenaza para la seguridad regional e internacional, debido a su estructura transnacional, su capacidad de adaptación y su sofisticada red de operaciones ilícitas que abarcan el tráfico de drogas, armas y personas, además de extorsión, secuestro y corrupción.  Su impacto devastador en las comunidades donde opera exige una respuesta contundente y coordinada a nivel global.</w:t>
      </w:r>
    </w:p>
    <w:p>
      <w:pPr>
        <w:spacing w:line="420" w:lineRule="exact"/>
        <w:jc w:val="both"/>
      </w:pPr>
    </w:p>
    <w:p>
      <w:pPr>
        <w:spacing w:line="420" w:lineRule="exact"/>
        <w:jc w:val="both"/>
      </w:pPr>
      <w:r>
        <w:t>Por consiguiente, la erradicación del Tren de Aragua requiere una estrategia integral que combine el fortalecimiento institucional, la lucha contra la corrupción, la mejora de la seguridad ciudadana y el desarrollo económico sostenible,  junto con una cooperación internacional efectiva para el intercambio de información, la coordinación de operaciones policiales y el seguimiento de sus finanzas.</w:t>
      </w:r>
    </w:p>
    <w:p>
      <w:pPr>
        <w:spacing w:line="420" w:lineRule="exact"/>
        <w:jc w:val="both"/>
      </w:pPr>
    </w:p>
    <w:p>
      <w:pPr>
        <w:spacing w:line="420" w:lineRule="exact"/>
        <w:jc w:val="both"/>
      </w:pPr>
      <w:r>
        <w:t>Además, se necesitan esfuerzos conjuntos para desarticular sus redes de apoyo, perseguir judicialmente a sus miembros, rehabilitar a las víctimas y prevenir el reclutamiento de nuevos integrantes a través de programas de prevención del crimen y reinserción social.  Solo a través de una estrategia multifacética que aborde tanto las causas estructurales como las consecuencias de sus acciones criminales se podrá contrarrestar eficazmente la amenaza que representa esta organización criminal transnacional.</w:t>
      </w:r>
    </w:p>
    <w:sectPr w:rsidR="00B870A5" w:rsidRPr="00A24ED9" w:rsidSect="00416495">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rsidR="008739B2" w:rsidRDefault="008739B2" w:rsidP="0024119E">
      <w:r>
        <w:separator/>
      </w:r>
    </w:p>
  </w:endnote>
  <w:endnote w:type="continuationSeparator" w:id="0">
    <w:p w:rsidR="008739B2" w:rsidRDefault="008739B2" w:rsidP="0024119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rsidR="008739B2" w:rsidRDefault="008739B2" w:rsidP="0024119E">
      <w:r>
        <w:separator/>
      </w:r>
    </w:p>
  </w:footnote>
  <w:footnote w:type="continuationSeparator" w:id="0">
    <w:p w:rsidR="008739B2" w:rsidRDefault="008739B2" w:rsidP="0024119E">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9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416495"/>
    <w:rsid w:val="00005828"/>
    <w:rsid w:val="00090BC8"/>
    <w:rsid w:val="000A51FC"/>
    <w:rsid w:val="000B23BB"/>
    <w:rsid w:val="000D29FB"/>
    <w:rsid w:val="00111F06"/>
    <w:rsid w:val="00156A52"/>
    <w:rsid w:val="00160A3B"/>
    <w:rsid w:val="0016155E"/>
    <w:rsid w:val="0016158C"/>
    <w:rsid w:val="00177E73"/>
    <w:rsid w:val="001D3B9C"/>
    <w:rsid w:val="002257C9"/>
    <w:rsid w:val="0024119E"/>
    <w:rsid w:val="002B102B"/>
    <w:rsid w:val="00341441"/>
    <w:rsid w:val="003529DC"/>
    <w:rsid w:val="003637C7"/>
    <w:rsid w:val="0038124E"/>
    <w:rsid w:val="003965F1"/>
    <w:rsid w:val="003A3A81"/>
    <w:rsid w:val="003E28D3"/>
    <w:rsid w:val="003E2C51"/>
    <w:rsid w:val="00416495"/>
    <w:rsid w:val="00427208"/>
    <w:rsid w:val="00433BD1"/>
    <w:rsid w:val="004420D9"/>
    <w:rsid w:val="004523B7"/>
    <w:rsid w:val="004648A4"/>
    <w:rsid w:val="0047399F"/>
    <w:rsid w:val="00476178"/>
    <w:rsid w:val="004810F8"/>
    <w:rsid w:val="00484043"/>
    <w:rsid w:val="0048603D"/>
    <w:rsid w:val="004B4810"/>
    <w:rsid w:val="004B7352"/>
    <w:rsid w:val="00505C4C"/>
    <w:rsid w:val="005174A0"/>
    <w:rsid w:val="0052204D"/>
    <w:rsid w:val="005228F0"/>
    <w:rsid w:val="00527B17"/>
    <w:rsid w:val="00581FAB"/>
    <w:rsid w:val="005C5F64"/>
    <w:rsid w:val="00623674"/>
    <w:rsid w:val="00624832"/>
    <w:rsid w:val="00625712"/>
    <w:rsid w:val="00627EE5"/>
    <w:rsid w:val="00636980"/>
    <w:rsid w:val="00657DA2"/>
    <w:rsid w:val="00660C86"/>
    <w:rsid w:val="006831B3"/>
    <w:rsid w:val="006D7A70"/>
    <w:rsid w:val="00706214"/>
    <w:rsid w:val="007147D0"/>
    <w:rsid w:val="00715FA5"/>
    <w:rsid w:val="00736D7B"/>
    <w:rsid w:val="0074320C"/>
    <w:rsid w:val="00770E73"/>
    <w:rsid w:val="00795285"/>
    <w:rsid w:val="00796B09"/>
    <w:rsid w:val="00797D63"/>
    <w:rsid w:val="007D3292"/>
    <w:rsid w:val="007D7F2F"/>
    <w:rsid w:val="007E57D0"/>
    <w:rsid w:val="007E7F81"/>
    <w:rsid w:val="007F432E"/>
    <w:rsid w:val="007F5830"/>
    <w:rsid w:val="00850D8E"/>
    <w:rsid w:val="008574FC"/>
    <w:rsid w:val="008739B2"/>
    <w:rsid w:val="008A054E"/>
    <w:rsid w:val="008B5D75"/>
    <w:rsid w:val="008D0D41"/>
    <w:rsid w:val="008D710B"/>
    <w:rsid w:val="00932A48"/>
    <w:rsid w:val="00940939"/>
    <w:rsid w:val="00994409"/>
    <w:rsid w:val="009D3754"/>
    <w:rsid w:val="00A07509"/>
    <w:rsid w:val="00A24ED9"/>
    <w:rsid w:val="00A30141"/>
    <w:rsid w:val="00A60AED"/>
    <w:rsid w:val="00A77C04"/>
    <w:rsid w:val="00A84A83"/>
    <w:rsid w:val="00AB6F23"/>
    <w:rsid w:val="00AD5C32"/>
    <w:rsid w:val="00AE3493"/>
    <w:rsid w:val="00B41657"/>
    <w:rsid w:val="00B66569"/>
    <w:rsid w:val="00B751CB"/>
    <w:rsid w:val="00B85589"/>
    <w:rsid w:val="00B870A5"/>
    <w:rsid w:val="00BA522A"/>
    <w:rsid w:val="00BC440E"/>
    <w:rsid w:val="00C064FE"/>
    <w:rsid w:val="00C478E3"/>
    <w:rsid w:val="00C543C9"/>
    <w:rsid w:val="00C55D74"/>
    <w:rsid w:val="00CA0601"/>
    <w:rsid w:val="00CA522E"/>
    <w:rsid w:val="00CA5488"/>
    <w:rsid w:val="00CC207F"/>
    <w:rsid w:val="00CF533B"/>
    <w:rsid w:val="00D2676C"/>
    <w:rsid w:val="00D277C4"/>
    <w:rsid w:val="00D34786"/>
    <w:rsid w:val="00D607E0"/>
    <w:rsid w:val="00D716E0"/>
    <w:rsid w:val="00D82BF3"/>
    <w:rsid w:val="00D83B74"/>
    <w:rsid w:val="00DB097F"/>
    <w:rsid w:val="00E00FD6"/>
    <w:rsid w:val="00E25711"/>
    <w:rsid w:val="00E334AE"/>
    <w:rsid w:val="00E371B5"/>
    <w:rsid w:val="00E64B31"/>
    <w:rsid w:val="00EA3C23"/>
    <w:rsid w:val="00EB179A"/>
    <w:rsid w:val="00EB3E08"/>
    <w:rsid w:val="00ED68E2"/>
    <w:rsid w:val="00F12EFB"/>
    <w:rsid w:val="00F37A34"/>
    <w:rsid w:val="00F453EF"/>
    <w:rsid w:val="00F52F66"/>
    <w:rsid w:val="00F6649A"/>
    <w:rsid w:val="00F67F29"/>
    <w:rsid w:val="00F84B2B"/>
    <w:rsid w:val="00F97E7B"/>
    <w:rsid w:val="00FA2772"/>
    <w:rsid w:val="00FC3DB4"/>
    <w:rsid w:val="00FC5E5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DCA6D131-2ACF-4860-8226-F6EE1275941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416495"/>
    <w:pPr>
      <w:suppressAutoHyphens/>
      <w:spacing w:after="0" w:line="240" w:lineRule="auto"/>
    </w:pPr>
    <w:rPr>
      <w:rFonts w:ascii="Arial" w:eastAsia="Times New Roman" w:hAnsi="Arial" w:cs="Times New Roman"/>
      <w:noProof/>
      <w:sz w:val="24"/>
      <w:szCs w:val="24"/>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Encabezado">
    <w:name w:val="header"/>
    <w:basedOn w:val="Normal"/>
    <w:link w:val="EncabezadoCar"/>
    <w:uiPriority w:val="99"/>
    <w:unhideWhenUsed/>
    <w:rsid w:val="0024119E"/>
    <w:pPr>
      <w:tabs>
        <w:tab w:val="center" w:pos="4680"/>
        <w:tab w:val="right" w:pos="9360"/>
      </w:tabs>
    </w:pPr>
  </w:style>
  <w:style w:type="character" w:customStyle="1" w:styleId="EncabezadoCar">
    <w:name w:val="Encabezado Car"/>
    <w:basedOn w:val="Fuentedeprrafopredeter"/>
    <w:link w:val="Encabezado"/>
    <w:uiPriority w:val="99"/>
    <w:rsid w:val="0024119E"/>
    <w:rPr>
      <w:rFonts w:ascii="Times New Roman" w:eastAsia="Times New Roman" w:hAnsi="Times New Roman" w:cs="Times New Roman"/>
      <w:sz w:val="24"/>
      <w:szCs w:val="24"/>
    </w:rPr>
  </w:style>
  <w:style w:type="paragraph" w:styleId="Piedepgina">
    <w:name w:val="footer"/>
    <w:basedOn w:val="Normal"/>
    <w:link w:val="PiedepginaCar"/>
    <w:uiPriority w:val="99"/>
    <w:unhideWhenUsed/>
    <w:rsid w:val="0024119E"/>
    <w:pPr>
      <w:tabs>
        <w:tab w:val="center" w:pos="4680"/>
        <w:tab w:val="right" w:pos="9360"/>
      </w:tabs>
    </w:pPr>
  </w:style>
  <w:style w:type="character" w:customStyle="1" w:styleId="PiedepginaCar">
    <w:name w:val="Pie de página Car"/>
    <w:basedOn w:val="Fuentedeprrafopredeter"/>
    <w:link w:val="Piedepgina"/>
    <w:uiPriority w:val="99"/>
    <w:rsid w:val="0024119E"/>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838</TotalTime>
  <Pages>1</Pages>
  <Words>55</Words>
  <Characters>305</Characters>
  <Application>Microsoft Office Word</Application>
  <DocSecurity>0</DocSecurity>
  <Lines>2</Lines>
  <Paragraphs>1</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359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olimorovane07@gmail.com</dc:creator>
  <cp:keywords/>
  <dc:description/>
  <cp:lastModifiedBy>olimorovane07@gmail.com</cp:lastModifiedBy>
  <cp:revision>88</cp:revision>
  <dcterms:created xsi:type="dcterms:W3CDTF">2024-04-11T03:14:00Z</dcterms:created>
  <dcterms:modified xsi:type="dcterms:W3CDTF">2024-10-05T00:14:00Z</dcterms:modified>
</cp:coreProperties>
</file>