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jc w:val="center"/>
        <w:rPr>
          <w:b/>
          <w:sz w:val="24"/>
          <w:szCs w:val="24"/>
        </w:rPr>
      </w:pPr>
      <w:r>
        <w:rPr>
          <w:b/>
          <w:sz w:val="24"/>
          <w:szCs w:val="24"/>
        </w:rPr>
        <w:t>Séminaire Etudes démocratiques ENS – PSL]</w:t>
      </w:r>
    </w:p>
    <w:p>
      <w:pPr>
        <w:spacing w:after="0"/>
        <w:jc w:val="center"/>
        <w:rPr>
          <w:b/>
          <w:sz w:val="24"/>
          <w:szCs w:val="24"/>
          <w:u w:val="single"/>
        </w:rPr>
      </w:pPr>
      <w:r>
        <w:rPr>
          <w:b/>
          <w:sz w:val="24"/>
          <w:szCs w:val="24"/>
          <w:u w:val="single"/>
        </w:rPr>
        <w:t>Santé et démocratie (Responsable : Pr. Jean-François DELFRAISSY)</w:t>
      </w:r>
    </w:p>
    <w:p>
      <w:pPr>
        <w:spacing w:after="0"/>
        <w:jc w:val="center"/>
        <w:rPr>
          <w:b/>
          <w:sz w:val="24"/>
          <w:szCs w:val="24"/>
        </w:rPr>
      </w:pPr>
      <w:r>
        <w:rPr>
          <w:b/>
          <w:sz w:val="24"/>
          <w:szCs w:val="24"/>
        </w:rPr>
        <w:t>Ecole normale supérieure</w:t>
      </w:r>
    </w:p>
    <w:p>
      <w:pPr>
        <w:jc w:val="both"/>
        <w:rPr>
          <w:rFonts w:ascii="Franklin Gothic Book" w:hAnsi="Franklin Gothic Book"/>
          <w:b/>
          <w:sz w:val="28"/>
        </w:rPr>
      </w:pPr>
    </w:p>
    <w:p>
      <w:pPr>
        <w:pStyle w:val="Textebrut"/>
        <w:jc w:val="center"/>
        <w:rPr>
          <w:rFonts w:asciiTheme="minorHAnsi" w:hAnsiTheme="minorHAnsi" w:cstheme="minorHAnsi"/>
          <w:b/>
          <w:bCs/>
          <w:sz w:val="28"/>
          <w:szCs w:val="28"/>
        </w:rPr>
      </w:pPr>
    </w:p>
    <w:p>
      <w:pPr>
        <w:pStyle w:val="Textebrut"/>
        <w:jc w:val="center"/>
        <w:rPr>
          <w:rFonts w:asciiTheme="minorHAnsi" w:hAnsiTheme="minorHAnsi" w:cstheme="minorHAnsi"/>
          <w:b/>
          <w:bCs/>
          <w:sz w:val="28"/>
          <w:szCs w:val="28"/>
        </w:rPr>
      </w:pPr>
      <w:r>
        <w:rPr>
          <w:rFonts w:asciiTheme="minorHAnsi" w:hAnsiTheme="minorHAnsi" w:cstheme="minorHAnsi"/>
          <w:b/>
          <w:bCs/>
          <w:sz w:val="28"/>
          <w:szCs w:val="28"/>
        </w:rPr>
        <w:t>Enjeux éthiques liés au vieillissement de nos sociétés</w:t>
      </w:r>
    </w:p>
    <w:p>
      <w:pPr>
        <w:spacing w:after="0"/>
        <w:rPr>
          <w:i/>
          <w:iCs/>
          <w:sz w:val="20"/>
          <w:szCs w:val="20"/>
        </w:rPr>
      </w:pPr>
    </w:p>
    <w:p>
      <w:pPr>
        <w:spacing w:after="0"/>
        <w:rPr>
          <w:i/>
          <w:iCs/>
          <w:sz w:val="20"/>
          <w:szCs w:val="20"/>
        </w:rPr>
      </w:pPr>
      <w:r>
        <w:rPr>
          <w:i/>
          <w:iCs/>
          <w:sz w:val="20"/>
          <w:szCs w:val="20"/>
        </w:rPr>
        <w:t>Pr. Régis AUBRY</w:t>
      </w:r>
    </w:p>
    <w:p>
      <w:pPr>
        <w:pStyle w:val="Paragraphedeliste"/>
        <w:numPr>
          <w:ilvl w:val="0"/>
          <w:numId w:val="10"/>
        </w:numPr>
        <w:spacing w:after="0"/>
        <w:rPr>
          <w:sz w:val="20"/>
          <w:szCs w:val="20"/>
        </w:rPr>
      </w:pPr>
      <w:r>
        <w:rPr>
          <w:i/>
          <w:iCs/>
          <w:sz w:val="20"/>
          <w:szCs w:val="20"/>
        </w:rPr>
        <w:t>Pôle Autonomie – Handicap. CHRU de Besançon.</w:t>
      </w:r>
    </w:p>
    <w:p>
      <w:pPr>
        <w:pStyle w:val="Paragraphedeliste"/>
        <w:numPr>
          <w:ilvl w:val="0"/>
          <w:numId w:val="10"/>
        </w:numPr>
        <w:spacing w:after="0"/>
        <w:rPr>
          <w:sz w:val="20"/>
          <w:szCs w:val="20"/>
        </w:rPr>
      </w:pPr>
      <w:r>
        <w:rPr>
          <w:sz w:val="20"/>
          <w:szCs w:val="20"/>
        </w:rPr>
        <w:t>Axe « Éthique et progrès médical » CIC-1431 INSERM/ Université de Franche-Comté, UMR INSERM 1322 LINC, F-25000 Besançon, France</w:t>
      </w:r>
      <w:r>
        <w:rPr>
          <w:i/>
          <w:iCs/>
          <w:sz w:val="20"/>
          <w:szCs w:val="20"/>
        </w:rPr>
        <w:t>.</w:t>
      </w:r>
    </w:p>
    <w:p>
      <w:pPr>
        <w:pStyle w:val="Paragraphedeliste"/>
        <w:numPr>
          <w:ilvl w:val="0"/>
          <w:numId w:val="10"/>
        </w:numPr>
        <w:spacing w:after="0"/>
        <w:rPr>
          <w:sz w:val="20"/>
          <w:szCs w:val="20"/>
        </w:rPr>
      </w:pPr>
      <w:r>
        <w:rPr>
          <w:i/>
          <w:iCs/>
          <w:sz w:val="20"/>
          <w:szCs w:val="20"/>
        </w:rPr>
        <w:t>Membre du Comité Consultatif National d'Ethique. Président de la section technique</w:t>
      </w:r>
    </w:p>
    <w:p>
      <w:pPr>
        <w:pStyle w:val="Paragraphedeliste"/>
        <w:numPr>
          <w:ilvl w:val="0"/>
          <w:numId w:val="10"/>
        </w:numPr>
        <w:spacing w:after="0"/>
        <w:rPr>
          <w:sz w:val="20"/>
          <w:szCs w:val="20"/>
        </w:rPr>
      </w:pPr>
      <w:r>
        <w:rPr>
          <w:i/>
          <w:iCs/>
          <w:sz w:val="20"/>
          <w:szCs w:val="20"/>
        </w:rPr>
        <w:t>Président de l’Institut des vulnérabilités liées à la santé</w:t>
      </w:r>
    </w:p>
    <w:p>
      <w:pPr>
        <w:spacing w:after="0"/>
        <w:rPr>
          <w:sz w:val="20"/>
          <w:szCs w:val="20"/>
        </w:rPr>
      </w:pPr>
      <w:r>
        <w:rPr>
          <w:i/>
          <w:iCs/>
          <w:sz w:val="20"/>
          <w:szCs w:val="20"/>
        </w:rPr>
        <w:t> </w:t>
      </w:r>
    </w:p>
    <w:p>
      <w:pPr>
        <w:spacing w:after="0"/>
        <w:rPr>
          <w:sz w:val="20"/>
          <w:szCs w:val="20"/>
        </w:rPr>
      </w:pPr>
      <w:r>
        <w:rPr>
          <w:noProof/>
          <w:sz w:val="20"/>
          <w:szCs w:val="20"/>
        </w:rPr>
        <w:drawing>
          <wp:inline distT="0" distB="0" distL="0" distR="0">
            <wp:extent cx="1165860" cy="640080"/>
            <wp:effectExtent l="0" t="0" r="1524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165860" cy="640080"/>
                    </a:xfrm>
                    <a:prstGeom prst="rect">
                      <a:avLst/>
                    </a:prstGeom>
                    <a:noFill/>
                    <a:ln>
                      <a:noFill/>
                    </a:ln>
                  </pic:spPr>
                </pic:pic>
              </a:graphicData>
            </a:graphic>
          </wp:inline>
        </w:drawing>
      </w:r>
      <w:r>
        <w:rPr>
          <w:sz w:val="20"/>
          <w:szCs w:val="20"/>
        </w:rPr>
        <w:t xml:space="preserve">Site internet : </w:t>
      </w:r>
      <w:hyperlink r:id="rId10" w:history="1">
        <w:r>
          <w:rPr>
            <w:rStyle w:val="Lienhypertexte"/>
            <w:color w:val="auto"/>
            <w:sz w:val="20"/>
            <w:szCs w:val="20"/>
          </w:rPr>
          <w:t>IPVS</w:t>
        </w:r>
      </w:hyperlink>
    </w:p>
    <w:p>
      <w:pPr>
        <w:spacing w:after="0"/>
        <w:rPr>
          <w:sz w:val="20"/>
          <w:szCs w:val="20"/>
        </w:rPr>
      </w:pPr>
      <w:proofErr w:type="gramStart"/>
      <w:r>
        <w:rPr>
          <w:i/>
          <w:iCs/>
          <w:sz w:val="20"/>
          <w:szCs w:val="20"/>
        </w:rPr>
        <w:t>Email:</w:t>
      </w:r>
      <w:proofErr w:type="gramEnd"/>
      <w:r>
        <w:rPr>
          <w:sz w:val="20"/>
          <w:szCs w:val="20"/>
        </w:rPr>
        <w:t> </w:t>
      </w:r>
      <w:hyperlink r:id="rId11" w:history="1">
        <w:r>
          <w:rPr>
            <w:rStyle w:val="Lienhypertexte"/>
            <w:color w:val="auto"/>
            <w:sz w:val="20"/>
            <w:szCs w:val="20"/>
          </w:rPr>
          <w:t>raubry@chu-besancon.fr</w:t>
        </w:r>
      </w:hyperlink>
    </w:p>
    <w:p>
      <w:pPr>
        <w:pStyle w:val="Textebrut"/>
        <w:rPr>
          <w:rFonts w:asciiTheme="minorHAnsi" w:hAnsiTheme="minorHAnsi" w:cstheme="minorHAnsi"/>
          <w:szCs w:val="22"/>
        </w:rPr>
      </w:pPr>
    </w:p>
    <w:p>
      <w:pPr>
        <w:pStyle w:val="Textebrut"/>
        <w:rPr>
          <w:rFonts w:asciiTheme="minorHAnsi" w:hAnsiTheme="minorHAnsi" w:cstheme="minorHAnsi"/>
          <w:szCs w:val="22"/>
        </w:rPr>
      </w:pPr>
    </w:p>
    <w:p>
      <w:pPr>
        <w:spacing w:after="0"/>
        <w:jc w:val="both"/>
        <w:rPr>
          <w:b/>
          <w:sz w:val="24"/>
          <w:szCs w:val="24"/>
        </w:rPr>
      </w:pPr>
      <w:r>
        <w:rPr>
          <w:b/>
          <w:sz w:val="24"/>
          <w:szCs w:val="24"/>
        </w:rPr>
        <w:t>Vendredi 31 janvier 10h30 à 12h15 (60 minutes de cours, 30 minutes de discussion).</w:t>
      </w:r>
    </w:p>
    <w:p>
      <w:pPr>
        <w:pStyle w:val="Textebrut"/>
        <w:rPr>
          <w:rFonts w:asciiTheme="minorHAnsi" w:hAnsiTheme="minorHAnsi" w:cstheme="minorHAnsi"/>
          <w:szCs w:val="22"/>
        </w:rPr>
      </w:pPr>
    </w:p>
    <w:p>
      <w:pPr>
        <w:pStyle w:val="Textebrut"/>
        <w:rPr>
          <w:rFonts w:asciiTheme="minorHAnsi" w:hAnsiTheme="minorHAnsi" w:cstheme="minorHAnsi"/>
          <w:szCs w:val="22"/>
        </w:rPr>
      </w:pPr>
      <w:r>
        <w:rPr>
          <w:rFonts w:asciiTheme="minorHAnsi" w:hAnsiTheme="minorHAnsi" w:cstheme="minorHAnsi"/>
          <w:szCs w:val="22"/>
        </w:rPr>
        <w:t>Je souhaite, au-delà des chiffres, faire réfléchir au changement de paradigme engendré par l’évolution couplée du vieillissement et de la baisse de la natalité, à la nécessaire adaptation de notre société du fait des conséquences politiques et économiques qu'il engendrera, à la nécessité de penser ce phénomène dans une visée d'anticipation des réponses qui devront toujours, selon moi et c'est la raison de ce prisme éthique, se trouver dans le champ des solidarités collectives.</w:t>
      </w:r>
    </w:p>
    <w:p>
      <w:pPr>
        <w:spacing w:line="240" w:lineRule="auto"/>
        <w:rPr>
          <w:rFonts w:cstheme="minorHAnsi"/>
        </w:rPr>
      </w:pPr>
    </w:p>
    <w:p>
      <w:pPr>
        <w:spacing w:line="240" w:lineRule="auto"/>
        <w:rPr>
          <w:rFonts w:cstheme="minorHAnsi"/>
        </w:rPr>
      </w:pPr>
    </w:p>
    <w:p>
      <w:pPr>
        <w:rPr>
          <w:rFonts w:cstheme="minorHAnsi"/>
          <w:b/>
          <w:bCs/>
          <w:sz w:val="28"/>
          <w:szCs w:val="28"/>
        </w:rPr>
      </w:pPr>
      <w:r>
        <w:rPr>
          <w:rFonts w:cstheme="minorHAnsi"/>
          <w:b/>
          <w:bCs/>
          <w:sz w:val="28"/>
          <w:szCs w:val="28"/>
        </w:rPr>
        <w:br w:type="page"/>
      </w:r>
    </w:p>
    <w:p>
      <w:pPr>
        <w:spacing w:line="240" w:lineRule="auto"/>
        <w:rPr>
          <w:rFonts w:cstheme="minorHAnsi"/>
          <w:b/>
          <w:bCs/>
          <w:sz w:val="28"/>
          <w:szCs w:val="28"/>
        </w:rPr>
      </w:pPr>
      <w:r>
        <w:rPr>
          <w:rFonts w:cstheme="minorHAnsi"/>
          <w:b/>
          <w:bCs/>
          <w:sz w:val="28"/>
          <w:szCs w:val="28"/>
        </w:rPr>
        <w:lastRenderedPageBreak/>
        <w:t>Les faits</w:t>
      </w:r>
      <w:r>
        <w:rPr>
          <w:rStyle w:val="Appelnotedebasdep"/>
        </w:rPr>
        <w:footnoteReference w:id="1"/>
      </w:r>
    </w:p>
    <w:p>
      <w:pPr>
        <w:spacing w:line="240" w:lineRule="auto"/>
        <w:rPr>
          <w:rFonts w:cstheme="minorHAnsi"/>
          <w:b/>
          <w:bCs/>
          <w:sz w:val="28"/>
          <w:szCs w:val="28"/>
        </w:rPr>
      </w:pPr>
      <w:r>
        <w:t xml:space="preserve">La France est un pays qui affiche une des espérances de vie les plus élevées au monde. Elle est de 80 ans pour les hommes et de 85,7 ans chez les femmes en 2023. </w:t>
      </w:r>
    </w:p>
    <w:p>
      <w:pPr>
        <w:spacing w:after="0" w:line="240" w:lineRule="auto"/>
        <w:rPr>
          <w:color w:val="000000" w:themeColor="text1"/>
        </w:rPr>
      </w:pPr>
    </w:p>
    <w:p>
      <w:pPr>
        <w:spacing w:after="0" w:line="240" w:lineRule="auto"/>
        <w:rPr>
          <w:color w:val="000000" w:themeColor="text1"/>
        </w:rPr>
      </w:pPr>
      <w:r>
        <w:rPr>
          <w:color w:val="000000" w:themeColor="text1"/>
        </w:rPr>
        <w:t>Nous sommes de plus en plus nombreux à vivre de plus en plus longtemps en bonne santé.</w:t>
      </w:r>
    </w:p>
    <w:p>
      <w:pPr>
        <w:spacing w:after="0" w:line="240" w:lineRule="auto"/>
        <w:rPr>
          <w:color w:val="000000" w:themeColor="text1"/>
        </w:rPr>
      </w:pPr>
    </w:p>
    <w:p>
      <w:pPr>
        <w:spacing w:after="0" w:line="240" w:lineRule="auto"/>
        <w:rPr>
          <w:color w:val="000000" w:themeColor="text1"/>
        </w:rPr>
      </w:pPr>
      <w:r>
        <w:rPr>
          <w:b/>
          <w:bCs/>
          <w:i/>
          <w:iCs/>
          <w:color w:val="000000" w:themeColor="text1"/>
        </w:rPr>
        <w:t>L’espérance de vie à la naissance</w:t>
      </w:r>
      <w:r>
        <w:rPr>
          <w:color w:val="000000" w:themeColor="text1"/>
        </w:rPr>
        <w:t xml:space="preserve"> (EV0) : L’augmentation a été particulièrement forte au cours des 60 premières années du 20</w:t>
      </w:r>
      <w:r>
        <w:rPr>
          <w:color w:val="000000" w:themeColor="text1"/>
          <w:vertAlign w:val="superscript"/>
        </w:rPr>
        <w:t>ème</w:t>
      </w:r>
      <w:r>
        <w:rPr>
          <w:color w:val="000000" w:themeColor="text1"/>
        </w:rPr>
        <w:t xml:space="preserve"> siècle malgré la participation de la France aux deux guerres mondiales. Les 20 ans d’espérance de vie gagnés entre 1871 et 1945 sont surtout dus à la chute de la mortalité avant 65 ans, mortalité infantile, juvénile ou prématurée. A partir des années 1960, la croissance d’EV0 ralentie. </w:t>
      </w:r>
      <w:r>
        <w:rPr>
          <w:color w:val="000000" w:themeColor="text1"/>
          <w:u w:val="single"/>
        </w:rPr>
        <w:t>Augmentation de 3 mois par an depuis le début des années 1970 jusqu’au milieu des années 2000</w:t>
      </w:r>
      <w:r>
        <w:rPr>
          <w:color w:val="000000" w:themeColor="text1"/>
        </w:rPr>
        <w:t xml:space="preserve"> pour les femmes et le milieu des années 2010 pour les hommes. </w:t>
      </w:r>
      <w:r>
        <w:rPr>
          <w:color w:val="000000" w:themeColor="text1"/>
          <w:u w:val="single"/>
        </w:rPr>
        <w:t>Depuis ces dates l’augmentation annuelle d’EVO est beaucoup plus faible et semble ralentir fortement au cours de la dernière décennie</w:t>
      </w:r>
      <w:r>
        <w:rPr>
          <w:color w:val="000000" w:themeColor="text1"/>
        </w:rPr>
        <w:t>. CCL : Fort ralentissement de la croissance d’EV0 depuis 2014</w:t>
      </w:r>
    </w:p>
    <w:p>
      <w:pPr>
        <w:spacing w:after="0" w:line="240" w:lineRule="auto"/>
        <w:rPr>
          <w:b/>
          <w:bCs/>
          <w:color w:val="000000" w:themeColor="text1"/>
        </w:rPr>
      </w:pPr>
    </w:p>
    <w:p>
      <w:pPr>
        <w:spacing w:after="0" w:line="240" w:lineRule="auto"/>
        <w:rPr>
          <w:color w:val="000000" w:themeColor="text1"/>
        </w:rPr>
      </w:pPr>
      <w:r>
        <w:rPr>
          <w:b/>
          <w:bCs/>
          <w:color w:val="000000" w:themeColor="text1"/>
        </w:rPr>
        <w:t>L’espérance de vie à 65 ans</w:t>
      </w:r>
      <w:r>
        <w:rPr>
          <w:color w:val="000000" w:themeColor="text1"/>
        </w:rPr>
        <w:t xml:space="preserve"> (EV65), L’augmentation de EV65 ne commence qu’après la fin de la deuxième guerre mondiale. Cette augmentation ne peut être due, par définition, qu’à la chute de la mortalité à 65 ans et au-delà. </w:t>
      </w:r>
      <w:r>
        <w:rPr>
          <w:color w:val="000000" w:themeColor="text1"/>
          <w:u w:val="single"/>
        </w:rPr>
        <w:t>L’augmentation annuelle de EV65, sur les 50 dernières années a été de 1,6 mois par an en moyenne</w:t>
      </w:r>
      <w:r>
        <w:rPr>
          <w:color w:val="000000" w:themeColor="text1"/>
        </w:rPr>
        <w:t xml:space="preserve">. </w:t>
      </w:r>
      <w:r>
        <w:rPr>
          <w:color w:val="000000" w:themeColor="text1"/>
          <w:u w:val="single"/>
        </w:rPr>
        <w:t>La croissance de l’EV est fortement réduite au cours des dix dernières années (2014-2023)</w:t>
      </w:r>
      <w:r>
        <w:rPr>
          <w:color w:val="000000" w:themeColor="text1"/>
        </w:rPr>
        <w:t xml:space="preserve"> par rapport à la décennie 2004-2013 alors que 2023 est la première année où l’on n’observe pas une grande mortalité liée à la covid-19, contrairement aux 3 années précédentes, 2020-2022. </w:t>
      </w:r>
      <w:r>
        <w:t xml:space="preserve">Les raisons de creux dans la croissance de l’EV65 depuis l’an 2000 sont connus : canicule de 2003, variant </w:t>
      </w:r>
      <w:r>
        <w:rPr>
          <w:color w:val="000000" w:themeColor="text1"/>
        </w:rPr>
        <w:t xml:space="preserve">A(H3N2) pour la grippe saisonnière des hivers 2012 et 2015, covid-19 en 2020, 2021 et 2022, renforcé par la grippe saisonnière hivernale et par la canicule estivale pour l’année 2022. </w:t>
      </w:r>
    </w:p>
    <w:p>
      <w:pPr>
        <w:spacing w:after="0" w:line="240" w:lineRule="auto"/>
        <w:rPr>
          <w:color w:val="000000" w:themeColor="text1"/>
        </w:rPr>
      </w:pPr>
      <w:r>
        <w:rPr>
          <w:color w:val="000000" w:themeColor="text1"/>
          <w:u w:val="single"/>
        </w:rPr>
        <w:t>Hypothèse d’un quasi-arrêt de la croissance de l’EV65 pour les femmes françaises :</w:t>
      </w:r>
      <w:r>
        <w:rPr>
          <w:color w:val="000000" w:themeColor="text1"/>
        </w:rPr>
        <w:t xml:space="preserve"> 88,4 ans en 2014, 88,4 ans en 2019 juste avant la pandémie de la covid-19 et à peine 88,6 ans en 2023 après les « années covid ».</w:t>
      </w:r>
    </w:p>
    <w:p>
      <w:pPr>
        <w:spacing w:after="0" w:line="240" w:lineRule="auto"/>
        <w:rPr>
          <w:b/>
          <w:bCs/>
          <w:color w:val="000000" w:themeColor="text1"/>
        </w:rPr>
      </w:pPr>
    </w:p>
    <w:p>
      <w:pPr>
        <w:spacing w:after="0" w:line="240" w:lineRule="auto"/>
        <w:rPr>
          <w:b/>
          <w:bCs/>
          <w:color w:val="000000" w:themeColor="text1"/>
        </w:rPr>
      </w:pPr>
      <w:r>
        <w:rPr>
          <w:b/>
          <w:bCs/>
          <w:color w:val="000000" w:themeColor="text1"/>
        </w:rPr>
        <w:t>L’espérance de vie sans incapacité à 65 ans (EVSI)</w:t>
      </w:r>
    </w:p>
    <w:p>
      <w:pPr>
        <w:spacing w:after="0" w:line="240" w:lineRule="auto"/>
        <w:rPr>
          <w:color w:val="000000" w:themeColor="text1"/>
        </w:rPr>
      </w:pPr>
      <w:r>
        <w:rPr>
          <w:color w:val="000000" w:themeColor="text1"/>
        </w:rPr>
        <w:t xml:space="preserve">On voit que globalement, sur la période allant 2005 à 2022, l’EVSI a augmenté parallèlement à l’augmentation de l’EV. Si bien qu’il y a peu de changements dans la proportion des années vécues sans incapacité, y compris sans incapacité sévère. </w:t>
      </w:r>
    </w:p>
    <w:p>
      <w:pPr>
        <w:spacing w:after="0" w:line="240" w:lineRule="auto"/>
        <w:rPr>
          <w:color w:val="000000" w:themeColor="text1"/>
        </w:rPr>
      </w:pPr>
      <w:r>
        <w:rPr>
          <w:color w:val="000000" w:themeColor="text1"/>
          <w:u w:val="single"/>
        </w:rPr>
        <w:t>Depuis 2009 la proportion des années vécues sans incapacité au sein de l’espérance de vie à 65 ans des femmes ne cesse d’augmenter</w:t>
      </w:r>
      <w:r>
        <w:rPr>
          <w:color w:val="000000" w:themeColor="text1"/>
        </w:rPr>
        <w:t xml:space="preserve"> :  41, 2% en 2009, 44,7% en 2012 et 51,1% en 2022. </w:t>
      </w:r>
    </w:p>
    <w:p>
      <w:pPr>
        <w:spacing w:after="0" w:line="240" w:lineRule="auto"/>
        <w:rPr>
          <w:b/>
          <w:bCs/>
          <w:color w:val="000000" w:themeColor="text1"/>
        </w:rPr>
      </w:pPr>
    </w:p>
    <w:p>
      <w:pPr>
        <w:spacing w:after="0" w:line="240" w:lineRule="auto"/>
        <w:rPr>
          <w:b/>
          <w:bCs/>
          <w:color w:val="000000" w:themeColor="text1"/>
        </w:rPr>
      </w:pPr>
      <w:r>
        <w:rPr>
          <w:b/>
          <w:bCs/>
          <w:color w:val="000000" w:themeColor="text1"/>
        </w:rPr>
        <w:t>La révolution de la longévité complètement imprévue dans les années 1980</w:t>
      </w:r>
    </w:p>
    <w:p>
      <w:pPr>
        <w:spacing w:after="0" w:line="240" w:lineRule="auto"/>
        <w:rPr>
          <w:color w:val="000000" w:themeColor="text1"/>
        </w:rPr>
      </w:pPr>
      <w:r>
        <w:rPr>
          <w:color w:val="000000" w:themeColor="text1"/>
          <w:u w:val="single"/>
        </w:rPr>
        <w:t>Les chances de survivre à 90 ans qui étaient de 5% dans les conditions de mortalité du début du 19</w:t>
      </w:r>
      <w:r>
        <w:rPr>
          <w:color w:val="000000" w:themeColor="text1"/>
          <w:u w:val="single"/>
          <w:vertAlign w:val="superscript"/>
        </w:rPr>
        <w:t>ème</w:t>
      </w:r>
      <w:r>
        <w:rPr>
          <w:color w:val="000000" w:themeColor="text1"/>
          <w:u w:val="single"/>
        </w:rPr>
        <w:t xml:space="preserve"> siècle ont augmenté pour atteindre environ 50% aujourd’hui</w:t>
      </w:r>
      <w:r>
        <w:rPr>
          <w:color w:val="000000" w:themeColor="text1"/>
        </w:rPr>
        <w:t xml:space="preserve">. </w:t>
      </w:r>
    </w:p>
    <w:p>
      <w:pPr>
        <w:spacing w:after="0" w:line="240" w:lineRule="auto"/>
        <w:rPr>
          <w:color w:val="000000" w:themeColor="text1"/>
        </w:rPr>
      </w:pPr>
      <w:r>
        <w:rPr>
          <w:color w:val="000000" w:themeColor="text1"/>
        </w:rPr>
        <w:t xml:space="preserve">Les chances de survivre à 100 ans pour les survivants à 90 ans, qui étaient de quelques pourcents au lendemain de la guerre, atteignent aujourd’hui environ 10%. </w:t>
      </w:r>
    </w:p>
    <w:p>
      <w:pPr>
        <w:spacing w:after="0" w:line="240" w:lineRule="auto"/>
        <w:rPr>
          <w:color w:val="000000" w:themeColor="text1"/>
        </w:rPr>
      </w:pPr>
      <w:r>
        <w:rPr>
          <w:color w:val="000000" w:themeColor="text1"/>
        </w:rPr>
        <w:t xml:space="preserve">Diminution de la mortalité entre 1951 et 2021 chez les personnes âgées, quel que soit leur âge de 65 à 95 ans et leur sexe. La hausse considérable du nombre des nonagénaires ou des centenaires est due à la chute de la mortalité avant l’âge de 90 ans ou de 100 ans. </w:t>
      </w:r>
    </w:p>
    <w:p>
      <w:pPr>
        <w:spacing w:after="0" w:line="240" w:lineRule="auto"/>
        <w:rPr>
          <w:color w:val="000000" w:themeColor="text1"/>
        </w:rPr>
      </w:pPr>
    </w:p>
    <w:p>
      <w:pPr>
        <w:spacing w:after="0" w:line="240" w:lineRule="auto"/>
        <w:rPr>
          <w:b/>
          <w:bCs/>
          <w:color w:val="000000" w:themeColor="text1"/>
        </w:rPr>
      </w:pPr>
      <w:r>
        <w:rPr>
          <w:b/>
          <w:bCs/>
          <w:color w:val="000000" w:themeColor="text1"/>
        </w:rPr>
        <w:t>La question de la fragilité</w:t>
      </w:r>
    </w:p>
    <w:p>
      <w:pPr>
        <w:spacing w:after="0" w:line="240" w:lineRule="auto"/>
        <w:rPr>
          <w:color w:val="000000" w:themeColor="text1"/>
          <w:u w:val="single"/>
        </w:rPr>
      </w:pPr>
      <w:r>
        <w:rPr>
          <w:color w:val="000000" w:themeColor="text1"/>
          <w:u w:val="single"/>
        </w:rPr>
        <w:t xml:space="preserve">L’augmentation de la longévité, du nombre des nonagénaires et des centenaires s’est accompagnée d’une augmentation du nombre de survivants fragiles. </w:t>
      </w:r>
    </w:p>
    <w:p>
      <w:pPr>
        <w:spacing w:after="0" w:line="240" w:lineRule="auto"/>
        <w:rPr>
          <w:color w:val="000000" w:themeColor="text1"/>
        </w:rPr>
      </w:pPr>
      <w:r>
        <w:rPr>
          <w:color w:val="000000" w:themeColor="text1"/>
        </w:rPr>
        <w:lastRenderedPageBreak/>
        <w:t xml:space="preserve">Cette fragilité a été identifiée dès 2001 par Linda Fried et ses collaborateurs qui la définissent comme une diminution avec le temps des réserves physiologiques qui permettent de faire face aux différents stress du quotidien, petits ou grands. Cette senescence concerne aussi bien le statut immunitaire, que les statuts nutritif, musculaire, cognitif, thymique, ou les autres statuts. Au total cette diminution progressive des réserves physiologiques va conduire, même en l’absence de maladies chroniques avérées, à la diminution des capacités fonctionnelles, et partant, à l’émergence de l’incapacité. </w:t>
      </w:r>
    </w:p>
    <w:p>
      <w:pPr>
        <w:spacing w:after="0" w:line="240" w:lineRule="auto"/>
        <w:rPr>
          <w:color w:val="000000" w:themeColor="text1"/>
          <w:u w:val="single"/>
        </w:rPr>
      </w:pPr>
      <w:r>
        <w:rPr>
          <w:color w:val="000000" w:themeColor="text1"/>
          <w:u w:val="single"/>
        </w:rPr>
        <w:t xml:space="preserve">Si très peu de sexagénaires sont fragiles, inversement très peu de nonagénaires ou de centenaires peuvent être considérés comme des individus robustes. </w:t>
      </w:r>
    </w:p>
    <w:p>
      <w:pPr>
        <w:spacing w:after="0" w:line="240" w:lineRule="auto"/>
        <w:rPr>
          <w:color w:val="000000" w:themeColor="text1"/>
        </w:rPr>
      </w:pPr>
      <w:r>
        <w:rPr>
          <w:color w:val="000000" w:themeColor="text1"/>
        </w:rPr>
        <w:t xml:space="preserve">Les médecins étant davantage formés pour diagnostiquer et combattre des maladies chroniques que pour préserver et renforcer les réserves physiologiques de leurs patients. </w:t>
      </w:r>
    </w:p>
    <w:p>
      <w:pPr>
        <w:spacing w:after="0" w:line="240" w:lineRule="auto"/>
        <w:rPr>
          <w:color w:val="000000" w:themeColor="text1"/>
        </w:rPr>
      </w:pPr>
    </w:p>
    <w:p>
      <w:pPr>
        <w:spacing w:after="0" w:line="240" w:lineRule="auto"/>
        <w:rPr>
          <w:color w:val="000000" w:themeColor="text1"/>
        </w:rPr>
      </w:pPr>
    </w:p>
    <w:p>
      <w:pPr>
        <w:spacing w:after="0" w:line="240" w:lineRule="auto"/>
        <w:rPr>
          <w:color w:val="000000" w:themeColor="text1"/>
        </w:rPr>
      </w:pPr>
    </w:p>
    <w:p>
      <w:pPr>
        <w:spacing w:after="0" w:line="240" w:lineRule="auto"/>
        <w:rPr>
          <w:b/>
          <w:bCs/>
          <w:color w:val="000000" w:themeColor="text1"/>
        </w:rPr>
      </w:pPr>
      <w:r>
        <w:rPr>
          <w:b/>
          <w:bCs/>
          <w:color w:val="000000" w:themeColor="text1"/>
        </w:rPr>
        <w:t xml:space="preserve">L’approche en 4 groupes d’âge </w:t>
      </w:r>
    </w:p>
    <w:p>
      <w:pPr>
        <w:spacing w:after="0" w:line="240" w:lineRule="auto"/>
      </w:pPr>
      <w:r>
        <w:rPr>
          <w:color w:val="000000" w:themeColor="text1"/>
        </w:rPr>
        <w:t xml:space="preserve">(1) les plus jeunes, (2) les jeunes adultes, (3) les seniors, et </w:t>
      </w:r>
      <w:r>
        <w:rPr>
          <w:color w:val="000000" w:themeColor="text1"/>
          <w:u w:val="single"/>
        </w:rPr>
        <w:t>(4) les personnes ayant déjà vécu longtemps (</w:t>
      </w:r>
      <w:r>
        <w:rPr>
          <w:u w:val="single"/>
        </w:rPr>
        <w:t>« </w:t>
      </w:r>
      <w:proofErr w:type="spellStart"/>
      <w:r>
        <w:rPr>
          <w:i/>
          <w:iCs/>
          <w:u w:val="single"/>
        </w:rPr>
        <w:t>oldest</w:t>
      </w:r>
      <w:proofErr w:type="spellEnd"/>
      <w:r>
        <w:rPr>
          <w:i/>
          <w:iCs/>
          <w:u w:val="single"/>
        </w:rPr>
        <w:t xml:space="preserve"> </w:t>
      </w:r>
      <w:proofErr w:type="spellStart"/>
      <w:r>
        <w:rPr>
          <w:i/>
          <w:iCs/>
          <w:u w:val="single"/>
        </w:rPr>
        <w:t>old</w:t>
      </w:r>
      <w:proofErr w:type="spellEnd"/>
      <w:r>
        <w:rPr>
          <w:u w:val="single"/>
        </w:rPr>
        <w:t> »</w:t>
      </w:r>
      <w:r>
        <w:rPr>
          <w:color w:val="000000" w:themeColor="text1"/>
          <w:u w:val="single"/>
        </w:rPr>
        <w:t>).</w:t>
      </w:r>
      <w:r>
        <w:rPr>
          <w:color w:val="000000" w:themeColor="text1"/>
        </w:rPr>
        <w:t xml:space="preserve"> Dans cette analyse, les plus jeunes ont moins de 25 ans, les jeunes adultes ont de 25 à 49 ans, les séniors de 50 à 74 ans et les personnes ayant déjà vécu longtemps 75 ans ou plus.  </w:t>
      </w:r>
    </w:p>
    <w:p>
      <w:pPr>
        <w:spacing w:after="0" w:line="240" w:lineRule="auto"/>
        <w:rPr>
          <w:color w:val="FF0000"/>
        </w:rPr>
      </w:pPr>
    </w:p>
    <w:p>
      <w:pPr>
        <w:spacing w:after="0" w:line="240" w:lineRule="auto"/>
        <w:rPr>
          <w:color w:val="000000" w:themeColor="text1"/>
        </w:rPr>
      </w:pPr>
      <w:r>
        <w:rPr>
          <w:color w:val="000000" w:themeColor="text1"/>
          <w:u w:val="single"/>
        </w:rPr>
        <w:t xml:space="preserve">Déclin des plus jeunes au cours du temps, que ce soit en nombre ou en proportion du total, </w:t>
      </w:r>
      <w:r>
        <w:rPr>
          <w:color w:val="000000" w:themeColor="text1"/>
        </w:rPr>
        <w:t xml:space="preserve">et l’émergence successive des classes d’âge, les jeunes adultes d’abord dès 1947 au Japon, puis les seniors dont l’augmentation accélère nettement en nombre et proportion à partir du milieu des années 1970, et enfin les personnes ayant déjà vécu longtemps dont l’augmentation en nombre et proportion accélère clairement à partir de l’an 2000 </w:t>
      </w:r>
    </w:p>
    <w:p>
      <w:pPr>
        <w:spacing w:after="0" w:line="240" w:lineRule="auto"/>
        <w:rPr>
          <w:color w:val="000000" w:themeColor="text1"/>
        </w:rPr>
      </w:pPr>
    </w:p>
    <w:p>
      <w:pPr>
        <w:spacing w:after="0" w:line="240" w:lineRule="auto"/>
        <w:rPr>
          <w:color w:val="000000" w:themeColor="text1"/>
        </w:rPr>
      </w:pPr>
      <w:r>
        <w:rPr>
          <w:color w:val="000000" w:themeColor="text1"/>
        </w:rPr>
        <w:t xml:space="preserve">Concernent l’envolée du nombre des centenaires et des supercentenaires en France, au Japon ou en Angleterre et pays de Galles. </w:t>
      </w:r>
      <w:r>
        <w:rPr>
          <w:color w:val="000000" w:themeColor="text1"/>
          <w:u w:val="single"/>
        </w:rPr>
        <w:t>Apparition et augmentation des centenaires en France entre 1924 et 2024. Les centenaires (100 ans et plus) représentent moins d’une centaine de personnes en France avant la fin de la deuxième guerre mondiale. Depuis 1946, leur nombre augmente de façon exponentielle. Partis de presque rien, ils sont plus de 30000 aujourd’hui</w:t>
      </w:r>
      <w:r>
        <w:rPr>
          <w:color w:val="000000" w:themeColor="text1"/>
        </w:rPr>
        <w:t xml:space="preserve">. Ce sont presque tous des femmes, 27000 vs 4000, soit </w:t>
      </w:r>
      <w:proofErr w:type="gramStart"/>
      <w:r>
        <w:rPr>
          <w:color w:val="000000" w:themeColor="text1"/>
        </w:rPr>
        <w:t>un sex-ratio</w:t>
      </w:r>
      <w:proofErr w:type="gramEnd"/>
      <w:r>
        <w:rPr>
          <w:color w:val="000000" w:themeColor="text1"/>
        </w:rPr>
        <w:t xml:space="preserve"> de 7 femmes pour un homme centenaire. </w:t>
      </w:r>
    </w:p>
    <w:p>
      <w:pPr>
        <w:spacing w:after="0" w:line="240" w:lineRule="auto"/>
        <w:rPr>
          <w:color w:val="000000" w:themeColor="text1"/>
        </w:rPr>
      </w:pPr>
    </w:p>
    <w:p>
      <w:pPr>
        <w:spacing w:after="0" w:line="240" w:lineRule="auto"/>
        <w:rPr>
          <w:color w:val="000000" w:themeColor="text1"/>
        </w:rPr>
      </w:pPr>
    </w:p>
    <w:p>
      <w:pPr>
        <w:spacing w:after="0" w:line="240" w:lineRule="auto"/>
        <w:rPr>
          <w:rFonts w:cstheme="minorHAnsi"/>
        </w:rPr>
      </w:pPr>
      <w:r>
        <w:rPr>
          <w:rFonts w:cstheme="minorHAnsi"/>
          <w:color w:val="000000" w:themeColor="text1"/>
        </w:rPr>
        <w:t xml:space="preserve">En conclusion, nous assistons à une augmentation inédite de la longévité couplée à un vieillissement de la population : selon </w:t>
      </w:r>
      <w:r>
        <w:rPr>
          <w:rFonts w:cstheme="minorHAnsi"/>
        </w:rPr>
        <w:t xml:space="preserve">Sylvain </w:t>
      </w:r>
      <w:proofErr w:type="spellStart"/>
      <w:r>
        <w:rPr>
          <w:rFonts w:cstheme="minorHAnsi"/>
        </w:rPr>
        <w:t>Rabuel</w:t>
      </w:r>
      <w:proofErr w:type="spellEnd"/>
      <w:r>
        <w:rPr>
          <w:rFonts w:cstheme="minorHAnsi"/>
        </w:rPr>
        <w:t xml:space="preserve">, PDG de </w:t>
      </w:r>
      <w:proofErr w:type="spellStart"/>
      <w:r>
        <w:rPr>
          <w:rFonts w:cstheme="minorHAnsi"/>
        </w:rPr>
        <w:t>DomusVi</w:t>
      </w:r>
      <w:proofErr w:type="spellEnd"/>
      <w:r>
        <w:rPr>
          <w:rFonts w:cstheme="minorHAnsi"/>
        </w:rPr>
        <w:t xml:space="preserve">, </w:t>
      </w:r>
      <w:r>
        <w:rPr>
          <w:rStyle w:val="Appelnotedebasdep"/>
          <w:rFonts w:asciiTheme="minorHAnsi" w:hAnsiTheme="minorHAnsi" w:cstheme="minorHAnsi"/>
        </w:rPr>
        <w:footnoteReference w:id="2"/>
      </w:r>
      <w:r>
        <w:rPr>
          <w:rFonts w:cstheme="minorHAnsi"/>
        </w:rPr>
        <w:t xml:space="preserve"> un des plus grands groupes d’EHPAD privés, dans 10 ans, le pays comptera 18 millions de plus de 65 ans - dont 12 millions de personnes en situation de dépendance -, soit 800 000 de plus qu’aujourd’hui - pour 12 millions de moins de 25 ans.</w:t>
      </w:r>
    </w:p>
    <w:p>
      <w:pPr>
        <w:spacing w:after="0" w:line="240" w:lineRule="auto"/>
        <w:rPr>
          <w:rFonts w:cstheme="minorHAnsi"/>
        </w:rPr>
      </w:pPr>
    </w:p>
    <w:p>
      <w:pPr>
        <w:spacing w:after="0" w:line="240" w:lineRule="auto"/>
        <w:rPr>
          <w:rFonts w:cstheme="minorHAnsi"/>
          <w:color w:val="000000" w:themeColor="text1"/>
        </w:rPr>
      </w:pPr>
      <w:r>
        <w:rPr>
          <w:rFonts w:cstheme="minorHAnsi"/>
        </w:rPr>
        <w:t>En parallèle de cette évolution, et ceci va plus encore nous imposer de repenser le fonctionnement et l’avenir de notre société, la natalité subit une baisse inédite : n</w:t>
      </w:r>
      <w:r>
        <w:rPr>
          <w:rFonts w:cstheme="minorHAnsi"/>
          <w:szCs w:val="32"/>
        </w:rPr>
        <w:t>ous sommes passés en France, en 50 ans, de 888 000 naissances en 1973 à 678 000 en 2023. La baisse des naissances semble se confirmer en 2024 avec 663 000 naissances seulement enregistrées</w:t>
      </w:r>
      <w:r>
        <w:rPr>
          <w:rStyle w:val="Appelnotedebasdep"/>
          <w:rFonts w:asciiTheme="minorHAnsi" w:hAnsiTheme="minorHAnsi" w:cstheme="minorHAnsi"/>
          <w:szCs w:val="32"/>
        </w:rPr>
        <w:footnoteReference w:id="3"/>
      </w:r>
      <w:r>
        <w:rPr>
          <w:rFonts w:cstheme="minorHAnsi"/>
          <w:szCs w:val="32"/>
        </w:rPr>
        <w:t xml:space="preserve">. </w:t>
      </w:r>
      <w:r>
        <w:rPr>
          <w:rFonts w:cstheme="minorHAnsi"/>
          <w:kern w:val="24"/>
          <w:szCs w:val="32"/>
        </w:rPr>
        <w:t xml:space="preserve">Le taux de fécondité des femmes de moins de 30 ans baisse depuis les années 2000, un peu pour des raisons médicales et beaucoup pour des raisons non médicales, d’ordre socioéconomique. Le taux de fécondité des femmes de 30 à 39 ans baisse depuis 1999 et celui des femmes de 40 ans ou plus, en hausse depuis le milieu des années 1980, marque le pas </w:t>
      </w:r>
      <w:r>
        <w:rPr>
          <w:rFonts w:cstheme="minorHAnsi"/>
          <w:color w:val="000000" w:themeColor="text1"/>
        </w:rPr>
        <w:br w:type="page"/>
      </w:r>
    </w:p>
    <w:p>
      <w:pPr>
        <w:spacing w:after="0" w:line="240" w:lineRule="auto"/>
        <w:rPr>
          <w:rFonts w:eastAsiaTheme="minorEastAsia"/>
          <w:b/>
          <w:sz w:val="28"/>
          <w:szCs w:val="28"/>
        </w:rPr>
      </w:pPr>
      <w:r>
        <w:rPr>
          <w:rFonts w:eastAsiaTheme="minorEastAsia"/>
          <w:b/>
          <w:sz w:val="28"/>
          <w:szCs w:val="28"/>
        </w:rPr>
        <w:lastRenderedPageBreak/>
        <w:t>Enjeux éthiques liées au vieillissement</w:t>
      </w:r>
    </w:p>
    <w:p>
      <w:pPr>
        <w:spacing w:after="0" w:line="240" w:lineRule="auto"/>
        <w:rPr>
          <w:rFonts w:eastAsiaTheme="minorEastAsia"/>
          <w:b/>
        </w:rPr>
      </w:pPr>
    </w:p>
    <w:p>
      <w:pPr>
        <w:spacing w:after="0" w:line="240" w:lineRule="auto"/>
        <w:rPr>
          <w:bCs/>
          <w:kern w:val="24"/>
        </w:rPr>
      </w:pPr>
      <w:r>
        <w:rPr>
          <w:bCs/>
          <w:kern w:val="24"/>
        </w:rPr>
        <w:t xml:space="preserve">Alors-même que les possibilités médicales augmentent pour améliorer la longévité et la fertilité, la natalité baisse. </w:t>
      </w:r>
    </w:p>
    <w:p>
      <w:pPr>
        <w:spacing w:after="0" w:line="240" w:lineRule="auto"/>
        <w:rPr>
          <w:bCs/>
          <w:kern w:val="24"/>
        </w:rPr>
      </w:pPr>
      <w:r>
        <w:rPr>
          <w:bCs/>
          <w:kern w:val="24"/>
        </w:rPr>
        <w:t xml:space="preserve">Par ailleurs les améliorations dans le domaine de la santé publique et les progrès de la médecine contribuent au vieillissement en bonne santé mais conduisent également à la possibilité de vieillir en situation de fragilité et avec plusieurs pathologies synchrones, souvent associées à une altération de l’indépendance fonctionnelle voire de l’autonomie de décision. </w:t>
      </w:r>
    </w:p>
    <w:p>
      <w:pPr>
        <w:spacing w:after="0" w:line="240" w:lineRule="auto"/>
        <w:rPr>
          <w:bCs/>
          <w:kern w:val="24"/>
        </w:rPr>
      </w:pPr>
      <w:r>
        <w:rPr>
          <w:bCs/>
          <w:kern w:val="24"/>
        </w:rPr>
        <w:t>Ces phénomènes croisés ne sont pas propres à la France mais sont constatés de façon, certes parfois différentes ou différées, mais globalement avec les mêmes tendances, dans le monde</w:t>
      </w:r>
      <w:r>
        <w:rPr>
          <w:rStyle w:val="Appelnotedebasdep"/>
          <w:bCs/>
          <w:kern w:val="24"/>
        </w:rPr>
        <w:footnoteReference w:id="4"/>
      </w:r>
      <w:r>
        <w:rPr>
          <w:bCs/>
          <w:kern w:val="24"/>
        </w:rPr>
        <w:t>. Cette réalité contrastée pose des questions de nature éthique.</w:t>
      </w:r>
    </w:p>
    <w:p>
      <w:pPr>
        <w:spacing w:after="0" w:line="240" w:lineRule="auto"/>
        <w:rPr>
          <w:rFonts w:cstheme="minorHAnsi"/>
          <w:u w:val="single"/>
        </w:rPr>
      </w:pPr>
      <w:r>
        <w:rPr>
          <w:rFonts w:cstheme="minorHAnsi"/>
          <w:u w:val="single"/>
        </w:rPr>
        <w:t xml:space="preserve">Il s’agit d’un phénomène sans aucun précédent dans l’histoire </w:t>
      </w:r>
    </w:p>
    <w:p>
      <w:pPr>
        <w:spacing w:after="0" w:line="240" w:lineRule="auto"/>
        <w:rPr>
          <w:rFonts w:eastAsiaTheme="minorEastAsia"/>
          <w:b/>
        </w:rPr>
      </w:pPr>
    </w:p>
    <w:p>
      <w:pPr>
        <w:spacing w:after="0" w:line="240" w:lineRule="auto"/>
        <w:rPr>
          <w:rFonts w:eastAsiaTheme="minorEastAsia"/>
          <w:b/>
        </w:rPr>
      </w:pPr>
    </w:p>
    <w:p>
      <w:pPr>
        <w:spacing w:after="0" w:line="240" w:lineRule="auto"/>
        <w:rPr>
          <w:rFonts w:eastAsiaTheme="minorEastAsia"/>
          <w:b/>
        </w:rPr>
      </w:pPr>
      <w:r>
        <w:rPr>
          <w:rFonts w:eastAsiaTheme="minorEastAsia"/>
          <w:b/>
        </w:rPr>
        <w:t xml:space="preserve">Le vieillissement en France, à l’échelle européenne et secondairement mondiale : est-il un problème ?  </w:t>
      </w:r>
    </w:p>
    <w:p>
      <w:pPr>
        <w:spacing w:after="0" w:line="240" w:lineRule="auto"/>
        <w:rPr>
          <w:rFonts w:cstheme="majorHAnsi"/>
          <w:shd w:val="clear" w:color="auto" w:fill="FFFFFF"/>
        </w:rPr>
      </w:pPr>
      <w:r>
        <w:rPr>
          <w:bCs/>
          <w:kern w:val="24"/>
        </w:rPr>
        <w:t>Au plan mondial, le vieillissement couplé à la baisse de la natalité peut être considéré comme une chance</w:t>
      </w:r>
      <w:r>
        <w:rPr>
          <w:rFonts w:eastAsiaTheme="minorEastAsia" w:cstheme="minorHAnsi"/>
          <w:bCs/>
          <w:kern w:val="24"/>
        </w:rPr>
        <w:t xml:space="preserve">, car le problème de notre planète est plutôt celui de la surpopulation : </w:t>
      </w:r>
      <w:r>
        <w:rPr>
          <w:rFonts w:cstheme="majorHAnsi"/>
          <w:shd w:val="clear" w:color="auto" w:fill="FFFFFF"/>
        </w:rPr>
        <w:t xml:space="preserve">depuis les 50 dernières années, la population humaine a doublé, l'économie mondiale a presque quadruplé et le commerce mondial a décuplé. </w:t>
      </w:r>
    </w:p>
    <w:p>
      <w:pPr>
        <w:spacing w:after="0" w:line="240" w:lineRule="auto"/>
        <w:rPr>
          <w:rFonts w:eastAsiaTheme="minorEastAsia" w:cstheme="majorHAnsi"/>
          <w:bCs/>
          <w:kern w:val="24"/>
        </w:rPr>
      </w:pPr>
      <w:r>
        <w:rPr>
          <w:rFonts w:cstheme="majorHAnsi"/>
          <w:shd w:val="clear" w:color="auto" w:fill="FFFFFF"/>
        </w:rPr>
        <w:t>Cette forte croissance démographique de la population humaine augmente considérablement les besoins en nourriture, matériaux, énergies et espaces</w:t>
      </w:r>
      <w:r>
        <w:rPr>
          <w:rStyle w:val="Appelnotedebasdep"/>
          <w:rFonts w:asciiTheme="minorHAnsi" w:hAnsiTheme="minorHAnsi" w:cstheme="majorHAnsi"/>
          <w:shd w:val="clear" w:color="auto" w:fill="FFFFFF"/>
        </w:rPr>
        <w:footnoteReference w:id="5"/>
      </w:r>
      <w:r>
        <w:rPr>
          <w:rFonts w:eastAsiaTheme="minorEastAsia" w:cstheme="majorHAnsi"/>
          <w:bCs/>
          <w:kern w:val="24"/>
        </w:rPr>
        <w:t xml:space="preserve">. Sur le plan alimentaire, les scientifiques estiment que </w:t>
      </w:r>
      <w:r>
        <w:rPr>
          <w:rFonts w:eastAsiaTheme="minorEastAsia" w:cstheme="majorHAnsi"/>
          <w:bCs/>
          <w:kern w:val="24"/>
          <w:u w:val="single"/>
        </w:rPr>
        <w:t>la terre ne peut nourrir plus de 10 milliards de personnes</w:t>
      </w:r>
      <w:r>
        <w:rPr>
          <w:rFonts w:eastAsiaTheme="minorEastAsia" w:cstheme="majorHAnsi"/>
          <w:bCs/>
          <w:kern w:val="24"/>
        </w:rPr>
        <w:t>. A noter que la population mondiale était de 8,2 milliards de personnes en 2024</w:t>
      </w:r>
      <w:r>
        <w:rPr>
          <w:rStyle w:val="Appelnotedebasdep"/>
          <w:rFonts w:eastAsiaTheme="minorEastAsia" w:cstheme="majorHAnsi"/>
          <w:bCs/>
          <w:kern w:val="24"/>
        </w:rPr>
        <w:footnoteReference w:id="6"/>
      </w:r>
      <w:r>
        <w:rPr>
          <w:rFonts w:eastAsiaTheme="minorEastAsia" w:cstheme="majorHAnsi"/>
          <w:bCs/>
          <w:kern w:val="24"/>
        </w:rPr>
        <w:t>.</w:t>
      </w:r>
    </w:p>
    <w:p>
      <w:pPr>
        <w:spacing w:after="0" w:line="240" w:lineRule="auto"/>
        <w:rPr>
          <w:rFonts w:cstheme="majorHAnsi"/>
          <w:shd w:val="clear" w:color="auto" w:fill="FFFFFF"/>
        </w:rPr>
      </w:pPr>
      <w:r>
        <w:rPr>
          <w:rFonts w:cstheme="majorHAnsi"/>
          <w:shd w:val="clear" w:color="auto" w:fill="FFFFFF"/>
        </w:rPr>
        <w:t xml:space="preserve">Selon l’ONU, dans un rapport publié en juillet 2024, </w:t>
      </w:r>
      <w:r>
        <w:rPr>
          <w:rFonts w:cstheme="majorHAnsi"/>
        </w:rPr>
        <w:t>733 millions de personnes environ ont souffert de la faim en 2023, soit une personne sur 11 à l’échelle mondiale et une sur cinq en Afrique</w:t>
      </w:r>
      <w:r>
        <w:rPr>
          <w:rStyle w:val="Appelnotedebasdep"/>
          <w:rFonts w:asciiTheme="minorHAnsi" w:hAnsiTheme="minorHAnsi" w:cstheme="majorHAnsi"/>
        </w:rPr>
        <w:footnoteReference w:id="7"/>
      </w:r>
      <w:r>
        <w:rPr>
          <w:rFonts w:cstheme="majorHAnsi"/>
        </w:rPr>
        <w:t>.</w:t>
      </w:r>
      <w:r>
        <w:rPr>
          <w:rFonts w:cstheme="majorHAnsi"/>
          <w:shd w:val="clear" w:color="auto" w:fill="FFFFFF"/>
        </w:rPr>
        <w:t xml:space="preserve"> </w:t>
      </w:r>
    </w:p>
    <w:p>
      <w:pPr>
        <w:spacing w:after="0" w:line="240" w:lineRule="auto"/>
        <w:rPr>
          <w:rFonts w:eastAsia="Times New Roman" w:cstheme="minorHAnsi"/>
          <w:i/>
          <w:iCs/>
          <w:lang w:eastAsia="fr-FR"/>
        </w:rPr>
      </w:pPr>
      <w:r>
        <w:rPr>
          <w:rFonts w:eastAsiaTheme="minorEastAsia" w:cstheme="majorHAnsi"/>
          <w:bCs/>
          <w:kern w:val="24"/>
        </w:rPr>
        <w:t xml:space="preserve">On sait par ailleurs qu’une conséquence de l’augmentation de l’activité humaine est </w:t>
      </w:r>
      <w:r>
        <w:rPr>
          <w:rFonts w:cstheme="majorHAnsi"/>
          <w:shd w:val="clear" w:color="auto" w:fill="FFFFFF"/>
        </w:rPr>
        <w:t xml:space="preserve">l’accumulation des gaz à effet de serre, responsable d’un réchauffement climatique et d’une élévation du niveau des océans. </w:t>
      </w:r>
      <w:r>
        <w:rPr>
          <w:rFonts w:eastAsia="Times New Roman" w:cstheme="minorHAnsi"/>
          <w:lang w:eastAsia="fr-FR"/>
        </w:rPr>
        <w:t>Le recul de la population est une bonne chose pour la planète : </w:t>
      </w:r>
    </w:p>
    <w:p>
      <w:pPr>
        <w:spacing w:after="0" w:line="240" w:lineRule="auto"/>
        <w:rPr>
          <w:rFonts w:eastAsia="Times New Roman" w:cstheme="minorHAnsi"/>
          <w:i/>
          <w:iCs/>
          <w:lang w:eastAsia="fr-FR"/>
        </w:rPr>
      </w:pPr>
    </w:p>
    <w:p>
      <w:pPr>
        <w:spacing w:after="0" w:line="240" w:lineRule="auto"/>
        <w:rPr>
          <w:rFonts w:cstheme="majorHAnsi"/>
          <w:shd w:val="clear" w:color="auto" w:fill="FFFFFF"/>
        </w:rPr>
      </w:pPr>
      <w:r>
        <w:rPr>
          <w:rFonts w:eastAsia="Times New Roman" w:cstheme="minorHAnsi"/>
          <w:lang w:eastAsia="fr-FR"/>
        </w:rPr>
        <w:t>Le problème sera de réussir à gérer la période quand le nombre de personnes âgées sera très élevé par rapport à la population active. Une question de deux ou trois générations.</w:t>
      </w:r>
    </w:p>
    <w:p>
      <w:pPr>
        <w:spacing w:after="0" w:line="240" w:lineRule="auto"/>
        <w:rPr>
          <w:rFonts w:cstheme="majorHAnsi"/>
          <w:shd w:val="clear" w:color="auto" w:fill="FFFFFF"/>
        </w:rPr>
      </w:pPr>
    </w:p>
    <w:p>
      <w:pPr>
        <w:spacing w:after="0" w:line="240" w:lineRule="auto"/>
        <w:rPr>
          <w:rFonts w:eastAsia="Times New Roman" w:cstheme="minorHAnsi"/>
          <w:kern w:val="36"/>
          <w:lang w:eastAsia="fr-FR"/>
        </w:rPr>
      </w:pPr>
      <w:r>
        <w:rPr>
          <w:rFonts w:cstheme="minorHAnsi"/>
          <w:u w:val="single"/>
        </w:rPr>
        <w:t xml:space="preserve">Après le narratif du spectre de l’explosion démographique installé par Malthus (économiste du 19è, c’est le narratif de l’effondrement démographique et civilisationnel qui s’installe progressivement </w:t>
      </w:r>
      <w:r>
        <w:rPr>
          <w:rFonts w:cstheme="minorHAnsi"/>
          <w:shd w:val="clear" w:color="auto" w:fill="FFFFFF"/>
        </w:rPr>
        <w:t>(</w:t>
      </w:r>
      <w:r>
        <w:rPr>
          <w:rFonts w:cstheme="minorHAnsi"/>
          <w:i/>
          <w:iCs/>
          <w:shd w:val="clear" w:color="auto" w:fill="FFFFFF"/>
        </w:rPr>
        <w:t xml:space="preserve">Référence à un article du Monde du </w:t>
      </w:r>
      <w:r>
        <w:rPr>
          <w:rFonts w:eastAsia="Times New Roman" w:cstheme="minorHAnsi"/>
          <w:i/>
          <w:iCs/>
          <w:lang w:eastAsia="fr-FR"/>
        </w:rPr>
        <w:t>12 septembre 2024, d’Éric Albert : « </w:t>
      </w:r>
      <w:r>
        <w:rPr>
          <w:rFonts w:eastAsia="Times New Roman" w:cstheme="minorHAnsi"/>
          <w:i/>
          <w:iCs/>
          <w:kern w:val="36"/>
          <w:lang w:eastAsia="fr-FR"/>
        </w:rPr>
        <w:t>Comment le vieillissement bouleverse nos sociétés)</w:t>
      </w:r>
    </w:p>
    <w:p>
      <w:pPr>
        <w:spacing w:after="0" w:line="240" w:lineRule="auto"/>
        <w:rPr>
          <w:rFonts w:cstheme="minorHAnsi"/>
          <w:u w:val="single"/>
        </w:rPr>
      </w:pPr>
    </w:p>
    <w:p>
      <w:pPr>
        <w:spacing w:after="0" w:line="240" w:lineRule="auto"/>
        <w:rPr>
          <w:b/>
          <w:bCs/>
          <w:i/>
          <w:iCs/>
        </w:rPr>
      </w:pPr>
    </w:p>
    <w:p>
      <w:pPr>
        <w:spacing w:after="0" w:line="240" w:lineRule="auto"/>
        <w:rPr>
          <w:b/>
          <w:bCs/>
          <w:i/>
          <w:iCs/>
        </w:rPr>
      </w:pPr>
    </w:p>
    <w:p>
      <w:pPr>
        <w:spacing w:after="0" w:line="240" w:lineRule="auto"/>
        <w:rPr>
          <w:b/>
          <w:bCs/>
          <w:i/>
          <w:iCs/>
        </w:rPr>
      </w:pPr>
    </w:p>
    <w:p>
      <w:pPr>
        <w:spacing w:after="0" w:line="240" w:lineRule="auto"/>
        <w:rPr>
          <w:b/>
          <w:bCs/>
          <w:i/>
          <w:iCs/>
        </w:rPr>
      </w:pPr>
    </w:p>
    <w:p>
      <w:pPr>
        <w:spacing w:after="0" w:line="240" w:lineRule="auto"/>
        <w:rPr>
          <w:b/>
          <w:bCs/>
          <w:i/>
          <w:iCs/>
        </w:rPr>
      </w:pPr>
    </w:p>
    <w:p>
      <w:pPr>
        <w:spacing w:after="0" w:line="240" w:lineRule="auto"/>
        <w:rPr>
          <w:b/>
          <w:bCs/>
          <w:i/>
          <w:iCs/>
        </w:rPr>
      </w:pPr>
    </w:p>
    <w:p>
      <w:pPr>
        <w:spacing w:after="0" w:line="240" w:lineRule="auto"/>
        <w:rPr>
          <w:b/>
          <w:bCs/>
          <w:i/>
          <w:iCs/>
        </w:rPr>
      </w:pPr>
      <w:r>
        <w:rPr>
          <w:b/>
          <w:bCs/>
          <w:i/>
          <w:iCs/>
        </w:rPr>
        <w:lastRenderedPageBreak/>
        <w:t>Le vieillissement humain pose des questions dans le champ de la bioéthique</w:t>
      </w:r>
    </w:p>
    <w:p>
      <w:pPr>
        <w:pStyle w:val="Paragraphedeliste"/>
        <w:spacing w:after="0" w:line="240" w:lineRule="auto"/>
        <w:rPr>
          <w:rFonts w:cstheme="minorHAnsi"/>
          <w:spacing w:val="12"/>
        </w:rPr>
      </w:pPr>
    </w:p>
    <w:p>
      <w:pPr>
        <w:pStyle w:val="Paragraphedeliste"/>
        <w:numPr>
          <w:ilvl w:val="0"/>
          <w:numId w:val="7"/>
        </w:numPr>
        <w:spacing w:after="0" w:line="240" w:lineRule="auto"/>
        <w:rPr>
          <w:rFonts w:cstheme="minorHAnsi"/>
          <w:spacing w:val="12"/>
        </w:rPr>
      </w:pPr>
      <w:r>
        <w:rPr>
          <w:rFonts w:cstheme="minorHAnsi"/>
          <w:b/>
          <w:bCs/>
          <w:spacing w:val="12"/>
        </w:rPr>
        <w:t xml:space="preserve">Certes, la technique et la science vont continuer à progresser </w:t>
      </w:r>
      <w:r>
        <w:rPr>
          <w:rFonts w:cstheme="minorHAnsi"/>
          <w:spacing w:val="12"/>
        </w:rPr>
        <w:t>[Xénogreffes (transplantation</w:t>
      </w:r>
      <w:r>
        <w:rPr>
          <w:rFonts w:eastAsia="Times New Roman" w:cstheme="minorHAnsi"/>
          <w:lang w:eastAsia="fr-FR"/>
        </w:rPr>
        <w:t xml:space="preserve"> </w:t>
      </w:r>
      <w:r>
        <w:rPr>
          <w:rFonts w:cstheme="minorHAnsi"/>
        </w:rPr>
        <w:t>d'un greffon où le </w:t>
      </w:r>
      <w:r>
        <w:rPr>
          <w:rFonts w:cstheme="minorHAnsi"/>
          <w:i/>
          <w:iCs/>
        </w:rPr>
        <w:t>donneur</w:t>
      </w:r>
      <w:r>
        <w:rPr>
          <w:rFonts w:cstheme="minorHAnsi"/>
        </w:rPr>
        <w:t> est d'une espèce biologique différente de celle du </w:t>
      </w:r>
      <w:r>
        <w:rPr>
          <w:rFonts w:cstheme="minorHAnsi"/>
          <w:i/>
          <w:iCs/>
        </w:rPr>
        <w:t>receveur </w:t>
      </w:r>
      <w:r>
        <w:rPr>
          <w:rFonts w:cstheme="minorHAnsi"/>
          <w:spacing w:val="12"/>
        </w:rPr>
        <w:t>; organes et cellules artificiels ; progrès des neurosciences augmentant la performance cognitive ; avancées dans le domaine de la génétique et de l’épigénétique ; progrès dans le champ de la domotique, de la robotique, de l’IA… Mais quelle est l’éthique du progrès ? Faut-il faire au seul motif que l’on sait faire ? Améliorer la qualité de vie, voire la survie a du sens si l’environnement des ces vies est favorable. Et d’autre part, on sait que le les avancées de la médecine s’accompagnent d’une augmentation des situations de vulnérabilité.</w:t>
      </w:r>
    </w:p>
    <w:p>
      <w:pPr>
        <w:pStyle w:val="Paragraphedeliste"/>
        <w:spacing w:after="0" w:line="240" w:lineRule="auto"/>
        <w:rPr>
          <w:rFonts w:cstheme="minorHAnsi"/>
          <w:spacing w:val="12"/>
        </w:rPr>
      </w:pPr>
    </w:p>
    <w:p>
      <w:pPr>
        <w:pStyle w:val="Paragraphedeliste"/>
        <w:numPr>
          <w:ilvl w:val="0"/>
          <w:numId w:val="7"/>
        </w:numPr>
        <w:spacing w:after="0" w:line="240" w:lineRule="auto"/>
        <w:rPr>
          <w:rFonts w:cstheme="minorHAnsi"/>
          <w:spacing w:val="12"/>
        </w:rPr>
      </w:pPr>
      <w:r>
        <w:rPr>
          <w:rFonts w:cstheme="minorHAnsi"/>
          <w:b/>
          <w:bCs/>
          <w:spacing w:val="12"/>
        </w:rPr>
        <w:t xml:space="preserve">Les situations de vulnérabilités liées à la fois au vieillissement, et aux avancées techniques et scientifiques de la médecine vont augmenter, imposant de penser la responsabilité de notre société et de notre système de santé dans l’accompagnement des ces situations créées par le progrès : </w:t>
      </w:r>
      <w:r>
        <w:rPr>
          <w:rFonts w:cstheme="minorHAnsi"/>
          <w:spacing w:val="12"/>
          <w:u w:val="single"/>
        </w:rPr>
        <w:t>vers une médecine de la personne</w:t>
      </w:r>
      <w:r>
        <w:rPr>
          <w:rFonts w:cstheme="minorHAnsi"/>
          <w:spacing w:val="12"/>
        </w:rPr>
        <w:t xml:space="preserve"> centrée sur la prévention des situations de vulnérabilité, l’accompagnement des personnes. </w:t>
      </w:r>
      <w:proofErr w:type="gramStart"/>
      <w:r>
        <w:rPr>
          <w:rFonts w:cstheme="minorHAnsi"/>
          <w:spacing w:val="12"/>
        </w:rPr>
        <w:t xml:space="preserve">( </w:t>
      </w:r>
      <w:proofErr w:type="spellStart"/>
      <w:r>
        <w:rPr>
          <w:rFonts w:cstheme="minorHAnsi"/>
          <w:spacing w:val="12"/>
        </w:rPr>
        <w:t>cf</w:t>
      </w:r>
      <w:proofErr w:type="spellEnd"/>
      <w:proofErr w:type="gramEnd"/>
      <w:r>
        <w:rPr>
          <w:rFonts w:cstheme="minorHAnsi"/>
          <w:spacing w:val="12"/>
        </w:rPr>
        <w:t xml:space="preserve"> avis 147 du CCNE</w:t>
      </w:r>
      <w:r>
        <w:rPr>
          <w:rStyle w:val="Appelnotedebasdep"/>
          <w:rFonts w:asciiTheme="minorHAnsi" w:hAnsiTheme="minorHAnsi" w:cstheme="minorHAnsi"/>
          <w:spacing w:val="12"/>
        </w:rPr>
        <w:footnoteReference w:id="8"/>
      </w:r>
      <w:r>
        <w:rPr>
          <w:rFonts w:cstheme="minorHAnsi"/>
          <w:spacing w:val="12"/>
        </w:rPr>
        <w:t>)</w:t>
      </w:r>
    </w:p>
    <w:p>
      <w:pPr>
        <w:spacing w:after="0" w:line="240" w:lineRule="auto"/>
        <w:rPr>
          <w:rFonts w:cstheme="minorHAnsi"/>
          <w:spacing w:val="12"/>
        </w:rPr>
      </w:pPr>
    </w:p>
    <w:p>
      <w:pPr>
        <w:pStyle w:val="Paragraphedeliste"/>
        <w:numPr>
          <w:ilvl w:val="0"/>
          <w:numId w:val="7"/>
        </w:numPr>
        <w:spacing w:after="0" w:line="240" w:lineRule="auto"/>
        <w:rPr>
          <w:rFonts w:cstheme="minorHAnsi"/>
          <w:spacing w:val="12"/>
        </w:rPr>
      </w:pPr>
      <w:r>
        <w:rPr>
          <w:rFonts w:cstheme="minorHAnsi"/>
          <w:spacing w:val="12"/>
          <w:u w:val="single"/>
        </w:rPr>
        <w:t>Vers une médecine de la complexité,</w:t>
      </w:r>
      <w:r>
        <w:rPr>
          <w:rFonts w:cstheme="minorHAnsi"/>
          <w:spacing w:val="12"/>
        </w:rPr>
        <w:t xml:space="preserve"> questionnant le bienfondé de l’action, marquée par une approche interdisciplinaire pour un soin et des traitements justes, pour un accès au soin pour tous, par une approche décloisonnée.</w:t>
      </w:r>
      <w:r>
        <w:rPr>
          <w:rFonts w:cstheme="minorHAnsi"/>
        </w:rPr>
        <w:t xml:space="preserve">  Jusqu’où proposer des traitements susceptibles d’augmenter l’espérance de vie avec une ou des maladies et / ou un handicap (à différencier des soins) à des personnes âgées polypathologiques présentant une altération de leurs indépendance fonctionnelle, parfois de leur autonomie de décision, de leur qualité de vie éprouvée</w:t>
      </w:r>
    </w:p>
    <w:p>
      <w:pPr>
        <w:pStyle w:val="Paragraphedeliste"/>
        <w:rPr>
          <w:rFonts w:cstheme="minorHAnsi"/>
          <w:spacing w:val="12"/>
        </w:rPr>
      </w:pPr>
    </w:p>
    <w:p>
      <w:pPr>
        <w:pStyle w:val="Paragraphedeliste"/>
        <w:numPr>
          <w:ilvl w:val="0"/>
          <w:numId w:val="7"/>
        </w:numPr>
        <w:spacing w:after="0" w:line="240" w:lineRule="auto"/>
        <w:rPr>
          <w:rFonts w:cstheme="minorHAnsi"/>
          <w:spacing w:val="12"/>
        </w:rPr>
      </w:pPr>
      <w:r>
        <w:rPr>
          <w:rFonts w:cstheme="minorHAnsi"/>
          <w:spacing w:val="12"/>
        </w:rPr>
        <w:t>Appréhender les situations de vulnérabilité impose une approche transdisciplinaire, du temps réflexif et discursif ainsi qu’une véritable intégration de l’éthique dans la pratique des acteurs autour et avec la personne malade ou âgée pour apporter les réponses les plus justes. Cette visée nécessite une réforme de l’organisation du système de santé (</w:t>
      </w:r>
      <w:proofErr w:type="spellStart"/>
      <w:r>
        <w:rPr>
          <w:rFonts w:cstheme="minorHAnsi"/>
          <w:spacing w:val="12"/>
        </w:rPr>
        <w:t>cf</w:t>
      </w:r>
      <w:proofErr w:type="spellEnd"/>
      <w:r>
        <w:rPr>
          <w:rFonts w:cstheme="minorHAnsi"/>
          <w:spacing w:val="12"/>
        </w:rPr>
        <w:t xml:space="preserve"> avis 140 du CCNE</w:t>
      </w:r>
      <w:r>
        <w:rPr>
          <w:rStyle w:val="Appelnotedebasdep"/>
          <w:rFonts w:asciiTheme="minorHAnsi" w:hAnsiTheme="minorHAnsi" w:cstheme="minorHAnsi"/>
          <w:spacing w:val="12"/>
        </w:rPr>
        <w:footnoteReference w:id="9"/>
      </w:r>
      <w:r>
        <w:rPr>
          <w:rFonts w:cstheme="minorHAnsi"/>
          <w:spacing w:val="12"/>
        </w:rPr>
        <w:t>), une réforme de la valorisation des actes (l’acte le plus difficile consistant parfois à décider de ne pas faire alors que l’on sait faire) et une réforme de la formation des professionnels de santé.</w:t>
      </w:r>
    </w:p>
    <w:p>
      <w:pPr>
        <w:spacing w:after="0" w:line="240" w:lineRule="auto"/>
        <w:rPr>
          <w:rFonts w:cstheme="minorHAnsi"/>
        </w:rPr>
      </w:pPr>
    </w:p>
    <w:p>
      <w:pPr>
        <w:spacing w:after="0" w:line="240" w:lineRule="auto"/>
      </w:pPr>
      <w:r>
        <w:rPr>
          <w:b/>
          <w:bCs/>
          <w:i/>
          <w:iCs/>
        </w:rPr>
        <w:t>Au-delà des questions éthiques de nature biomédicale</w:t>
      </w:r>
      <w:r>
        <w:t xml:space="preserve">… </w:t>
      </w:r>
      <w:r>
        <w:rPr>
          <w:b/>
          <w:bCs/>
          <w:i/>
          <w:iCs/>
        </w:rPr>
        <w:t>Le facteur principal de questionnement éthique est ce qui interroge un modèle socio-économique</w:t>
      </w:r>
      <w:r>
        <w:t xml:space="preserve">. Que voulons-nous comme société pour nos enfants ? </w:t>
      </w:r>
    </w:p>
    <w:p>
      <w:pPr>
        <w:spacing w:after="0" w:line="240" w:lineRule="auto"/>
        <w:rPr>
          <w:bCs/>
          <w:kern w:val="24"/>
        </w:rPr>
      </w:pPr>
    </w:p>
    <w:p>
      <w:pPr>
        <w:spacing w:after="0" w:line="240" w:lineRule="auto"/>
        <w:rPr>
          <w:rStyle w:val="lev"/>
        </w:rPr>
      </w:pPr>
      <w:r>
        <w:rPr>
          <w:bCs/>
          <w:kern w:val="24"/>
        </w:rPr>
        <w:t>Le vieillissement est un problème </w:t>
      </w:r>
      <w:r>
        <w:rPr>
          <w:rFonts w:eastAsiaTheme="minorEastAsia"/>
          <w:bCs/>
          <w:kern w:val="24"/>
        </w:rPr>
        <w:t>si on l’appréhende avec les lunettes de notre modèle économique libéral mondialisé. Q</w:t>
      </w:r>
      <w:r>
        <w:rPr>
          <w:rFonts w:eastAsiaTheme="minorEastAsia"/>
          <w:kern w:val="24"/>
        </w:rPr>
        <w:t>uelles seraient en effet les conséquences sociales et économiques d’une augmentation de la longévité couplée à une baisse de la natalité ?  Comment une société peut-elle « vivre » durablement sans renouvellement des générations, sans dynamiques intergénérationnelles ?</w:t>
      </w:r>
      <w:r>
        <w:rPr>
          <w:rStyle w:val="lev"/>
        </w:rPr>
        <w:t xml:space="preserve"> </w:t>
      </w:r>
    </w:p>
    <w:p>
      <w:pPr>
        <w:pStyle w:val="Paragraphedeliste"/>
        <w:numPr>
          <w:ilvl w:val="0"/>
          <w:numId w:val="1"/>
        </w:numPr>
        <w:spacing w:after="0" w:line="240" w:lineRule="auto"/>
        <w:rPr>
          <w:rFonts w:eastAsia="Times New Roman"/>
        </w:rPr>
      </w:pPr>
      <w:r>
        <w:rPr>
          <w:rStyle w:val="lev"/>
          <w:b w:val="0"/>
          <w:bCs w:val="0"/>
        </w:rPr>
        <w:lastRenderedPageBreak/>
        <w:t>Le vieillissement de la population va poser de nombreux problèmes</w:t>
      </w:r>
      <w:r>
        <w:rPr>
          <w:rStyle w:val="lev"/>
        </w:rPr>
        <w:t xml:space="preserve"> </w:t>
      </w:r>
      <w:r>
        <w:rPr>
          <w:rFonts w:eastAsia="Times New Roman"/>
        </w:rPr>
        <w:t>économiques et sociétaux car plus de personnes âgées signifie moins de travailleurs en activité entrainant des difficultés de financement de l’Assurance maladie et des retraites. Le vieillissement de la population associé à une baisse de la natalité entrainera enfin une baisse de la population active, donc une baisse des recettes fiscales et un ralentissement de la croissance, une hausse des dépenses publiques et des risques politiques et sociaux.</w:t>
      </w:r>
    </w:p>
    <w:p>
      <w:pPr>
        <w:pStyle w:val="Paragraphedeliste"/>
        <w:numPr>
          <w:ilvl w:val="0"/>
          <w:numId w:val="1"/>
        </w:numPr>
        <w:spacing w:after="0" w:line="240" w:lineRule="auto"/>
        <w:rPr>
          <w:rFonts w:eastAsia="Times New Roman"/>
        </w:rPr>
      </w:pPr>
      <w:r>
        <w:rPr>
          <w:rFonts w:eastAsiaTheme="minorEastAsia" w:cstheme="majorHAnsi"/>
          <w:bCs/>
          <w:kern w:val="24"/>
        </w:rPr>
        <w:t>Une diminution de la population jeune interroge la possibilité d’animer notre société, de la faire vivre, d’être force d’idées, d’innovation, et de progrès</w:t>
      </w:r>
    </w:p>
    <w:p>
      <w:pPr>
        <w:pStyle w:val="Paragraphedeliste"/>
        <w:numPr>
          <w:ilvl w:val="0"/>
          <w:numId w:val="1"/>
        </w:numPr>
        <w:spacing w:after="0" w:line="240" w:lineRule="auto"/>
        <w:jc w:val="both"/>
        <w:rPr>
          <w:rFonts w:eastAsiaTheme="minorEastAsia"/>
          <w:kern w:val="24"/>
        </w:rPr>
      </w:pPr>
      <w:r>
        <w:rPr>
          <w:rFonts w:eastAsiaTheme="minorEastAsia"/>
          <w:bCs/>
          <w:kern w:val="24"/>
        </w:rPr>
        <w:t>Est-il nécessaire que la population jeune soit le fait d’une amélioration de la natalité en France ? Peut-on imaginer de « faire venir » des jeunes de pays qui souffrent d’une surpopulation et ou le taux de natalité est encore important pour maintenir l’activité économique et s’occuper des vieux ? Autrement-dit, faut-il favoriser l’immigration pour maintenir une population jeune dans nos sociétés vieillissantes ?</w:t>
      </w:r>
    </w:p>
    <w:p>
      <w:pPr>
        <w:spacing w:after="0" w:line="240" w:lineRule="auto"/>
        <w:jc w:val="both"/>
        <w:rPr>
          <w:rFonts w:eastAsiaTheme="minorEastAsia"/>
          <w:bCs/>
          <w:kern w:val="24"/>
        </w:rPr>
      </w:pPr>
    </w:p>
    <w:p>
      <w:pPr>
        <w:spacing w:after="0" w:line="240" w:lineRule="auto"/>
        <w:jc w:val="both"/>
        <w:rPr>
          <w:rFonts w:eastAsiaTheme="minorEastAsia"/>
          <w:bCs/>
          <w:kern w:val="24"/>
        </w:rPr>
      </w:pPr>
    </w:p>
    <w:p>
      <w:pPr>
        <w:spacing w:after="0" w:line="240" w:lineRule="auto"/>
        <w:jc w:val="both"/>
        <w:rPr>
          <w:rFonts w:eastAsiaTheme="minorEastAsia"/>
          <w:b/>
          <w:i/>
          <w:iCs/>
        </w:rPr>
      </w:pPr>
      <w:r>
        <w:rPr>
          <w:b/>
          <w:i/>
          <w:iCs/>
        </w:rPr>
        <w:t>Entre autonomie et solidarité : la place de la personne âgée dans la société à venir</w:t>
      </w:r>
    </w:p>
    <w:p>
      <w:pPr>
        <w:spacing w:after="0" w:line="240" w:lineRule="auto"/>
      </w:pPr>
      <w:r>
        <w:t xml:space="preserve">Le soubassement éthique de ces questions repose sur la notion de solidarité entre les personnes, entre les générations, entre les pays. La solidarité interhumaine, intergénérationnelle est le fondement de nos sociétés (celles-ci auraient disparu si elles ne s’étaient pas constitué sur un socle solidaire). </w:t>
      </w:r>
    </w:p>
    <w:p>
      <w:pPr>
        <w:spacing w:after="0" w:line="240" w:lineRule="auto"/>
      </w:pPr>
      <w:r>
        <w:t xml:space="preserve">Les solidarités interhumaines sont la raison d’être des sociétés (sans solidarités, les sociétés auraient probablement </w:t>
      </w:r>
      <w:proofErr w:type="gramStart"/>
      <w:r>
        <w:t>disparues</w:t>
      </w:r>
      <w:proofErr w:type="gramEnd"/>
      <w:r>
        <w:t xml:space="preserve"> comme ont disparues d’autres espèces animales)</w:t>
      </w:r>
    </w:p>
    <w:p>
      <w:pPr>
        <w:spacing w:after="0" w:line="240" w:lineRule="auto"/>
        <w:rPr>
          <w:bCs/>
          <w:i/>
        </w:rPr>
      </w:pPr>
      <w:r>
        <w:t>Penser de nouvelles formes de solidarité constitue l’un des défis les plus cruciaux</w:t>
      </w:r>
      <w:r>
        <w:rPr>
          <w:b/>
          <w:bCs/>
          <w:i/>
        </w:rPr>
        <w:t xml:space="preserve"> </w:t>
      </w:r>
      <w:r>
        <w:t>dans nos sociétés contemporaines, dans la mesure où la préservation d’un équilibre entre ces deux principes fondamentaux est essentielle pour garantir à la fois la dignité des individus et la cohésion sociale.</w:t>
      </w:r>
    </w:p>
    <w:p>
      <w:pPr>
        <w:spacing w:after="0" w:line="240" w:lineRule="auto"/>
      </w:pPr>
    </w:p>
    <w:p>
      <w:pPr>
        <w:spacing w:after="0" w:line="240" w:lineRule="auto"/>
      </w:pPr>
      <w:r>
        <w:t>Rappel avis 128 au motif de d’améliorer la sécurité de certaines personnes âgées, celles qui ont une altération de leur indépendance et de leur autonomie, on les « place », souvent contre leur volonté (qui est de rester à domicile) et on les concentre entre elles dans des lieux qu’elles ne souhaitent pas intégrer</w:t>
      </w:r>
    </w:p>
    <w:p>
      <w:pPr>
        <w:spacing w:after="0" w:line="240" w:lineRule="auto"/>
        <w:rPr>
          <w:rFonts w:cstheme="minorHAnsi"/>
        </w:rPr>
      </w:pPr>
    </w:p>
    <w:p>
      <w:pPr>
        <w:spacing w:after="0" w:line="240" w:lineRule="auto"/>
        <w:rPr>
          <w:rFonts w:cstheme="minorHAnsi"/>
          <w:b/>
          <w:bCs/>
          <w:sz w:val="28"/>
          <w:szCs w:val="28"/>
        </w:rPr>
      </w:pPr>
    </w:p>
    <w:p>
      <w:pPr>
        <w:spacing w:after="0" w:line="240" w:lineRule="auto"/>
        <w:rPr>
          <w:rFonts w:cstheme="minorHAnsi"/>
          <w:b/>
          <w:bCs/>
          <w:sz w:val="28"/>
          <w:szCs w:val="28"/>
        </w:rPr>
      </w:pPr>
      <w:r>
        <w:rPr>
          <w:rFonts w:cstheme="minorHAnsi"/>
          <w:b/>
          <w:bCs/>
          <w:sz w:val="28"/>
          <w:szCs w:val="28"/>
        </w:rPr>
        <w:t xml:space="preserve">Quelques pistes pêle-mêle pour l’avenir </w:t>
      </w:r>
    </w:p>
    <w:p>
      <w:pPr>
        <w:spacing w:line="240" w:lineRule="auto"/>
        <w:rPr>
          <w:rFonts w:cstheme="minorHAnsi"/>
        </w:rPr>
      </w:pPr>
    </w:p>
    <w:p>
      <w:pPr>
        <w:spacing w:line="240" w:lineRule="auto"/>
        <w:rPr>
          <w:rFonts w:cstheme="minorHAnsi"/>
        </w:rPr>
      </w:pPr>
      <w:r>
        <w:rPr>
          <w:rFonts w:cstheme="minorHAnsi"/>
        </w:rPr>
        <w:t>Pour une organisation mondiale permettant l’adaptation de nos sociétés au vieillissement ? Une utopie probable mais une nécessité.</w:t>
      </w:r>
    </w:p>
    <w:p>
      <w:pPr>
        <w:pStyle w:val="Paragraphedeliste"/>
        <w:numPr>
          <w:ilvl w:val="0"/>
          <w:numId w:val="8"/>
        </w:numPr>
        <w:spacing w:after="0" w:line="240" w:lineRule="auto"/>
        <w:rPr>
          <w:rFonts w:cstheme="minorHAnsi"/>
        </w:rPr>
      </w:pPr>
      <w:r>
        <w:rPr>
          <w:rFonts w:cstheme="minorHAnsi"/>
        </w:rPr>
        <w:t>Nécessité d’un débat de société voire d’états généraux du vieillissement (et de la natalité), pour informer, repenser les solidarités, lutter contre les discriminations (âgisme), solliciter les citoyens pour imaginer des réponses justes, chercher à réenchanter la vie.</w:t>
      </w:r>
    </w:p>
    <w:p>
      <w:pPr>
        <w:pStyle w:val="Paragraphedeliste"/>
        <w:numPr>
          <w:ilvl w:val="0"/>
          <w:numId w:val="8"/>
        </w:numPr>
        <w:spacing w:after="0" w:line="240" w:lineRule="auto"/>
        <w:rPr>
          <w:rFonts w:cstheme="minorHAnsi"/>
        </w:rPr>
      </w:pPr>
      <w:r>
        <w:rPr>
          <w:rFonts w:cstheme="minorHAnsi"/>
          <w:color w:val="1F1F1F"/>
          <w:shd w:val="clear" w:color="auto" w:fill="FFFFFF"/>
        </w:rPr>
        <w:t>Débat sur les limites et les alternatives au courant économique libéral : si la croissance est liée à l’augmentation de la population active et à une exploitation croissante des ressources naturelles, la baisse de cette population et la nécessité d’agir sur le climat et l’environnement ne vont-t-elles pas conduire à interroger les limites de la croissance ? </w:t>
      </w:r>
      <w:r>
        <w:rPr>
          <w:rFonts w:cstheme="minorHAnsi"/>
          <w:color w:val="040C28"/>
        </w:rPr>
        <w:t xml:space="preserve"> </w:t>
      </w:r>
    </w:p>
    <w:p>
      <w:pPr>
        <w:spacing w:line="240" w:lineRule="auto"/>
        <w:rPr>
          <w:rFonts w:cstheme="minorHAnsi"/>
        </w:rPr>
      </w:pPr>
    </w:p>
    <w:p>
      <w:pPr>
        <w:spacing w:line="240" w:lineRule="auto"/>
        <w:rPr>
          <w:rFonts w:cstheme="minorHAnsi"/>
        </w:rPr>
      </w:pPr>
      <w:r>
        <w:rPr>
          <w:rFonts w:cstheme="minorHAnsi"/>
        </w:rPr>
        <w:t>De façon plus pragmatique et en France et en Europe</w:t>
      </w:r>
    </w:p>
    <w:p>
      <w:pPr>
        <w:pStyle w:val="Paragraphedeliste"/>
        <w:numPr>
          <w:ilvl w:val="0"/>
          <w:numId w:val="8"/>
        </w:numPr>
        <w:spacing w:line="240" w:lineRule="auto"/>
        <w:rPr>
          <w:rFonts w:cstheme="minorHAnsi"/>
        </w:rPr>
      </w:pPr>
      <w:r>
        <w:rPr>
          <w:rFonts w:cstheme="minorHAnsi"/>
        </w:rPr>
        <w:t xml:space="preserve">Repenser le pacte social sur lequel s’est fondé notre système de santé dans l’après-guerre en l’adaptant pour maintenir ses fondements </w:t>
      </w:r>
      <w:proofErr w:type="gramStart"/>
      <w:r>
        <w:rPr>
          <w:rFonts w:cstheme="minorHAnsi"/>
        </w:rPr>
        <w:t>éthiques  (</w:t>
      </w:r>
      <w:proofErr w:type="gramEnd"/>
      <w:r>
        <w:rPr>
          <w:rFonts w:cstheme="minorHAnsi"/>
        </w:rPr>
        <w:t>respect des personnes, équité, accès pour tous à la santé)</w:t>
      </w:r>
    </w:p>
    <w:p>
      <w:pPr>
        <w:pStyle w:val="Paragraphedeliste"/>
        <w:numPr>
          <w:ilvl w:val="0"/>
          <w:numId w:val="8"/>
        </w:numPr>
        <w:spacing w:line="240" w:lineRule="auto"/>
        <w:rPr>
          <w:rFonts w:cstheme="minorHAnsi"/>
        </w:rPr>
      </w:pPr>
      <w:r>
        <w:rPr>
          <w:rFonts w:cstheme="minorHAnsi"/>
        </w:rPr>
        <w:lastRenderedPageBreak/>
        <w:t>Penser dès maintenant les moyens pour répondre aux besoins grandissant des personnes présentant une dépendance (structures de type EHPAD + réservées aux personnes présentant des troubles cognitifs modérés à sévères ; embauches massives d’aides à domicile ; développement des logements et des dynamiques intergénérationnelles…)</w:t>
      </w:r>
    </w:p>
    <w:p>
      <w:pPr>
        <w:pStyle w:val="Paragraphedeliste"/>
        <w:numPr>
          <w:ilvl w:val="0"/>
          <w:numId w:val="8"/>
        </w:numPr>
        <w:spacing w:line="240" w:lineRule="auto"/>
        <w:rPr>
          <w:rFonts w:cstheme="minorHAnsi"/>
        </w:rPr>
      </w:pPr>
      <w:r>
        <w:rPr>
          <w:rFonts w:cstheme="minorHAnsi"/>
        </w:rPr>
        <w:t>Mobiliser le groupe d’âge d</w:t>
      </w:r>
      <w:r>
        <w:rPr>
          <w:color w:val="000000" w:themeColor="text1"/>
        </w:rPr>
        <w:t>es séniors de 50 à 74 ans, « en bonne santé » (réforme des retraites ? Solidarités intergénérationnelles de type « s</w:t>
      </w:r>
      <w:r>
        <w:rPr>
          <w:rFonts w:cstheme="minorHAnsi"/>
        </w:rPr>
        <w:t>ervice civique des seniors » (la population entre jeunes retraités, en bonne santé pouvant aider les jeunes).</w:t>
      </w:r>
    </w:p>
    <w:p>
      <w:pPr>
        <w:pStyle w:val="Paragraphedeliste"/>
        <w:numPr>
          <w:ilvl w:val="0"/>
          <w:numId w:val="8"/>
        </w:numPr>
        <w:spacing w:line="240" w:lineRule="auto"/>
        <w:rPr>
          <w:rFonts w:cstheme="minorHAnsi"/>
        </w:rPr>
      </w:pPr>
      <w:r>
        <w:rPr>
          <w:rFonts w:cstheme="minorHAnsi"/>
        </w:rPr>
        <w:t>Financement des besoins à venir par l’augmentation de la CSG, plus juste qu’une nouvelle journée de solidarité parce que ne concernait pas uniquement les salariés</w:t>
      </w:r>
    </w:p>
    <w:p>
      <w:pPr>
        <w:pStyle w:val="Paragraphedeliste"/>
        <w:numPr>
          <w:ilvl w:val="0"/>
          <w:numId w:val="8"/>
        </w:numPr>
        <w:spacing w:after="0" w:line="240" w:lineRule="auto"/>
        <w:rPr>
          <w:rFonts w:cstheme="minorHAnsi"/>
        </w:rPr>
      </w:pPr>
      <w:r>
        <w:rPr>
          <w:rFonts w:cstheme="minorHAnsi"/>
        </w:rPr>
        <w:t>P</w:t>
      </w:r>
      <w:r>
        <w:t>enser dès aujourd’hui à créer ou renforcer une assurance dépendance pour « protéger » les enfants de leur « obligation future »</w:t>
      </w:r>
    </w:p>
    <w:p>
      <w:pPr>
        <w:pStyle w:val="Paragraphedeliste"/>
        <w:numPr>
          <w:ilvl w:val="0"/>
          <w:numId w:val="8"/>
        </w:numPr>
        <w:spacing w:after="0" w:line="240" w:lineRule="auto"/>
        <w:rPr>
          <w:rFonts w:cstheme="minorHAnsi"/>
        </w:rPr>
      </w:pPr>
      <w:r>
        <w:rPr>
          <w:rFonts w:cstheme="minorHAnsi"/>
        </w:rPr>
        <w:t>Une politique redonnant envie d’avoir des enfants ? (Aides pratiques de type crèches, allocations familiales, mais aussi environnement et futur rassurants)</w:t>
      </w:r>
    </w:p>
    <w:p>
      <w:pPr>
        <w:pStyle w:val="Paragraphedeliste"/>
        <w:spacing w:after="0" w:line="240" w:lineRule="auto"/>
        <w:rPr>
          <w:rFonts w:cstheme="minorHAnsi"/>
        </w:rPr>
      </w:pPr>
    </w:p>
    <w:sectPr>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C Franklin Gothic Std Book">
    <w:altName w:val="Segoe Script"/>
    <w:charset w:val="00"/>
    <w:family w:val="auto"/>
    <w:pitch w:val="variable"/>
    <w:sig w:usb0="00000003" w:usb1="4000204A" w:usb2="00000000" w:usb3="00000000" w:csb0="00000001" w:csb1="00000000"/>
  </w:font>
  <w:font w:name="Franklin Gothic Book">
    <w:altName w:val="Franklin Gothic Book"/>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3571119"/>
      <w:docPartObj>
        <w:docPartGallery w:val="Page Numbers (Bottom of Page)"/>
        <w:docPartUnique/>
      </w:docPartObj>
    </w:sdtPr>
    <w:sdtContent>
      <w:p>
        <w:pPr>
          <w:pStyle w:val="Pieddepage"/>
          <w:jc w:val="right"/>
        </w:pPr>
        <w:r>
          <w:fldChar w:fldCharType="begin"/>
        </w:r>
        <w:r>
          <w:instrText>PAGE   \* MERGEFORMAT</w:instrText>
        </w:r>
        <w:r>
          <w:fldChar w:fldCharType="separate"/>
        </w:r>
        <w:r>
          <w:t>2</w:t>
        </w:r>
        <w:r>
          <w:fldChar w:fldCharType="end"/>
        </w:r>
      </w:p>
    </w:sdtContent>
  </w:sdt>
  <w:p>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rPr>
          <w:sz w:val="18"/>
          <w:szCs w:val="18"/>
        </w:rPr>
      </w:pPr>
      <w:r>
        <w:rPr>
          <w:rStyle w:val="Appelnotedebasdep"/>
          <w:rFonts w:asciiTheme="minorHAnsi" w:hAnsiTheme="minorHAnsi"/>
          <w:sz w:val="18"/>
          <w:szCs w:val="18"/>
        </w:rPr>
        <w:footnoteRef/>
      </w:r>
      <w:r>
        <w:rPr>
          <w:sz w:val="18"/>
          <w:szCs w:val="18"/>
        </w:rPr>
        <w:t xml:space="preserve"> Source Jean Mare Robine ; démographe. INERM </w:t>
      </w:r>
    </w:p>
  </w:footnote>
  <w:footnote w:id="2">
    <w:p>
      <w:pPr>
        <w:spacing w:after="0"/>
        <w:rPr>
          <w:rFonts w:cstheme="minorHAnsi"/>
          <w:sz w:val="18"/>
          <w:szCs w:val="18"/>
        </w:rPr>
      </w:pPr>
      <w:r>
        <w:rPr>
          <w:rStyle w:val="Appelnotedebasdep"/>
          <w:rFonts w:asciiTheme="minorHAnsi" w:hAnsiTheme="minorHAnsi"/>
          <w:sz w:val="18"/>
          <w:szCs w:val="18"/>
        </w:rPr>
        <w:footnoteRef/>
      </w:r>
      <w:r>
        <w:rPr>
          <w:sz w:val="18"/>
          <w:szCs w:val="18"/>
        </w:rPr>
        <w:t xml:space="preserve"> </w:t>
      </w:r>
      <w:r>
        <w:rPr>
          <w:rFonts w:cstheme="minorHAnsi"/>
          <w:sz w:val="18"/>
          <w:szCs w:val="18"/>
        </w:rPr>
        <w:t xml:space="preserve">ITW Sylvain </w:t>
      </w:r>
      <w:proofErr w:type="spellStart"/>
      <w:r>
        <w:rPr>
          <w:rFonts w:cstheme="minorHAnsi"/>
          <w:sz w:val="18"/>
          <w:szCs w:val="18"/>
        </w:rPr>
        <w:t>Rabuel</w:t>
      </w:r>
      <w:proofErr w:type="spellEnd"/>
      <w:r>
        <w:rPr>
          <w:rFonts w:cstheme="minorHAnsi"/>
          <w:sz w:val="18"/>
          <w:szCs w:val="18"/>
        </w:rPr>
        <w:t xml:space="preserve"> PDG </w:t>
      </w:r>
      <w:proofErr w:type="spellStart"/>
      <w:r>
        <w:rPr>
          <w:rFonts w:cstheme="minorHAnsi"/>
          <w:sz w:val="18"/>
          <w:szCs w:val="18"/>
        </w:rPr>
        <w:t>DomusVi</w:t>
      </w:r>
      <w:proofErr w:type="spellEnd"/>
      <w:r>
        <w:rPr>
          <w:rFonts w:cstheme="minorHAnsi"/>
          <w:sz w:val="18"/>
          <w:szCs w:val="18"/>
        </w:rPr>
        <w:t>. Figaro 2 novembre 2024</w:t>
      </w:r>
    </w:p>
  </w:footnote>
  <w:footnote w:id="3">
    <w:p>
      <w:pPr>
        <w:pStyle w:val="Notedebasdepage"/>
        <w:spacing w:after="0"/>
        <w:rPr>
          <w:rFonts w:asciiTheme="majorHAnsi" w:hAnsiTheme="majorHAnsi" w:cstheme="majorHAnsi"/>
          <w:sz w:val="22"/>
          <w:szCs w:val="22"/>
        </w:rPr>
      </w:pPr>
      <w:r>
        <w:rPr>
          <w:rStyle w:val="Appelnotedebasdep"/>
          <w:rFonts w:asciiTheme="majorHAnsi" w:hAnsiTheme="majorHAnsi" w:cstheme="majorHAnsi"/>
          <w:sz w:val="22"/>
          <w:szCs w:val="22"/>
          <w:highlight w:val="yellow"/>
        </w:rPr>
        <w:footnoteRef/>
      </w:r>
      <w:r>
        <w:rPr>
          <w:rFonts w:asciiTheme="majorHAnsi" w:hAnsiTheme="majorHAnsi" w:cstheme="majorHAnsi"/>
          <w:sz w:val="22"/>
          <w:szCs w:val="22"/>
          <w:highlight w:val="yellow"/>
        </w:rPr>
        <w:t xml:space="preserve"> </w:t>
      </w:r>
      <w:hyperlink r:id="rId1" w:history="1">
        <w:r>
          <w:rPr>
            <w:rStyle w:val="Lienhypertexte"/>
            <w:rFonts w:asciiTheme="majorHAnsi" w:hAnsiTheme="majorHAnsi" w:cstheme="majorHAnsi"/>
            <w:sz w:val="22"/>
            <w:szCs w:val="22"/>
            <w:highlight w:val="yellow"/>
          </w:rPr>
          <w:t>https://www.insee.fr/fr/statistiques/8327319</w:t>
        </w:r>
      </w:hyperlink>
      <w:r>
        <w:rPr>
          <w:rFonts w:asciiTheme="majorHAnsi" w:hAnsiTheme="majorHAnsi" w:cstheme="majorHAnsi"/>
          <w:sz w:val="22"/>
          <w:szCs w:val="22"/>
        </w:rPr>
        <w:t xml:space="preserve"> </w:t>
      </w:r>
      <w:r>
        <w:rPr>
          <w:rFonts w:asciiTheme="majorHAnsi" w:hAnsiTheme="majorHAnsi" w:cstheme="majorHAnsi"/>
          <w:sz w:val="22"/>
          <w:szCs w:val="22"/>
          <w:highlight w:val="yellow"/>
        </w:rPr>
        <w:t>A compléter</w:t>
      </w:r>
    </w:p>
  </w:footnote>
  <w:footnote w:id="4">
    <w:p>
      <w:pPr>
        <w:spacing w:after="0" w:line="240" w:lineRule="auto"/>
        <w:outlineLvl w:val="0"/>
        <w:rPr>
          <w:rFonts w:eastAsia="Times New Roman" w:cs="Times New Roman"/>
          <w:color w:val="2A303B"/>
          <w:kern w:val="36"/>
          <w:sz w:val="18"/>
          <w:szCs w:val="18"/>
          <w:lang w:eastAsia="fr-FR"/>
        </w:rPr>
      </w:pPr>
      <w:r>
        <w:rPr>
          <w:rStyle w:val="Appelnotedebasdep"/>
          <w:rFonts w:asciiTheme="minorHAnsi" w:hAnsiTheme="minorHAnsi"/>
          <w:sz w:val="18"/>
          <w:szCs w:val="18"/>
        </w:rPr>
        <w:footnoteRef/>
      </w:r>
      <w:r>
        <w:rPr>
          <w:sz w:val="18"/>
          <w:szCs w:val="18"/>
        </w:rPr>
        <w:t xml:space="preserve"> </w:t>
      </w:r>
      <w:r>
        <w:rPr>
          <w:rFonts w:eastAsia="Times New Roman" w:cs="Times New Roman"/>
          <w:color w:val="2A303B"/>
          <w:kern w:val="36"/>
          <w:sz w:val="18"/>
          <w:szCs w:val="18"/>
          <w:lang w:eastAsia="fr-FR"/>
        </w:rPr>
        <w:t xml:space="preserve">Comment le vieillissement bouleverse nos sociétés. </w:t>
      </w:r>
      <w:r>
        <w:rPr>
          <w:rFonts w:eastAsia="Times New Roman" w:cs="Arial"/>
          <w:color w:val="2A303B"/>
          <w:sz w:val="18"/>
          <w:szCs w:val="18"/>
          <w:lang w:eastAsia="fr-FR"/>
        </w:rPr>
        <w:t xml:space="preserve">« Un monde de vieux ». Eric Albert. </w:t>
      </w:r>
      <w:r>
        <w:rPr>
          <w:rFonts w:eastAsia="Times New Roman" w:cs="Times New Roman"/>
          <w:color w:val="2A303B"/>
          <w:kern w:val="36"/>
          <w:sz w:val="18"/>
          <w:szCs w:val="18"/>
          <w:lang w:eastAsia="fr-FR"/>
        </w:rPr>
        <w:t>Le Monde.</w:t>
      </w:r>
      <w:r>
        <w:rPr>
          <w:rFonts w:eastAsia="Times New Roman" w:cs="Arial"/>
          <w:color w:val="717B8E"/>
          <w:sz w:val="18"/>
          <w:szCs w:val="18"/>
          <w:lang w:eastAsia="fr-FR"/>
        </w:rPr>
        <w:t xml:space="preserve"> 12 septembre 2024</w:t>
      </w:r>
    </w:p>
  </w:footnote>
  <w:footnote w:id="5">
    <w:p>
      <w:pPr>
        <w:pStyle w:val="Notedebasdepage"/>
        <w:spacing w:after="0"/>
        <w:rPr>
          <w:rFonts w:asciiTheme="minorHAnsi" w:hAnsiTheme="minorHAnsi" w:cstheme="majorHAnsi"/>
        </w:rPr>
      </w:pPr>
      <w:r>
        <w:rPr>
          <w:rStyle w:val="Appelnotedebasdep"/>
          <w:rFonts w:asciiTheme="minorHAnsi" w:hAnsiTheme="minorHAnsi" w:cstheme="majorHAnsi"/>
        </w:rPr>
        <w:footnoteRef/>
      </w:r>
      <w:r>
        <w:rPr>
          <w:rFonts w:asciiTheme="minorHAnsi" w:hAnsiTheme="minorHAnsi" w:cstheme="majorHAnsi"/>
        </w:rPr>
        <w:t xml:space="preserve"> </w:t>
      </w:r>
      <w:hyperlink r:id="rId2" w:anchor=":~:text=La%20population%20mondiale%20actuelle%20de,r%C3%A9vision%20de%202012%20%C2%BB%20lanc%C3%A9%20jeudi" w:history="1">
        <w:r>
          <w:rPr>
            <w:rStyle w:val="Lienhypertexte"/>
            <w:rFonts w:asciiTheme="minorHAnsi" w:hAnsiTheme="minorHAnsi" w:cstheme="majorHAnsi"/>
          </w:rPr>
          <w:t>ONU : la population mondiale devrait atteindre 9,6 milliards en 2050 | Nations Unies</w:t>
        </w:r>
      </w:hyperlink>
      <w:r>
        <w:rPr>
          <w:rStyle w:val="Lienhypertexte"/>
          <w:rFonts w:asciiTheme="minorHAnsi" w:hAnsiTheme="minorHAnsi" w:cstheme="majorHAnsi"/>
        </w:rPr>
        <w:t xml:space="preserve"> </w:t>
      </w:r>
    </w:p>
  </w:footnote>
  <w:footnote w:id="6">
    <w:p>
      <w:pPr>
        <w:pStyle w:val="Notedebasdepage"/>
      </w:pPr>
      <w:r>
        <w:rPr>
          <w:rStyle w:val="Appelnotedebasdep"/>
        </w:rPr>
        <w:footnoteRef/>
      </w:r>
      <w:r>
        <w:t xml:space="preserve"> </w:t>
      </w:r>
      <w:hyperlink r:id="rId3" w:anchor=":~:text=La%20plan%C3%A8te%20compte%208%2C2,autres%20voient%20leur%20population%20diminuer." w:history="1">
        <w:r>
          <w:rPr>
            <w:rStyle w:val="Lienhypertexte"/>
          </w:rPr>
          <w:t xml:space="preserve">2024 : les Nations unies publient de nouvelles projections de population mondiale - Focus - Les mémos de la démo - </w:t>
        </w:r>
        <w:proofErr w:type="spellStart"/>
        <w:r>
          <w:rPr>
            <w:rStyle w:val="Lienhypertexte"/>
          </w:rPr>
          <w:t>Ined</w:t>
        </w:r>
        <w:proofErr w:type="spellEnd"/>
        <w:r>
          <w:rPr>
            <w:rStyle w:val="Lienhypertexte"/>
          </w:rPr>
          <w:t xml:space="preserve"> - Institut national d’études démographiques</w:t>
        </w:r>
      </w:hyperlink>
    </w:p>
  </w:footnote>
  <w:footnote w:id="7">
    <w:p>
      <w:pPr>
        <w:spacing w:after="0" w:line="240" w:lineRule="auto"/>
        <w:rPr>
          <w:rFonts w:cstheme="majorHAnsi"/>
          <w:sz w:val="18"/>
          <w:szCs w:val="18"/>
        </w:rPr>
      </w:pPr>
      <w:r>
        <w:rPr>
          <w:rStyle w:val="Appelnotedebasdep"/>
          <w:rFonts w:asciiTheme="minorHAnsi" w:hAnsiTheme="minorHAnsi" w:cstheme="majorHAnsi"/>
          <w:sz w:val="18"/>
          <w:szCs w:val="18"/>
        </w:rPr>
        <w:footnoteRef/>
      </w:r>
      <w:r>
        <w:rPr>
          <w:rFonts w:cstheme="majorHAnsi"/>
          <w:sz w:val="18"/>
          <w:szCs w:val="18"/>
          <w:lang w:val="en-US"/>
        </w:rPr>
        <w:t xml:space="preserve"> FAO, IFAD, UNICEF, WFP and WHO. 2024. The State of Food Security and Nutrition in the World 2024 – Financing to end hunger, food insecurity and malnutrition in all its forms. </w:t>
      </w:r>
      <w:r>
        <w:rPr>
          <w:rFonts w:cstheme="majorHAnsi"/>
          <w:sz w:val="18"/>
          <w:szCs w:val="18"/>
        </w:rPr>
        <w:t>Rome.</w:t>
      </w:r>
    </w:p>
    <w:p>
      <w:pPr>
        <w:spacing w:after="0" w:line="240" w:lineRule="auto"/>
        <w:rPr>
          <w:sz w:val="18"/>
          <w:szCs w:val="18"/>
        </w:rPr>
      </w:pPr>
      <w:hyperlink r:id="rId4" w:history="1">
        <w:r>
          <w:rPr>
            <w:rStyle w:val="Lienhypertexte"/>
            <w:rFonts w:cstheme="majorHAnsi"/>
            <w:sz w:val="18"/>
            <w:szCs w:val="18"/>
          </w:rPr>
          <w:t>https://doi.org/10.4060/cd1254en</w:t>
        </w:r>
      </w:hyperlink>
      <w:r>
        <w:rPr>
          <w:rFonts w:cstheme="majorHAnsi"/>
          <w:sz w:val="18"/>
          <w:szCs w:val="18"/>
        </w:rPr>
        <w:t xml:space="preserve"> </w:t>
      </w:r>
    </w:p>
  </w:footnote>
  <w:footnote w:id="8">
    <w:p>
      <w:pPr>
        <w:pStyle w:val="Notedebasdepage"/>
        <w:jc w:val="left"/>
        <w:rPr>
          <w:rFonts w:asciiTheme="minorHAnsi" w:hAnsiTheme="minorHAnsi" w:cstheme="minorHAnsi"/>
        </w:rPr>
      </w:pPr>
      <w:r>
        <w:rPr>
          <w:rStyle w:val="Appelnotedebasdep"/>
          <w:rFonts w:asciiTheme="minorHAnsi" w:hAnsiTheme="minorHAnsi" w:cstheme="minorHAnsi"/>
        </w:rPr>
        <w:footnoteRef/>
      </w:r>
      <w:r>
        <w:rPr>
          <w:rFonts w:asciiTheme="minorHAnsi" w:hAnsiTheme="minorHAnsi" w:cstheme="minorHAnsi"/>
        </w:rPr>
        <w:t xml:space="preserve"> CCNE. Avis n° 147. </w:t>
      </w:r>
      <w:r>
        <w:rPr>
          <w:rFonts w:asciiTheme="minorHAnsi" w:hAnsiTheme="minorHAnsi" w:cstheme="minorHAnsi"/>
        </w:rPr>
        <w:t>Enjeux éthiques relatifs aux situations de vulnérabilité liées à l’état de santé</w:t>
      </w:r>
      <w:r>
        <w:rPr>
          <w:rFonts w:asciiTheme="minorHAnsi" w:hAnsiTheme="minorHAnsi" w:cstheme="minorHAnsi"/>
        </w:rPr>
        <w:t xml:space="preserve">. </w:t>
      </w:r>
      <w:r>
        <w:rPr>
          <w:rFonts w:asciiTheme="minorHAnsi" w:hAnsiTheme="minorHAnsi" w:cstheme="minorHAnsi"/>
          <w:i/>
        </w:rPr>
        <w:t>Situations de vulnérabilité induites par les progrès de la médecine et limites de notre système de santé et médico-social</w:t>
      </w:r>
      <w:r>
        <w:rPr>
          <w:rFonts w:asciiTheme="minorHAnsi" w:hAnsiTheme="minorHAnsi" w:cstheme="minorHAnsi"/>
          <w:i/>
        </w:rPr>
        <w:t>. 2025</w:t>
      </w:r>
    </w:p>
  </w:footnote>
  <w:footnote w:id="9">
    <w:p>
      <w:pPr>
        <w:pStyle w:val="Titre2"/>
        <w:shd w:val="clear" w:color="auto" w:fill="FFFFFF"/>
        <w:spacing w:before="0" w:beforeAutospacing="0" w:after="0" w:afterAutospacing="0"/>
        <w:rPr>
          <w:rFonts w:asciiTheme="minorHAnsi" w:hAnsiTheme="minorHAnsi" w:cstheme="minorHAnsi"/>
          <w:b w:val="0"/>
          <w:bCs w:val="0"/>
          <w:sz w:val="18"/>
          <w:szCs w:val="18"/>
        </w:rPr>
      </w:pPr>
      <w:r>
        <w:rPr>
          <w:rStyle w:val="Appelnotedebasdep"/>
          <w:rFonts w:asciiTheme="minorHAnsi" w:hAnsiTheme="minorHAnsi" w:cstheme="minorHAnsi"/>
          <w:b w:val="0"/>
          <w:bCs w:val="0"/>
          <w:sz w:val="18"/>
          <w:szCs w:val="18"/>
        </w:rPr>
        <w:footnoteRef/>
      </w:r>
      <w:r>
        <w:rPr>
          <w:rFonts w:asciiTheme="minorHAnsi" w:hAnsiTheme="minorHAnsi" w:cstheme="minorHAnsi"/>
          <w:b w:val="0"/>
          <w:bCs w:val="0"/>
          <w:sz w:val="18"/>
          <w:szCs w:val="18"/>
        </w:rPr>
        <w:t xml:space="preserve"> CCNE. </w:t>
      </w:r>
      <w:r>
        <w:rPr>
          <w:rFonts w:asciiTheme="minorHAnsi" w:hAnsiTheme="minorHAnsi" w:cstheme="minorHAnsi"/>
          <w:b w:val="0"/>
          <w:bCs w:val="0"/>
          <w:sz w:val="18"/>
          <w:szCs w:val="18"/>
        </w:rPr>
        <w:t>Avis 140 « Repenser le système de soins sur un fondement éthique. Leçons de la crise sanitaire et hospitalière, diagnostic et perspectives »</w:t>
      </w:r>
      <w:r>
        <w:rPr>
          <w:rFonts w:asciiTheme="minorHAnsi" w:hAnsiTheme="minorHAnsi" w:cstheme="minorHAnsi"/>
          <w:b w:val="0"/>
          <w:bCs w:val="0"/>
          <w:sz w:val="18"/>
          <w:szCs w:val="18"/>
        </w:rPr>
        <w:t xml:space="preserve"> 2022.</w:t>
      </w:r>
    </w:p>
    <w:p>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A2"/>
    <w:multiLevelType w:val="hybridMultilevel"/>
    <w:tmpl w:val="C6320BD4"/>
    <w:lvl w:ilvl="0" w:tplc="B7084D3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4A086B"/>
    <w:multiLevelType w:val="hybridMultilevel"/>
    <w:tmpl w:val="58481E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D61748"/>
    <w:multiLevelType w:val="hybridMultilevel"/>
    <w:tmpl w:val="C59C7F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7E4880"/>
    <w:multiLevelType w:val="hybridMultilevel"/>
    <w:tmpl w:val="2168E24C"/>
    <w:lvl w:ilvl="0" w:tplc="A9F4968C">
      <w:start w:val="3"/>
      <w:numFmt w:val="bullet"/>
      <w:lvlText w:val="-"/>
      <w:lvlJc w:val="left"/>
      <w:pPr>
        <w:ind w:left="720" w:hanging="360"/>
      </w:pPr>
      <w:rPr>
        <w:rFonts w:ascii="Calibri" w:eastAsiaTheme="minorHAnsi" w:hAnsi="Calibr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2876BAA"/>
    <w:multiLevelType w:val="hybridMultilevel"/>
    <w:tmpl w:val="51BAD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5E05F8D"/>
    <w:multiLevelType w:val="hybridMultilevel"/>
    <w:tmpl w:val="8A72B8B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D891809"/>
    <w:multiLevelType w:val="hybridMultilevel"/>
    <w:tmpl w:val="BF6C1816"/>
    <w:lvl w:ilvl="0" w:tplc="A9F4968C">
      <w:start w:val="3"/>
      <w:numFmt w:val="bullet"/>
      <w:lvlText w:val="-"/>
      <w:lvlJc w:val="left"/>
      <w:pPr>
        <w:ind w:left="360" w:hanging="360"/>
      </w:pPr>
      <w:rPr>
        <w:rFonts w:ascii="Calibri" w:eastAsiaTheme="minorHAnsi" w:hAnsi="Calibri" w:cstheme="minorHAns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614308B9"/>
    <w:multiLevelType w:val="hybridMultilevel"/>
    <w:tmpl w:val="958C80F2"/>
    <w:lvl w:ilvl="0" w:tplc="7C58BF3A">
      <w:start w:val="1"/>
      <w:numFmt w:val="decimal"/>
      <w:lvlText w:val="%1."/>
      <w:lvlJc w:val="left"/>
      <w:pPr>
        <w:ind w:left="720" w:hanging="360"/>
      </w:pPr>
      <w:rPr>
        <w:rFonts w:eastAsiaTheme="minorHAnsi" w:hint="default"/>
        <w:color w:val="1F1F1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0318A5"/>
    <w:multiLevelType w:val="hybridMultilevel"/>
    <w:tmpl w:val="51104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2E57D37"/>
    <w:multiLevelType w:val="hybridMultilevel"/>
    <w:tmpl w:val="0B7A8B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4"/>
  </w:num>
  <w:num w:numId="4">
    <w:abstractNumId w:val="7"/>
  </w:num>
  <w:num w:numId="5">
    <w:abstractNumId w:val="3"/>
  </w:num>
  <w:num w:numId="6">
    <w:abstractNumId w:val="2"/>
  </w:num>
  <w:num w:numId="7">
    <w:abstractNumId w:val="1"/>
  </w:num>
  <w:num w:numId="8">
    <w:abstractNumId w:val="9"/>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63BB1-1056-4C4E-A77C-AED3D646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pPr>
      <w:spacing w:after="0" w:line="240" w:lineRule="auto"/>
    </w:pPr>
    <w:rPr>
      <w:rFonts w:ascii="Calibri" w:hAnsi="Calibri"/>
      <w:szCs w:val="21"/>
    </w:rPr>
  </w:style>
  <w:style w:type="character" w:customStyle="1" w:styleId="TextebrutCar">
    <w:name w:val="Texte brut Car"/>
    <w:basedOn w:val="Policepardfaut"/>
    <w:link w:val="Textebrut"/>
    <w:uiPriority w:val="99"/>
    <w:rPr>
      <w:rFonts w:ascii="Calibri" w:hAnsi="Calibri"/>
      <w:szCs w:val="21"/>
    </w:rPr>
  </w:style>
  <w:style w:type="character" w:styleId="lev">
    <w:name w:val="Strong"/>
    <w:basedOn w:val="Policepardfaut"/>
    <w:uiPriority w:val="22"/>
    <w:qFormat/>
    <w:rPr>
      <w:b/>
      <w:bCs/>
    </w:rPr>
  </w:style>
  <w:style w:type="paragraph" w:styleId="Paragraphedeliste">
    <w:name w:val="List Paragraph"/>
    <w:basedOn w:val="Normal"/>
    <w:uiPriority w:val="34"/>
    <w:qFormat/>
    <w:pPr>
      <w:ind w:left="720"/>
      <w:contextualSpacing/>
    </w:pPr>
  </w:style>
  <w:style w:type="character" w:styleId="Appelnotedebasdep">
    <w:name w:val="footnote reference"/>
    <w:aliases w:val=" titre,MIP Footnote Reference,titre,FNRefe,ftref, BVI fnr,Ref,de nota al pie,16 Point,Superscript 6 Point,BVI fnr,fr,Used by Word for Help footnote symbols,Char Char Char Char Car Char,SUPERS,BVI f,R, BVI fnr Car Car"/>
    <w:basedOn w:val="Policepardfaut"/>
    <w:link w:val="CarattereCarattereCharCharCharCharCharCharZchn"/>
    <w:uiPriority w:val="99"/>
    <w:unhideWhenUsed/>
    <w:qFormat/>
    <w:rPr>
      <w:rFonts w:ascii="ITC Franklin Gothic Std Book" w:hAnsi="ITC Franklin Gothic Std Book"/>
      <w:vertAlign w:val="superscript"/>
    </w:rPr>
  </w:style>
  <w:style w:type="paragraph" w:styleId="Notedebasdepage">
    <w:name w:val="footnote text"/>
    <w:aliases w:val="Note de bas de page avis"/>
    <w:basedOn w:val="Normal"/>
    <w:link w:val="NotedebasdepageCar"/>
    <w:uiPriority w:val="99"/>
    <w:unhideWhenUsed/>
    <w:qFormat/>
    <w:pPr>
      <w:spacing w:after="40" w:line="240" w:lineRule="auto"/>
      <w:jc w:val="both"/>
    </w:pPr>
    <w:rPr>
      <w:rFonts w:ascii="Franklin Gothic Book" w:eastAsiaTheme="minorEastAsia" w:hAnsi="Franklin Gothic Book"/>
      <w:sz w:val="18"/>
      <w:szCs w:val="18"/>
      <w:lang w:eastAsia="fr-FR"/>
    </w:rPr>
  </w:style>
  <w:style w:type="character" w:customStyle="1" w:styleId="NotedebasdepageCar">
    <w:name w:val="Note de bas de page Car"/>
    <w:aliases w:val="Note de bas de page avis Car"/>
    <w:basedOn w:val="Policepardfaut"/>
    <w:link w:val="Notedebasdepage"/>
    <w:uiPriority w:val="99"/>
    <w:rPr>
      <w:rFonts w:ascii="Franklin Gothic Book" w:eastAsiaTheme="minorEastAsia" w:hAnsi="Franklin Gothic Book"/>
      <w:sz w:val="18"/>
      <w:szCs w:val="18"/>
      <w:lang w:eastAsia="fr-FR"/>
    </w:rPr>
  </w:style>
  <w:style w:type="character" w:styleId="Lienhypertexte">
    <w:name w:val="Hyperlink"/>
    <w:basedOn w:val="Policepardfaut"/>
    <w:uiPriority w:val="99"/>
    <w:rPr>
      <w:color w:val="0000FF"/>
      <w:u w:val="singl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Appelnotedebasdep"/>
    <w:uiPriority w:val="99"/>
    <w:pPr>
      <w:tabs>
        <w:tab w:val="left" w:pos="567"/>
        <w:tab w:val="left" w:pos="6663"/>
      </w:tabs>
      <w:spacing w:line="240" w:lineRule="exact"/>
      <w:ind w:left="360" w:hanging="360"/>
      <w:jc w:val="both"/>
    </w:pPr>
    <w:rPr>
      <w:rFonts w:ascii="ITC Franklin Gothic Std Book" w:hAnsi="ITC Franklin Gothic Std Book"/>
      <w:vertAlign w:val="superscript"/>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customStyle="1" w:styleId="Titre2Car">
    <w:name w:val="Titre 2 Car"/>
    <w:basedOn w:val="Policepardfaut"/>
    <w:link w:val="Titre2"/>
    <w:uiPriority w:val="9"/>
    <w:rPr>
      <w:rFonts w:ascii="Times New Roman" w:eastAsia="Times New Roman" w:hAnsi="Times New Roman" w:cs="Times New Roman"/>
      <w:b/>
      <w:bCs/>
      <w:sz w:val="36"/>
      <w:szCs w:val="36"/>
      <w:lang w:eastAsia="fr-FR"/>
    </w:rPr>
  </w:style>
  <w:style w:type="paragraph" w:styleId="Commentaire">
    <w:name w:val="annotation text"/>
    <w:basedOn w:val="Normal"/>
    <w:link w:val="CommentaireCar"/>
    <w:uiPriority w:val="99"/>
    <w:pPr>
      <w:suppressAutoHyphens/>
      <w:autoSpaceDN w:val="0"/>
      <w:spacing w:after="0" w:line="240" w:lineRule="auto"/>
      <w:textAlignment w:val="baseline"/>
    </w:pPr>
    <w:rPr>
      <w:rFonts w:ascii="Calibri" w:eastAsia="Times New Roman" w:hAnsi="Calibri" w:cs="Times New Roman"/>
      <w:kern w:val="3"/>
      <w:sz w:val="20"/>
      <w:szCs w:val="20"/>
      <w:lang w:eastAsia="fr-FR"/>
    </w:rPr>
  </w:style>
  <w:style w:type="character" w:customStyle="1" w:styleId="CommentaireCar">
    <w:name w:val="Commentaire Car"/>
    <w:basedOn w:val="Policepardfaut"/>
    <w:link w:val="Commentaire"/>
    <w:uiPriority w:val="99"/>
    <w:rPr>
      <w:rFonts w:ascii="Calibri" w:eastAsia="Times New Roman" w:hAnsi="Calibri" w:cs="Times New Roman"/>
      <w:kern w:val="3"/>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389047">
      <w:bodyDiv w:val="1"/>
      <w:marLeft w:val="0"/>
      <w:marRight w:val="0"/>
      <w:marTop w:val="0"/>
      <w:marBottom w:val="0"/>
      <w:divBdr>
        <w:top w:val="none" w:sz="0" w:space="0" w:color="auto"/>
        <w:left w:val="none" w:sz="0" w:space="0" w:color="auto"/>
        <w:bottom w:val="none" w:sz="0" w:space="0" w:color="auto"/>
        <w:right w:val="none" w:sz="0" w:space="0" w:color="auto"/>
      </w:divBdr>
    </w:div>
    <w:div w:id="158218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ubry@chu-besancon.fr" TargetMode="External"/><Relationship Id="rId5" Type="http://schemas.openxmlformats.org/officeDocument/2006/relationships/webSettings" Target="webSettings.xml"/><Relationship Id="rId10" Type="http://schemas.openxmlformats.org/officeDocument/2006/relationships/hyperlink" Target="http://www.ipvs.fr/" TargetMode="External"/><Relationship Id="rId4" Type="http://schemas.openxmlformats.org/officeDocument/2006/relationships/settings" Target="settings.xml"/><Relationship Id="rId9" Type="http://schemas.openxmlformats.org/officeDocument/2006/relationships/image" Target="cid:ii_18e3d0801f54cff311"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ined.fr/fr/tout-savoir-population/memos-demo/focus/2024-les-nations-unies-publient-de-nouvelles-projections-de-population-mondiale/" TargetMode="External"/><Relationship Id="rId2" Type="http://schemas.openxmlformats.org/officeDocument/2006/relationships/hyperlink" Target="https://www.un.org/fr/desa/un-report-world-population-projected-to-reach-9-6-billion-by-2050" TargetMode="External"/><Relationship Id="rId1" Type="http://schemas.openxmlformats.org/officeDocument/2006/relationships/hyperlink" Target="https://www.insee.fr/fr/statistiques/8327319" TargetMode="External"/><Relationship Id="rId4" Type="http://schemas.openxmlformats.org/officeDocument/2006/relationships/hyperlink" Target="https://doi.org/10.4060/cd1254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A30F5-634E-4552-962D-4AA6B203E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Pages>
  <Words>2766</Words>
  <Characters>15214</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CHU de Besancon</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 AUBRY (CHUB)</dc:creator>
  <cp:keywords/>
  <dc:description/>
  <cp:lastModifiedBy>Regis AUBRY (CHUB)</cp:lastModifiedBy>
  <cp:revision>12</cp:revision>
  <dcterms:created xsi:type="dcterms:W3CDTF">2025-01-29T14:00:00Z</dcterms:created>
  <dcterms:modified xsi:type="dcterms:W3CDTF">2025-01-31T12:59:00Z</dcterms:modified>
</cp:coreProperties>
</file>