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252E8" w14:textId="77777777" w:rsidR="00406840" w:rsidRDefault="00406840" w:rsidP="00406840">
      <w:r>
        <w:t>J'ai trouvé l'article d'Ogien particulièrement éclairant parce qu'il déplace la question habituelle. Il ne s'agit pas seulement de savoir si un chiffre est juste, mais de comprendre la place sociale qu'on lui attribue. Dans l'action publique, le chiffre est souvent traité comme neutre et incontestable : il devient alors un instrument d'autorité. Ayant une appétence importante pour le quantitatif (ma recherche l’est majoritairement), je trouve d’autant plus intéressant d’interroger son utilité dans l’action publique tant son usage est fréquent dans le débat médiatique.</w:t>
      </w:r>
    </w:p>
    <w:p w14:paraId="44535BD5" w14:textId="77777777" w:rsidR="00406840" w:rsidRDefault="00406840" w:rsidP="00406840">
      <w:r>
        <w:t xml:space="preserve">Ce que je retiens surtout est la bascule d'une quantification descriptive vers une quantification de pilotage (objectifs, indicateurs, interopérabilité, performance). Le débat ne porte plus uniquement sur les finalités politiques, mais sur la construction des tableaux de bord qui orientent les arbitrages budgétaires, organisationnels et professionnels. C'est exactement la logique du new public management vu lors de la PSL </w:t>
      </w:r>
      <w:proofErr w:type="spellStart"/>
      <w:r>
        <w:t>week</w:t>
      </w:r>
      <w:proofErr w:type="spellEnd"/>
      <w:r>
        <w:t xml:space="preserve"> l’année dernière.</w:t>
      </w:r>
    </w:p>
    <w:p w14:paraId="4CF6D424" w14:textId="77777777" w:rsidR="00406840" w:rsidRDefault="00406840" w:rsidP="00406840">
      <w:r>
        <w:t>Cette grille aide à lire des phénomènes récents en France. Le recours massif aux cabinets de conseil sous le premier quinquennat Macron, puis la polémique McKinsey (rapport du Sénat en 2022 ; enquêtes ouvertes par le PNF en 2022), montrent comment l'expertise chiffrée peut être mobilisée pour légitimer des décisions déjà orientées. En parallèle, l'essor de l'open data renforce la disponibilité des données et la possibilité de contre-expertise mais il ne règle pas la question centrale soulevée par Ogien dans le texte : qui choisit les indicateurs pertinents et selon quelle conception de l'intérêt général ? Les rapports de la Cour des comptes illustrent bien cette tension : ils renforcent la transparence publique, tout en diffusant une lecture fortement centrée sur l'efficacité et la performance.</w:t>
      </w:r>
    </w:p>
    <w:p w14:paraId="34355A25" w14:textId="77777777" w:rsidR="00406840" w:rsidRPr="009A72C6" w:rsidRDefault="00406840" w:rsidP="00406840">
      <w:pPr>
        <w:rPr>
          <w:bCs/>
        </w:rPr>
      </w:pPr>
      <w:r w:rsidRPr="009A72C6">
        <w:rPr>
          <w:bCs/>
        </w:rPr>
        <w:t>Questions :</w:t>
      </w:r>
    </w:p>
    <w:p w14:paraId="7DD01AF3" w14:textId="77777777" w:rsidR="00406840" w:rsidRDefault="00406840" w:rsidP="00406840">
      <w:r>
        <w:t>Comment distinguer, dans un usage politique du chiffre, ce qui relève de l'éclairage démocratique et ce qui relève d'une stratégie de légitimation technocratique ? Sachant qu’un « design » n’est hélas jamais neutre.</w:t>
      </w:r>
    </w:p>
    <w:p w14:paraId="33A6D07E" w14:textId="77777777" w:rsidR="00406840" w:rsidRDefault="00406840" w:rsidP="00406840">
      <w:r>
        <w:t>L'open data élargit-il réellement la capacité de contestation citoyenne, ou surtout la capacité de pilotage de l'État ?</w:t>
      </w:r>
    </w:p>
    <w:p w14:paraId="21994120" w14:textId="77777777" w:rsidR="00406840" w:rsidRDefault="00406840" w:rsidP="00406840">
      <w:r>
        <w:t>Les rapports de la Cour des comptes renforcent-ils le débat démocratique, ou imposent-ils prioritairement une logique gestionnaire de l'action publique ?</w:t>
      </w:r>
    </w:p>
    <w:p w14:paraId="24C3C24B" w14:textId="7E2AE50E" w:rsidR="00EC18D0" w:rsidRPr="00406840" w:rsidRDefault="00EC18D0" w:rsidP="00406840"/>
    <w:sectPr w:rsidR="00EC18D0" w:rsidRPr="004068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47E"/>
    <w:rsid w:val="00146CFD"/>
    <w:rsid w:val="003069BE"/>
    <w:rsid w:val="00406840"/>
    <w:rsid w:val="005E5C57"/>
    <w:rsid w:val="0062647E"/>
    <w:rsid w:val="00892387"/>
    <w:rsid w:val="009A72C6"/>
    <w:rsid w:val="00EC18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1E2D"/>
  <w15:chartTrackingRefBased/>
  <w15:docId w15:val="{354CF52C-A6DF-4241-B823-B3CFA6EF6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840"/>
  </w:style>
  <w:style w:type="paragraph" w:styleId="Titre1">
    <w:name w:val="heading 1"/>
    <w:basedOn w:val="Normal"/>
    <w:next w:val="Normal"/>
    <w:link w:val="Titre1Car"/>
    <w:uiPriority w:val="9"/>
    <w:qFormat/>
    <w:rsid w:val="00626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26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2647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2647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2647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264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64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64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64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647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2647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2647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2647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2647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264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64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64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647E"/>
    <w:rPr>
      <w:rFonts w:eastAsiaTheme="majorEastAsia" w:cstheme="majorBidi"/>
      <w:color w:val="272727" w:themeColor="text1" w:themeTint="D8"/>
    </w:rPr>
  </w:style>
  <w:style w:type="paragraph" w:styleId="Titre">
    <w:name w:val="Title"/>
    <w:basedOn w:val="Normal"/>
    <w:next w:val="Normal"/>
    <w:link w:val="TitreCar"/>
    <w:uiPriority w:val="10"/>
    <w:qFormat/>
    <w:rsid w:val="00626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64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64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64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647E"/>
    <w:pPr>
      <w:spacing w:before="160"/>
      <w:jc w:val="center"/>
    </w:pPr>
    <w:rPr>
      <w:i/>
      <w:iCs/>
      <w:color w:val="404040" w:themeColor="text1" w:themeTint="BF"/>
    </w:rPr>
  </w:style>
  <w:style w:type="character" w:customStyle="1" w:styleId="CitationCar">
    <w:name w:val="Citation Car"/>
    <w:basedOn w:val="Policepardfaut"/>
    <w:link w:val="Citation"/>
    <w:uiPriority w:val="29"/>
    <w:rsid w:val="0062647E"/>
    <w:rPr>
      <w:i/>
      <w:iCs/>
      <w:color w:val="404040" w:themeColor="text1" w:themeTint="BF"/>
    </w:rPr>
  </w:style>
  <w:style w:type="paragraph" w:styleId="Paragraphedeliste">
    <w:name w:val="List Paragraph"/>
    <w:basedOn w:val="Normal"/>
    <w:uiPriority w:val="34"/>
    <w:qFormat/>
    <w:rsid w:val="0062647E"/>
    <w:pPr>
      <w:ind w:left="720"/>
      <w:contextualSpacing/>
    </w:pPr>
  </w:style>
  <w:style w:type="character" w:styleId="Accentuationintense">
    <w:name w:val="Intense Emphasis"/>
    <w:basedOn w:val="Policepardfaut"/>
    <w:uiPriority w:val="21"/>
    <w:qFormat/>
    <w:rsid w:val="0062647E"/>
    <w:rPr>
      <w:i/>
      <w:iCs/>
      <w:color w:val="2F5496" w:themeColor="accent1" w:themeShade="BF"/>
    </w:rPr>
  </w:style>
  <w:style w:type="paragraph" w:styleId="Citationintense">
    <w:name w:val="Intense Quote"/>
    <w:basedOn w:val="Normal"/>
    <w:next w:val="Normal"/>
    <w:link w:val="CitationintenseCar"/>
    <w:uiPriority w:val="30"/>
    <w:qFormat/>
    <w:rsid w:val="00626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2647E"/>
    <w:rPr>
      <w:i/>
      <w:iCs/>
      <w:color w:val="2F5496" w:themeColor="accent1" w:themeShade="BF"/>
    </w:rPr>
  </w:style>
  <w:style w:type="character" w:styleId="Rfrenceintense">
    <w:name w:val="Intense Reference"/>
    <w:basedOn w:val="Policepardfaut"/>
    <w:uiPriority w:val="32"/>
    <w:qFormat/>
    <w:rsid w:val="006264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358</Words>
  <Characters>1975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Caron</dc:creator>
  <cp:keywords/>
  <dc:description/>
  <cp:lastModifiedBy>Olivier Caron</cp:lastModifiedBy>
  <cp:revision>3</cp:revision>
  <cp:lastPrinted>2026-02-18T14:42:00Z</cp:lastPrinted>
  <dcterms:created xsi:type="dcterms:W3CDTF">2026-02-18T14:41:00Z</dcterms:created>
  <dcterms:modified xsi:type="dcterms:W3CDTF">2026-02-18T14:43:00Z</dcterms:modified>
</cp:coreProperties>
</file>