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52A4" w14:textId="665D9A5A" w:rsidR="006B32A1" w:rsidRPr="006B32A1" w:rsidRDefault="006B32A1" w:rsidP="006B32A1">
      <w:pPr>
        <w:rPr>
          <w:rFonts w:ascii="Times New Roman" w:hAnsi="Times New Roman" w:cs="Times New Roman"/>
          <w:sz w:val="24"/>
          <w:szCs w:val="24"/>
        </w:rPr>
      </w:pPr>
      <w:r w:rsidRPr="006B32A1">
        <w:rPr>
          <w:rFonts w:ascii="Times New Roman" w:hAnsi="Times New Roman" w:cs="Times New Roman"/>
          <w:sz w:val="24"/>
          <w:szCs w:val="24"/>
        </w:rPr>
        <w:t>L'article montre que le design d'un instrument de politique publique (ici le compteur Linky) n'est pas et probablement jamais une affaire de neutralité technique. Il stabilise en fait une architecture qui redistribue (voire distribue) des capacités de contrôle et de commercialisation (mesurer, comparer, tarifer, profiler) et rend certaines options difficiles à renverser une fois l'infrastructure déployée. Finalement, ce compteur Linky rend possible et gouvernable un marché libéralisé avec l'interopérabilité, la multiplication des index de mesure et la centralité (ainsi que la granularité) des données. Au fond, ce "simple" capteur met au jour une tension structurante sur la manière de gouverner l'électricité : un tiraillement entre une logique de service public de distribution et une logique de marché où l'information (les données de consommation) devient une ressource stratégique.</w:t>
      </w:r>
    </w:p>
    <w:p w14:paraId="18F0F072" w14:textId="55CAF674" w:rsidR="006B32A1" w:rsidRPr="006B32A1" w:rsidRDefault="006B32A1" w:rsidP="006B32A1">
      <w:pPr>
        <w:rPr>
          <w:rFonts w:ascii="Times New Roman" w:hAnsi="Times New Roman" w:cs="Times New Roman"/>
          <w:sz w:val="24"/>
          <w:szCs w:val="24"/>
        </w:rPr>
      </w:pPr>
      <w:r w:rsidRPr="006B32A1">
        <w:rPr>
          <w:rFonts w:ascii="Times New Roman" w:hAnsi="Times New Roman" w:cs="Times New Roman"/>
          <w:sz w:val="24"/>
          <w:szCs w:val="24"/>
        </w:rPr>
        <w:t xml:space="preserve">Cette lecture fait aussi penser à certains débats numériques actuels : les acteurs politiques et réglementaires peuvent annoncer la protection, le consentement, le contrôle d'un outil, mais là où cela se joue réellement est souvent extrêmement technique. L'idée d'opt-in/opt-out, proche des discussions sur les </w:t>
      </w:r>
      <w:proofErr w:type="spellStart"/>
      <w:r w:rsidRPr="006B32A1">
        <w:rPr>
          <w:rFonts w:ascii="Times New Roman" w:hAnsi="Times New Roman" w:cs="Times New Roman"/>
          <w:sz w:val="24"/>
          <w:szCs w:val="24"/>
        </w:rPr>
        <w:t>nudges</w:t>
      </w:r>
      <w:proofErr w:type="spellEnd"/>
      <w:r w:rsidRPr="006B32A1">
        <w:rPr>
          <w:rFonts w:ascii="Times New Roman" w:hAnsi="Times New Roman" w:cs="Times New Roman"/>
          <w:sz w:val="24"/>
          <w:szCs w:val="24"/>
        </w:rPr>
        <w:t>, n'est pas seulement un principe juridique ou moral : elle dépend d'une architecture de choix très concrète (paramétrage, interface, réversibilité, friction). Sans garde-fous de design, le consentement peut devenir une formalité, sans être vraiment éclairé, y compris lorsqu'il est présenté comme conforme aux exigences de protection des données.</w:t>
      </w:r>
    </w:p>
    <w:p w14:paraId="68F5CA04" w14:textId="2FF76336" w:rsidR="006B32A1" w:rsidRPr="006B32A1" w:rsidRDefault="006B32A1" w:rsidP="006B32A1">
      <w:pPr>
        <w:rPr>
          <w:rFonts w:ascii="Times New Roman" w:hAnsi="Times New Roman" w:cs="Times New Roman"/>
          <w:sz w:val="24"/>
          <w:szCs w:val="24"/>
        </w:rPr>
      </w:pPr>
      <w:r w:rsidRPr="006B32A1">
        <w:rPr>
          <w:rFonts w:ascii="Times New Roman" w:hAnsi="Times New Roman" w:cs="Times New Roman"/>
          <w:sz w:val="24"/>
          <w:szCs w:val="24"/>
        </w:rPr>
        <w:t>Questions :</w:t>
      </w:r>
    </w:p>
    <w:p w14:paraId="03CB68AE" w14:textId="40A5D367" w:rsidR="006B32A1" w:rsidRPr="006B32A1" w:rsidRDefault="006B32A1" w:rsidP="006B32A1">
      <w:pPr>
        <w:rPr>
          <w:rFonts w:ascii="Times New Roman" w:hAnsi="Times New Roman" w:cs="Times New Roman"/>
          <w:sz w:val="24"/>
          <w:szCs w:val="24"/>
        </w:rPr>
      </w:pPr>
      <w:r w:rsidRPr="006B32A1">
        <w:rPr>
          <w:rFonts w:ascii="Times New Roman" w:hAnsi="Times New Roman" w:cs="Times New Roman"/>
          <w:sz w:val="24"/>
          <w:szCs w:val="24"/>
        </w:rPr>
        <w:t>À quel point une protection de la vie privée est-elle politiquement "saine" lorsqu'elle est soutenue par un acteur dominant pour des raisons concurrentielles ? Dans le cas Linky, l'alignement ponctuel d'EDF avec des acteurs pro-consommateurs sur la courbe de charge invite à distinguer protection réelle et stratégie de verrouillage informationnel.</w:t>
      </w:r>
    </w:p>
    <w:p w14:paraId="77F5896B" w14:textId="5AB3BA78" w:rsidR="006B32A1" w:rsidRPr="006B32A1" w:rsidRDefault="006B32A1" w:rsidP="006B32A1">
      <w:pPr>
        <w:rPr>
          <w:rFonts w:ascii="Times New Roman" w:hAnsi="Times New Roman" w:cs="Times New Roman"/>
          <w:sz w:val="24"/>
          <w:szCs w:val="24"/>
        </w:rPr>
      </w:pPr>
      <w:r w:rsidRPr="006B32A1">
        <w:rPr>
          <w:rFonts w:ascii="Times New Roman" w:hAnsi="Times New Roman" w:cs="Times New Roman"/>
          <w:sz w:val="24"/>
          <w:szCs w:val="24"/>
        </w:rPr>
        <w:t>Comment définir, de manière testable, qu'un recueil de consentement n'est pas manipulatoire ? Par exemple : symétrie entre accepter et refuser, absence de couplage avec l'accès au service, granularité des finalités, réversibilité simple, et possibilité d'audit</w:t>
      </w:r>
      <w:r>
        <w:rPr>
          <w:rFonts w:ascii="Times New Roman" w:hAnsi="Times New Roman" w:cs="Times New Roman"/>
          <w:sz w:val="24"/>
          <w:szCs w:val="24"/>
        </w:rPr>
        <w:t> ?</w:t>
      </w:r>
    </w:p>
    <w:p w14:paraId="2FE7E045" w14:textId="7D77BED6" w:rsidR="006B32A1" w:rsidRPr="006B32A1" w:rsidRDefault="006B32A1" w:rsidP="006B32A1">
      <w:pPr>
        <w:rPr>
          <w:rFonts w:ascii="Times New Roman" w:hAnsi="Times New Roman" w:cs="Times New Roman"/>
          <w:sz w:val="24"/>
          <w:szCs w:val="24"/>
        </w:rPr>
      </w:pPr>
      <w:r w:rsidRPr="006B32A1">
        <w:rPr>
          <w:rFonts w:ascii="Times New Roman" w:hAnsi="Times New Roman" w:cs="Times New Roman"/>
          <w:sz w:val="24"/>
          <w:szCs w:val="24"/>
        </w:rPr>
        <w:t>Dans les politiques de vérification d'âge (et plus largement de contrôle d'accès), comment éviter un effet cliquet : un objectif limité au départ (protéger les mineurs) qui conduit à installer une infrastructure durable de preuve à grande échelle, susceptible d'être ensuite durcie ou étendue à d'autres usages</w:t>
      </w:r>
      <w:r>
        <w:rPr>
          <w:rFonts w:ascii="Times New Roman" w:hAnsi="Times New Roman" w:cs="Times New Roman"/>
          <w:sz w:val="24"/>
          <w:szCs w:val="24"/>
        </w:rPr>
        <w:t> ?</w:t>
      </w:r>
    </w:p>
    <w:p w14:paraId="43ED64C3" w14:textId="49D3B517" w:rsidR="00B77A20" w:rsidRPr="006B32A1" w:rsidRDefault="006B32A1" w:rsidP="006B32A1">
      <w:r w:rsidRPr="006B32A1">
        <w:rPr>
          <w:rFonts w:ascii="Times New Roman" w:hAnsi="Times New Roman" w:cs="Times New Roman"/>
          <w:sz w:val="24"/>
          <w:szCs w:val="24"/>
        </w:rPr>
        <w:t>Que faire du risque systémique lié à la création de ressources informationnelles : même sans intention malveillante, la mise en circulation d'indicateurs ou de bases de données peut produire des effets pervers (réutilisations non prévues, détournements, renforcement des inégalités). L'exemple de l'indice de position sociale (IPS) de la DEPP est parlant : conçu pour l'évaluation, il peut ensuite être réutilisé dans des logiques de classement et de choix d'établissements, et contribuer à renforcer ce qu'il était censé mesurer (loi de Goodhart : quand une mesure devient une cible, elle cesse d'être une bonne mesure). Quelles limites de finalité et quels mécanismes de contrôle permettraient d'anticiper ces réemplois ?</w:t>
      </w:r>
    </w:p>
    <w:sectPr w:rsidR="00B77A20" w:rsidRPr="006B32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839FD"/>
    <w:multiLevelType w:val="multilevel"/>
    <w:tmpl w:val="B30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536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DE"/>
    <w:rsid w:val="003069BE"/>
    <w:rsid w:val="00395B7A"/>
    <w:rsid w:val="006B32A1"/>
    <w:rsid w:val="006D46D3"/>
    <w:rsid w:val="00707D1F"/>
    <w:rsid w:val="00732C91"/>
    <w:rsid w:val="007C1031"/>
    <w:rsid w:val="00827188"/>
    <w:rsid w:val="00892387"/>
    <w:rsid w:val="00916718"/>
    <w:rsid w:val="00A32E53"/>
    <w:rsid w:val="00A63809"/>
    <w:rsid w:val="00AB449E"/>
    <w:rsid w:val="00AB56BF"/>
    <w:rsid w:val="00B02FBB"/>
    <w:rsid w:val="00B77A20"/>
    <w:rsid w:val="00C1042B"/>
    <w:rsid w:val="00C11874"/>
    <w:rsid w:val="00C210DE"/>
    <w:rsid w:val="00CD0979"/>
    <w:rsid w:val="00EC18D0"/>
    <w:rsid w:val="00EE131F"/>
    <w:rsid w:val="00F15A14"/>
    <w:rsid w:val="00F61925"/>
    <w:rsid w:val="00F70A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3B01"/>
  <w15:chartTrackingRefBased/>
  <w15:docId w15:val="{12374F7E-48C3-4841-93E7-82712FC4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10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210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210D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210D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210D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210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10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10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10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10D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210D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210D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210D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210D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210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10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10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10DE"/>
    <w:rPr>
      <w:rFonts w:eastAsiaTheme="majorEastAsia" w:cstheme="majorBidi"/>
      <w:color w:val="272727" w:themeColor="text1" w:themeTint="D8"/>
    </w:rPr>
  </w:style>
  <w:style w:type="paragraph" w:styleId="Titre">
    <w:name w:val="Title"/>
    <w:basedOn w:val="Normal"/>
    <w:next w:val="Normal"/>
    <w:link w:val="TitreCar"/>
    <w:uiPriority w:val="10"/>
    <w:qFormat/>
    <w:rsid w:val="00C21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10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10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10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10DE"/>
    <w:pPr>
      <w:spacing w:before="160"/>
      <w:jc w:val="center"/>
    </w:pPr>
    <w:rPr>
      <w:i/>
      <w:iCs/>
      <w:color w:val="404040" w:themeColor="text1" w:themeTint="BF"/>
    </w:rPr>
  </w:style>
  <w:style w:type="character" w:customStyle="1" w:styleId="CitationCar">
    <w:name w:val="Citation Car"/>
    <w:basedOn w:val="Policepardfaut"/>
    <w:link w:val="Citation"/>
    <w:uiPriority w:val="29"/>
    <w:rsid w:val="00C210DE"/>
    <w:rPr>
      <w:i/>
      <w:iCs/>
      <w:color w:val="404040" w:themeColor="text1" w:themeTint="BF"/>
    </w:rPr>
  </w:style>
  <w:style w:type="paragraph" w:styleId="Paragraphedeliste">
    <w:name w:val="List Paragraph"/>
    <w:basedOn w:val="Normal"/>
    <w:uiPriority w:val="34"/>
    <w:qFormat/>
    <w:rsid w:val="00C210DE"/>
    <w:pPr>
      <w:ind w:left="720"/>
      <w:contextualSpacing/>
    </w:pPr>
  </w:style>
  <w:style w:type="character" w:styleId="Accentuationintense">
    <w:name w:val="Intense Emphasis"/>
    <w:basedOn w:val="Policepardfaut"/>
    <w:uiPriority w:val="21"/>
    <w:qFormat/>
    <w:rsid w:val="00C210DE"/>
    <w:rPr>
      <w:i/>
      <w:iCs/>
      <w:color w:val="2F5496" w:themeColor="accent1" w:themeShade="BF"/>
    </w:rPr>
  </w:style>
  <w:style w:type="paragraph" w:styleId="Citationintense">
    <w:name w:val="Intense Quote"/>
    <w:basedOn w:val="Normal"/>
    <w:next w:val="Normal"/>
    <w:link w:val="CitationintenseCar"/>
    <w:uiPriority w:val="30"/>
    <w:qFormat/>
    <w:rsid w:val="00C21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210DE"/>
    <w:rPr>
      <w:i/>
      <w:iCs/>
      <w:color w:val="2F5496" w:themeColor="accent1" w:themeShade="BF"/>
    </w:rPr>
  </w:style>
  <w:style w:type="character" w:styleId="Rfrenceintense">
    <w:name w:val="Intense Reference"/>
    <w:basedOn w:val="Policepardfaut"/>
    <w:uiPriority w:val="32"/>
    <w:qFormat/>
    <w:rsid w:val="00C210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Pages>
  <Words>495</Words>
  <Characters>2725</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Caron</dc:creator>
  <cp:keywords/>
  <dc:description/>
  <cp:lastModifiedBy>Olivier Caron</cp:lastModifiedBy>
  <cp:revision>11</cp:revision>
  <dcterms:created xsi:type="dcterms:W3CDTF">2026-01-27T21:50:00Z</dcterms:created>
  <dcterms:modified xsi:type="dcterms:W3CDTF">2026-02-11T13:03:00Z</dcterms:modified>
</cp:coreProperties>
</file>