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sz w:val="24"/>
        </w:rPr>
        <w:t>Ce que je retiens surtout de cet article est l'idée de déclimatisation. L'article montre bien qu'une politique peut rester "climatique" sur le papier, mais servir d'autres intérêts une fois sur le terrain. Dans le cas de la banane en Guadeloupe, les aides et mesures de la PAC ne disparaissent pas, mais elles sont recadrées à partir d'autres priorités jugées plus urgentes localement : la question phytosanitaire, la compétitivité de la filière et la survie économique des exploitations. J'ai trouvé cette dynamique intéressante parce que cela montre que la mise en oeuvre n'est pas une simple étape technique, mais le moment où le sens même d'une politique peut basculer.</w:t>
      </w:r>
    </w:p>
    <w:p/>
    <w:p>
      <w:r>
        <w:rPr>
          <w:rFonts w:ascii="Times New Roman" w:hAnsi="Times New Roman" w:eastAsia="Times New Roman"/>
          <w:sz w:val="24"/>
        </w:rPr>
        <w:t>Cela m'a aussi fait penser à la capture réglementaire au sens de Stigler, que j'avais déjà travaillée dans un exposé sur les conflits d'intérêts dans le domaine médical. Ce n'est pas exactement le même cas, mais je retrouve la même intuition : un dispositif pensé au nom de l'intérêt général peut être réorienté par des acteurs déjà bien installés, qui connaissent les règles, savent s'en servir et deviennent parfois indispensables à son fonctionnement concret. J'ai trouvé le parallèle d'autant plus convaincant que, dans l'article, cette réorientation ne passe pas seulement par la force de la filière, mais aussi par les failles de l'administration et par des compromis très pratiques. Les extraits d'entretiens l'illustrent d'ailleurs très bien.</w:t>
      </w:r>
    </w:p>
    <w:p/>
    <w:p>
      <w:r>
        <w:rPr>
          <w:rFonts w:ascii="Times New Roman" w:hAnsi="Times New Roman" w:eastAsia="Times New Roman"/>
          <w:sz w:val="24"/>
        </w:rPr>
        <w:t>Questions :</w:t>
      </w:r>
    </w:p>
    <w:p/>
    <w:p>
      <w:r>
        <w:rPr>
          <w:rFonts w:ascii="Times New Roman" w:hAnsi="Times New Roman" w:eastAsia="Times New Roman"/>
          <w:sz w:val="24"/>
        </w:rPr>
        <w:t>Quand on voit la loi Duplomb, adoptée le 8 juillet 2025 puis partiellement censurée le 7 août 2025 après la controverse sur l'acétamipride, est-ce qu'on ne retrouve pas une tension proche entre objectifs environnementaux affichés et réorientation des instruments sous pression sectorielle ?</w:t>
      </w:r>
    </w:p>
    <w:p/>
    <w:p>
      <w:r>
        <w:rPr>
          <w:rFonts w:ascii="Times New Roman" w:hAnsi="Times New Roman" w:eastAsia="Times New Roman"/>
          <w:sz w:val="24"/>
        </w:rPr>
        <w:t>Le cas de Mon espace santé me semble aussi très parlant : sa dépendance aux logiciels métiers et à des acteurs comme Doctolib ne montre-t-elle pas qu'un instrument public est très concrètement reconfiguré par ceux qui le font fonctionner au quotidien ?</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