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i-agent-project-v-dashboard"/>
    <w:p>
      <w:pPr>
        <w:pStyle w:val="Heading1"/>
      </w:pPr>
      <w:r>
        <w:t xml:space="preserve">AI Agent Project V — Dashboard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Oct 5, 2025</w:t>
      </w:r>
      <w:r>
        <w:br/>
      </w:r>
      <w:r>
        <w:rPr>
          <w:b/>
          <w:bCs/>
        </w:rPr>
        <w:t xml:space="preserve">Owner:</w:t>
      </w:r>
      <w:r>
        <w:t xml:space="preserve"> </w:t>
      </w:r>
      <w:r>
        <w:t xml:space="preserve">Ernesto Olivo</w:t>
      </w:r>
      <w:r>
        <w:br/>
      </w:r>
      <w:r>
        <w:rPr>
          <w:b/>
          <w:bCs/>
        </w:rPr>
        <w:t xml:space="preserve">Context:</w:t>
      </w:r>
      <w:r>
        <w:t xml:space="preserve"> </w:t>
      </w:r>
      <w:r>
        <w:t xml:space="preserve">Continuation of the AI Agent initiative (KB‑Legal‑Assistant: Immigration to Spain) with KB‑first routing + web fallback.</w:t>
      </w:r>
    </w:p>
    <w:p>
      <w:r>
        <w:pict>
          <v:rect style="width:0;height:1.5pt" o:hralign="center" o:hrstd="t" o:hr="t"/>
        </w:pict>
      </w:r>
    </w:p>
    <w:bookmarkStart w:id="20" w:name="priority-goals-source-of-truth"/>
    <w:p>
      <w:pPr>
        <w:pStyle w:val="Heading2"/>
      </w:pPr>
      <w:r>
        <w:t xml:space="preserve">Priority Goals (source of truth)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Ship a ChatGPT‑style UI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ai.olivogalarza.com</w:t>
      </w:r>
      <w:r>
        <w:t xml:space="preserve"> </w:t>
      </w:r>
      <w:r>
        <w:t xml:space="preserve">with an input box and a transcript showing all user messages and LLM answers.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RAG behavior:</w:t>
      </w:r>
      <w:r>
        <w:t xml:space="preserve"> </w:t>
      </w:r>
      <w:r>
        <w:t xml:space="preserve">The UI must answer from the</w:t>
      </w:r>
      <w:r>
        <w:t xml:space="preserve"> </w:t>
      </w:r>
      <w:r>
        <w:rPr>
          <w:b/>
          <w:bCs/>
        </w:rPr>
        <w:t xml:space="preserve">KB</w:t>
      </w:r>
      <w:r>
        <w:t xml:space="preserve">; if confidence is low or KB is insufficient, it should</w:t>
      </w:r>
      <w:r>
        <w:t xml:space="preserve"> </w:t>
      </w:r>
      <w:r>
        <w:rPr>
          <w:b/>
          <w:bCs/>
        </w:rPr>
        <w:t xml:space="preserve">gracefully use open‑web sources</w:t>
      </w:r>
      <w:r>
        <w:t xml:space="preserve"> </w:t>
      </w:r>
      <w:r>
        <w:t xml:space="preserve">to answer.</w:t>
      </w:r>
    </w:p>
    <w:p>
      <w:pPr>
        <w:pStyle w:val="FirstParagraph"/>
      </w:pPr>
      <w:r>
        <w:rPr>
          <w:b/>
          <w:bCs/>
        </w:rPr>
        <w:t xml:space="preserve">Doc location:</w:t>
      </w:r>
      <w:r>
        <w:t xml:space="preserve"> </w:t>
      </w:r>
      <w:r>
        <w:rPr>
          <w:rStyle w:val="VerbatimChar"/>
        </w:rPr>
        <w:t xml:space="preserve">/mnt/data/Priority Goals of AI Agent Project.docx</w:t>
      </w:r>
    </w:p>
    <w:p>
      <w:r>
        <w:pict>
          <v:rect style="width:0;height:1.5pt" o:hralign="center" o:hrstd="t" o:hr="t"/>
        </w:pict>
      </w:r>
    </w:p>
    <w:bookmarkEnd w:id="20"/>
    <w:bookmarkStart w:id="21" w:name="X41b6d60de38d99e31e293510c93c70f275aa792"/>
    <w:p>
      <w:pPr>
        <w:pStyle w:val="Heading2"/>
      </w:pPr>
      <w:r>
        <w:t xml:space="preserve">RoE v1.1 — Inmigración a España (Rules of Engagement)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Domain routing:</w:t>
      </w:r>
      <w:r>
        <w:t xml:space="preserve"> </w:t>
      </w:r>
      <w:r>
        <w:t xml:space="preserve">Focus on immigration to Spain. Use</w:t>
      </w:r>
      <w:r>
        <w:t xml:space="preserve"> </w:t>
      </w:r>
      <w:r>
        <w:rPr>
          <w:b/>
          <w:bCs/>
        </w:rPr>
        <w:t xml:space="preserve">KB first</w:t>
      </w:r>
      <w:r>
        <w:t xml:space="preserve">; if low‑confidence, do</w:t>
      </w:r>
      <w:r>
        <w:t xml:space="preserve"> </w:t>
      </w:r>
      <w:r>
        <w:rPr>
          <w:b/>
          <w:bCs/>
        </w:rPr>
        <w:t xml:space="preserve">web fallback</w:t>
      </w:r>
      <w:r>
        <w:t xml:space="preserve">. If outside domain but in KB, still answer + check web. If outside domain and not in KB → reply:</w:t>
      </w:r>
      <w:r>
        <w:t xml:space="preserve"> </w:t>
      </w:r>
      <w:r>
        <w:rPr>
          <w:i/>
          <w:iCs/>
        </w:rPr>
        <w:t xml:space="preserve">“Esta IA está especializada en temas de Inmigración a España.”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 &amp; grounding:</w:t>
      </w:r>
      <w:r>
        <w:t xml:space="preserve"> </w:t>
      </w:r>
      <w:r>
        <w:t xml:space="preserve">Support answers with KB or recent web sources.</w:t>
      </w:r>
      <w:r>
        <w:t xml:space="preserve"> </w:t>
      </w:r>
      <w:r>
        <w:rPr>
          <w:b/>
          <w:bCs/>
        </w:rPr>
        <w:t xml:space="preserve">Target ≥95% correctness</w:t>
      </w:r>
      <w:r>
        <w:t xml:space="preserve">.</w:t>
      </w:r>
      <w:r>
        <w:t xml:space="preserve"> </w:t>
      </w:r>
      <w:r>
        <w:rPr>
          <w:b/>
          <w:bCs/>
        </w:rPr>
        <w:t xml:space="preserve">No fabricated citations.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When unsure:</w:t>
      </w:r>
      <w:r>
        <w:t xml:space="preserve"> </w:t>
      </w:r>
      <w:r>
        <w:t xml:space="preserve">Reply exactly</w:t>
      </w:r>
      <w:r>
        <w:t xml:space="preserve"> </w:t>
      </w:r>
      <w:r>
        <w:rPr>
          <w:b/>
          <w:bCs/>
        </w:rPr>
        <w:t xml:space="preserve">“Respuesta incierta. Contáctenos.”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Citations:</w:t>
      </w:r>
      <w:r>
        <w:t xml:space="preserve"> </w:t>
      </w:r>
      <w:r>
        <w:t xml:space="preserve">Hidden by default; reveal only on request.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Style:</w:t>
      </w:r>
      <w:r>
        <w:t xml:space="preserve"> </w:t>
      </w:r>
      <w:r>
        <w:t xml:space="preserve">Spanish,</w:t>
      </w:r>
      <w:r>
        <w:t xml:space="preserve"> </w:t>
      </w:r>
      <w:r>
        <w:rPr>
          <w:b/>
          <w:bCs/>
        </w:rPr>
        <w:t xml:space="preserve">3–6 sentences</w:t>
      </w:r>
      <w:r>
        <w:t xml:space="preserve">, neutral legal tone; bullets for procedures;</w:t>
      </w:r>
      <w:r>
        <w:t xml:space="preserve"> </w:t>
      </w:r>
      <w:r>
        <w:rPr>
          <w:b/>
          <w:bCs/>
        </w:rPr>
        <w:t xml:space="preserve">bold key terms</w:t>
      </w:r>
      <w:r>
        <w:t xml:space="preserve">. If &gt;6 sentences → add</w:t>
      </w:r>
      <w:r>
        <w:t xml:space="preserve"> </w:t>
      </w:r>
      <w:r>
        <w:rPr>
          <w:b/>
          <w:bCs/>
        </w:rPr>
        <w:t xml:space="preserve">Resumen:</w:t>
      </w:r>
      <w:r>
        <w:t xml:space="preserve"> </w:t>
      </w:r>
      <w:r>
        <w:t xml:space="preserve">line.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Safety/guardrails:</w:t>
      </w:r>
      <w:r>
        <w:t xml:space="preserve"> </w:t>
      </w:r>
      <w:r>
        <w:t xml:space="preserve">One‑time disclaimer per session:</w:t>
      </w:r>
      <w:r>
        <w:t xml:space="preserve"> </w:t>
      </w:r>
      <w:r>
        <w:rPr>
          <w:i/>
          <w:iCs/>
        </w:rPr>
        <w:t xml:space="preserve">“Esta IA puede cometer errores; use la información de forma referencial y contáctenos ante cualquier duda.”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Formatting:</w:t>
      </w:r>
      <w:r>
        <w:t xml:space="preserve"> </w:t>
      </w:r>
      <w:r>
        <w:t xml:space="preserve">Use bullets for procedures; highlight key terms.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Session memory:</w:t>
      </w:r>
      <w:r>
        <w:t xml:space="preserve"> </w:t>
      </w:r>
      <w:r>
        <w:t xml:space="preserve">Maintain rolling context per chat.</w:t>
      </w:r>
    </w:p>
    <w:p>
      <w:pPr>
        <w:pStyle w:val="FirstParagraph"/>
      </w:pPr>
      <w:r>
        <w:rPr>
          <w:b/>
          <w:bCs/>
        </w:rPr>
        <w:t xml:space="preserve">Doc location:</w:t>
      </w:r>
      <w:r>
        <w:t xml:space="preserve"> </w:t>
      </w:r>
      <w:r>
        <w:rPr>
          <w:rStyle w:val="VerbatimChar"/>
        </w:rPr>
        <w:t xml:space="preserve">/mnt/data/Rules of Engagement.docx</w:t>
      </w:r>
    </w:p>
    <w:p>
      <w:r>
        <w:pict>
          <v:rect style="width:0;height:1.5pt" o:hralign="center" o:hrstd="t" o:hr="t"/>
        </w:pict>
      </w:r>
    </w:p>
    <w:bookmarkEnd w:id="21"/>
    <w:bookmarkStart w:id="22" w:name="repos-deployment"/>
    <w:p>
      <w:pPr>
        <w:pStyle w:val="Heading2"/>
      </w:pPr>
      <w:r>
        <w:t xml:space="preserve">Repos &amp; Deployment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 (Next.js):</w:t>
      </w:r>
      <w:r>
        <w:t xml:space="preserve"> </w:t>
      </w:r>
      <w:r>
        <w:rPr>
          <w:rStyle w:val="VerbatimChar"/>
        </w:rPr>
        <w:t xml:space="preserve">kb-legal-assistant</w:t>
      </w:r>
      <w:r>
        <w:t xml:space="preserve"> </w:t>
      </w:r>
      <w:r>
        <w:t xml:space="preserve">→ served at</w:t>
      </w:r>
      <w:r>
        <w:t xml:space="preserve"> </w:t>
      </w:r>
      <w:r>
        <w:rPr>
          <w:rStyle w:val="VerbatimChar"/>
        </w:rPr>
        <w:t xml:space="preserve">https://api.olivogalarza.com</w:t>
      </w:r>
    </w:p>
    <w:p>
      <w:pPr>
        <w:pStyle w:val="Compact"/>
        <w:numPr>
          <w:ilvl w:val="1"/>
          <w:numId w:val="1004"/>
        </w:numPr>
      </w:pPr>
      <w:r>
        <w:t xml:space="preserve">Key files:</w:t>
      </w:r>
      <w:r>
        <w:t xml:space="preserve"> </w:t>
      </w:r>
      <w:r>
        <w:rPr>
          <w:rStyle w:val="VerbatimChar"/>
        </w:rPr>
        <w:t xml:space="preserve">app/api/rag/answer/route.ts</w:t>
      </w:r>
      <w:r>
        <w:t xml:space="preserve"> </w:t>
      </w:r>
      <w:r>
        <w:t xml:space="preserve">(RoE routing &amp; finalizer),</w:t>
      </w:r>
      <w:r>
        <w:t xml:space="preserve"> </w:t>
      </w:r>
      <w:r>
        <w:rPr>
          <w:rStyle w:val="VerbatimChar"/>
        </w:rPr>
        <w:t xml:space="preserve">app/api/chat/route.ts</w:t>
      </w:r>
      <w:r>
        <w:t xml:space="preserve"> </w:t>
      </w:r>
      <w:r>
        <w:t xml:space="preserve">(chat endpoint)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UI (Next.js):</w:t>
      </w:r>
      <w:r>
        <w:t xml:space="preserve"> </w:t>
      </w:r>
      <w:r>
        <w:rPr>
          <w:rStyle w:val="VerbatimChar"/>
        </w:rPr>
        <w:t xml:space="preserve">kb-legal-assistant-ui</w:t>
      </w:r>
      <w:r>
        <w:t xml:space="preserve"> </w:t>
      </w:r>
      <w:r>
        <w:t xml:space="preserve">→ served at</w:t>
      </w:r>
      <w:r>
        <w:t xml:space="preserve"> </w:t>
      </w:r>
      <w:r>
        <w:rPr>
          <w:rStyle w:val="VerbatimChar"/>
        </w:rPr>
        <w:t xml:space="preserve">https://ai.olivogalarza.com</w:t>
      </w:r>
    </w:p>
    <w:p>
      <w:pPr>
        <w:pStyle w:val="Compact"/>
        <w:numPr>
          <w:ilvl w:val="1"/>
          <w:numId w:val="1005"/>
        </w:numPr>
      </w:pPr>
      <w:r>
        <w:t xml:space="preserve">Key file:</w:t>
      </w:r>
      <w:r>
        <w:t xml:space="preserve"> </w:t>
      </w:r>
      <w:r>
        <w:rPr>
          <w:rStyle w:val="VerbatimChar"/>
        </w:rPr>
        <w:t xml:space="preserve">RagChat.tsx</w:t>
      </w:r>
      <w:r>
        <w:t xml:space="preserve"> </w:t>
      </w:r>
      <w:r>
        <w:t xml:space="preserve">(UI with collapsible sources &amp; disclaimer)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Planned helpers:</w:t>
      </w:r>
      <w:r>
        <w:t xml:space="preserve"> </w:t>
      </w:r>
      <w:r>
        <w:rPr>
          <w:rStyle w:val="VerbatimChar"/>
        </w:rPr>
        <w:t xml:space="preserve">domain.ts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format.ts</w:t>
      </w:r>
      <w:r>
        <w:t xml:space="preserve">,</w:t>
      </w:r>
      <w:r>
        <w:t xml:space="preserve"> </w:t>
      </w:r>
      <w:r>
        <w:rPr>
          <w:rStyle w:val="VerbatimChar"/>
        </w:rPr>
        <w:t xml:space="preserve">permissions.ts</w:t>
      </w:r>
      <w:r>
        <w:t xml:space="preserve"> </w:t>
      </w:r>
      <w:r>
        <w:t xml:space="preserve">(authorize), prompt templates (planner/critic/finalizer)</w:t>
      </w:r>
    </w:p>
    <w:p>
      <w:r>
        <w:pict>
          <v:rect style="width:0;height:1.5pt" o:hralign="center" o:hrstd="t" o:hr="t"/>
        </w:pict>
      </w:r>
    </w:p>
    <w:bookmarkEnd w:id="22"/>
    <w:bookmarkStart w:id="23" w:name="known-issues-open-threads"/>
    <w:p>
      <w:pPr>
        <w:pStyle w:val="Heading2"/>
      </w:pPr>
      <w:r>
        <w:t xml:space="preserve">Known Issues / Open Threads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Redis caching shows x‑cache: MISS</w:t>
      </w:r>
      <w:r>
        <w:t xml:space="preserve"> </w:t>
      </w:r>
      <w:r>
        <w:t xml:space="preserve">despite SSE writing two keys (</w:t>
      </w:r>
      <w:r>
        <w:rPr>
          <w:rStyle w:val="VerbatimChar"/>
        </w:rPr>
        <w:t xml:space="preserve">request-specific cacheKey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stable cacheKeyFiles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t xml:space="preserve">Hypotheses: key mismatch (naming/namespace), different</w:t>
      </w:r>
      <w:r>
        <w:t xml:space="preserve"> </w:t>
      </w:r>
      <w:r>
        <w:rPr>
          <w:b/>
          <w:bCs/>
        </w:rPr>
        <w:t xml:space="preserve">runtime</w:t>
      </w:r>
      <w:r>
        <w:t xml:space="preserve"> </w:t>
      </w:r>
      <w:r>
        <w:t xml:space="preserve">(Edge vs Node) or region, TTL/expire on write, response end before write flush, CORS/OPTIONS path, or JSON stringify differences.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/lib/rag/rewrite.ts</w:t>
      </w:r>
      <w:r>
        <w:t xml:space="preserve"> </w:t>
      </w:r>
      <w:r>
        <w:t xml:space="preserve">(Spanish legal‑query normalizer)</w:t>
      </w:r>
      <w:r>
        <w:t xml:space="preserve"> </w:t>
      </w:r>
      <w:r>
        <w:rPr>
          <w:b/>
          <w:bCs/>
        </w:rPr>
        <w:t xml:space="preserve">not working as intended</w:t>
      </w:r>
      <w:r>
        <w:t xml:space="preserve">; normalization/regEx coverage needs a robust rewrite + tests.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DevTools tests not working</w:t>
      </w:r>
      <w:r>
        <w:t xml:space="preserve"> </w:t>
      </w:r>
      <w:r>
        <w:t xml:space="preserve">(Console/Network checks from Project IV); need deterministic test harness and clear pass/fail logs.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RoE v1.1 enforcement</w:t>
      </w:r>
      <w:r>
        <w:t xml:space="preserve">—verify in</w:t>
      </w:r>
      <w:r>
        <w:t xml:space="preserve"> </w:t>
      </w:r>
      <w:r>
        <w:rPr>
          <w:rStyle w:val="VerbatimChar"/>
        </w:rPr>
        <w:t xml:space="preserve">app/api/rag/answer/route.ts</w:t>
      </w:r>
      <w:r>
        <w:t xml:space="preserve"> </w:t>
      </w:r>
      <w:r>
        <w:t xml:space="preserve">(domain routing, style, uncertainty phrase, disclaimer).</w:t>
      </w:r>
    </w:p>
    <w:p>
      <w:r>
        <w:pict>
          <v:rect style="width:0;height:1.5pt" o:hralign="center" o:hrstd="t" o:hr="t"/>
        </w:pict>
      </w:r>
    </w:p>
    <w:bookmarkEnd w:id="23"/>
    <w:bookmarkStart w:id="24" w:name="immediate-action-plan-concise"/>
    <w:p>
      <w:pPr>
        <w:pStyle w:val="Heading2"/>
      </w:pPr>
      <w:r>
        <w:t xml:space="preserve">Immediate Action Plan (concise)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A. Redis MISS debugging (priority)</w:t>
      </w:r>
    </w:p>
    <w:p>
      <w:pPr>
        <w:pStyle w:val="Compact"/>
        <w:numPr>
          <w:ilvl w:val="1"/>
          <w:numId w:val="1009"/>
        </w:numPr>
      </w:pPr>
      <w:r>
        <w:t xml:space="preserve">Log keys on</w:t>
      </w:r>
      <w:r>
        <w:t xml:space="preserve"> </w:t>
      </w:r>
      <w:r>
        <w:rPr>
          <w:b/>
          <w:bCs/>
        </w:rPr>
        <w:t xml:space="preserve">write &amp; read</w:t>
      </w:r>
      <w:r>
        <w:t xml:space="preserve">; add</w:t>
      </w:r>
      <w:r>
        <w:t xml:space="preserve"> </w:t>
      </w:r>
      <w:r>
        <w:rPr>
          <w:rStyle w:val="VerbatimChar"/>
        </w:rPr>
        <w:t xml:space="preserve">await client.set(...)</w:t>
      </w:r>
      <w:r>
        <w:t xml:space="preserve"> </w:t>
      </w:r>
      <w:r>
        <w:t xml:space="preserve">with explicit</w:t>
      </w:r>
      <w:r>
        <w:t xml:space="preserve"> </w:t>
      </w:r>
      <w:r>
        <w:rPr>
          <w:b/>
          <w:bCs/>
        </w:rPr>
        <w:t xml:space="preserve">TTL/EX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await client.get(...)</w:t>
      </w:r>
      <w:r>
        <w:t xml:space="preserve"> </w:t>
      </w:r>
      <w:r>
        <w:t xml:space="preserve">to assert persistence within the same request.</w:t>
      </w:r>
    </w:p>
    <w:p>
      <w:pPr>
        <w:pStyle w:val="Compact"/>
        <w:numPr>
          <w:ilvl w:val="1"/>
          <w:numId w:val="1009"/>
        </w:numPr>
      </w:pPr>
      <w:r>
        <w:t xml:space="preserve">Normalize key schema:</w:t>
      </w:r>
      <w:r>
        <w:t xml:space="preserve"> </w:t>
      </w:r>
      <w:r>
        <w:rPr>
          <w:rStyle w:val="VerbatimChar"/>
        </w:rPr>
        <w:t xml:space="preserve">rag:chat:{hash(query)}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rag:kbfiles:v1</w:t>
      </w:r>
      <w:r>
        <w:t xml:space="preserve"> </w:t>
      </w:r>
      <w:r>
        <w:t xml:space="preserve">(stable). Centralize in a single</w:t>
      </w:r>
      <w:r>
        <w:t xml:space="preserve"> </w:t>
      </w:r>
      <w:r>
        <w:rPr>
          <w:rStyle w:val="VerbatimChar"/>
        </w:rPr>
        <w:t xml:space="preserve">cache.ts</w:t>
      </w:r>
      <w:r>
        <w:t xml:space="preserve"> </w:t>
      </w:r>
      <w:r>
        <w:t xml:space="preserve">to avoid drift.</w:t>
      </w:r>
    </w:p>
    <w:p>
      <w:pPr>
        <w:pStyle w:val="Compact"/>
        <w:numPr>
          <w:ilvl w:val="1"/>
          <w:numId w:val="1009"/>
        </w:numPr>
      </w:pPr>
      <w:r>
        <w:t xml:space="preserve">Ensure both API routes run on</w:t>
      </w:r>
      <w:r>
        <w:t xml:space="preserve"> </w:t>
      </w:r>
      <w:r>
        <w:rPr>
          <w:b/>
          <w:bCs/>
        </w:rPr>
        <w:t xml:space="preserve">Node runtime</w:t>
      </w:r>
      <w:r>
        <w:t xml:space="preserve"> </w:t>
      </w:r>
      <w:r>
        <w:t xml:space="preserve">(not Edge) when using Upstash SDK; align</w:t>
      </w:r>
      <w:r>
        <w:t xml:space="preserve"> </w:t>
      </w:r>
      <w:r>
        <w:rPr>
          <w:b/>
          <w:bCs/>
        </w:rPr>
        <w:t xml:space="preserve">region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URL/TOKEN</w:t>
      </w:r>
      <w:r>
        <w:t xml:space="preserve"> </w:t>
      </w:r>
      <w:r>
        <w:t xml:space="preserve">envs for read/write parity.</w:t>
      </w:r>
    </w:p>
    <w:p>
      <w:pPr>
        <w:pStyle w:val="Compact"/>
        <w:numPr>
          <w:ilvl w:val="1"/>
          <w:numId w:val="1009"/>
        </w:numPr>
      </w:pPr>
      <w:r>
        <w:t xml:space="preserve">Add a</w:t>
      </w:r>
      <w:r>
        <w:t xml:space="preserve"> </w:t>
      </w:r>
      <w:r>
        <w:rPr>
          <w:rStyle w:val="VerbatimChar"/>
        </w:rPr>
        <w:t xml:space="preserve">/api/debug/cache?key=...</w:t>
      </w:r>
      <w:r>
        <w:t xml:space="preserve"> </w:t>
      </w:r>
      <w:r>
        <w:t xml:space="preserve">read‑only endpoint to introspect values quickly.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B. Query Rewriter v2</w:t>
      </w:r>
    </w:p>
    <w:p>
      <w:pPr>
        <w:pStyle w:val="Compact"/>
        <w:numPr>
          <w:ilvl w:val="1"/>
          <w:numId w:val="1010"/>
        </w:numPr>
      </w:pPr>
      <w:r>
        <w:t xml:space="preserve">Replace ad‑hoc regex with a</w:t>
      </w:r>
      <w:r>
        <w:t xml:space="preserve"> </w:t>
      </w:r>
      <w:r>
        <w:rPr>
          <w:b/>
          <w:bCs/>
        </w:rPr>
        <w:t xml:space="preserve">deterministic pipeline</w:t>
      </w:r>
      <w:r>
        <w:t xml:space="preserve">: lowercasing → accent fold → stopword trim → synonym map (ley/extranjería/visado), typo fix (DL distance ≤1 for frequent terms),</w:t>
      </w:r>
      <w:r>
        <w:t xml:space="preserve"> </w:t>
      </w:r>
      <w:r>
        <w:rPr>
          <w:b/>
          <w:bCs/>
        </w:rPr>
        <w:t xml:space="preserve">legal entities expansion</w:t>
      </w:r>
      <w:r>
        <w:t xml:space="preserve"> </w:t>
      </w:r>
      <w:r>
        <w:t xml:space="preserve">(art., artículo, arts.), plus</w:t>
      </w:r>
      <w:r>
        <w:t xml:space="preserve"> </w:t>
      </w:r>
      <w:r>
        <w:rPr>
          <w:b/>
          <w:bCs/>
        </w:rPr>
        <w:t xml:space="preserve">unit tests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t xml:space="preserve">Ship a</w:t>
      </w:r>
      <w:r>
        <w:t xml:space="preserve"> </w:t>
      </w:r>
      <w:r>
        <w:rPr>
          <w:b/>
          <w:bCs/>
        </w:rPr>
        <w:t xml:space="preserve">benchmark suite</w:t>
      </w:r>
      <w:r>
        <w:t xml:space="preserve">: 30 real queries → expected rewritten forms; track pass‑rate.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C. DevTools Tests</w:t>
      </w:r>
    </w:p>
    <w:p>
      <w:pPr>
        <w:pStyle w:val="Compact"/>
        <w:numPr>
          <w:ilvl w:val="1"/>
          <w:numId w:val="1011"/>
        </w:numPr>
      </w:pPr>
      <w:r>
        <w:t xml:space="preserve">Provide a tiny</w:t>
      </w:r>
      <w:r>
        <w:t xml:space="preserve"> </w:t>
      </w:r>
      <w:r>
        <w:rPr>
          <w:b/>
          <w:bCs/>
        </w:rPr>
        <w:t xml:space="preserve">/api/health</w:t>
      </w:r>
      <w:r>
        <w:t xml:space="preserve"> </w:t>
      </w:r>
      <w:r>
        <w:t xml:space="preserve">JSON and</w:t>
      </w:r>
      <w:r>
        <w:t xml:space="preserve"> </w:t>
      </w:r>
      <w:r>
        <w:rPr>
          <w:b/>
          <w:bCs/>
        </w:rPr>
        <w:t xml:space="preserve">/api/rag/answer</w:t>
      </w:r>
      <w:r>
        <w:t xml:space="preserve"> </w:t>
      </w:r>
      <w:r>
        <w:t xml:space="preserve">deterministic mock when</w:t>
      </w:r>
      <w:r>
        <w:t xml:space="preserve"> </w:t>
      </w:r>
      <w:r>
        <w:rPr>
          <w:rStyle w:val="VerbatimChar"/>
        </w:rPr>
        <w:t xml:space="preserve">?test=1</w:t>
      </w:r>
      <w:r>
        <w:t xml:space="preserve"> </w:t>
      </w:r>
      <w:r>
        <w:t xml:space="preserve">to stabilize Console/Network assertions.</w:t>
      </w:r>
    </w:p>
    <w:p>
      <w:pPr>
        <w:pStyle w:val="Compact"/>
        <w:numPr>
          <w:ilvl w:val="1"/>
          <w:numId w:val="1011"/>
        </w:numPr>
      </w:pPr>
      <w:r>
        <w:t xml:space="preserve">Script reproducible checks: curl + jq snippets + screenshots; store under</w:t>
      </w:r>
      <w:r>
        <w:t xml:space="preserve"> </w:t>
      </w:r>
      <w:r>
        <w:rPr>
          <w:rStyle w:val="VerbatimChar"/>
        </w:rPr>
        <w:t xml:space="preserve">/docs/tests/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D. RoE v1.1 Checks</w:t>
      </w:r>
    </w:p>
    <w:p>
      <w:pPr>
        <w:pStyle w:val="Compact"/>
        <w:numPr>
          <w:ilvl w:val="1"/>
          <w:numId w:val="1012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finalizer</w:t>
      </w:r>
      <w:r>
        <w:t xml:space="preserve"> </w:t>
      </w:r>
      <w:r>
        <w:t xml:space="preserve">step ensuring Spanish, 3–6 sentences, bold key terms, bullets for procedures; inject disclaimer once per session.</w:t>
      </w:r>
    </w:p>
    <w:p>
      <w:r>
        <w:pict>
          <v:rect style="width:0;height:1.5pt" o:hralign="center" o:hrstd="t" o:hr="t"/>
        </w:pict>
      </w:r>
    </w:p>
    <w:bookmarkEnd w:id="24"/>
    <w:bookmarkStart w:id="25" w:name="references-paths"/>
    <w:p>
      <w:pPr>
        <w:pStyle w:val="Heading2"/>
      </w:pPr>
      <w:r>
        <w:t xml:space="preserve">References / Paths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Priority Goals:</w:t>
      </w:r>
      <w:r>
        <w:t xml:space="preserve"> </w:t>
      </w:r>
      <w:r>
        <w:rPr>
          <w:rStyle w:val="VerbatimChar"/>
        </w:rPr>
        <w:t xml:space="preserve">/mnt/data/Priority Goals of AI Agent Project.docx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RoE v1.1:</w:t>
      </w:r>
      <w:r>
        <w:t xml:space="preserve"> </w:t>
      </w:r>
      <w:r>
        <w:rPr>
          <w:rStyle w:val="VerbatimChar"/>
        </w:rPr>
        <w:t xml:space="preserve">/mnt/data/Rules of Engagement.docx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Embeddings:</w:t>
      </w:r>
      <w:r>
        <w:t xml:space="preserve"> </w:t>
      </w:r>
      <w:r>
        <w:rPr>
          <w:rStyle w:val="VerbatimChar"/>
        </w:rPr>
        <w:t xml:space="preserve">data/kb/embeddings.json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Typical test prompt:</w:t>
      </w:r>
      <w:r>
        <w:t xml:space="preserve"> </w:t>
      </w:r>
      <w:r>
        <w:rPr>
          <w:rStyle w:val="VerbatimChar"/>
        </w:rPr>
        <w:t xml:space="preserve">¿qué dice el artículo 123 del código procesal?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Working dirs:</w:t>
      </w:r>
      <w:r>
        <w:t xml:space="preserve"> </w:t>
      </w:r>
      <w:r>
        <w:rPr>
          <w:rStyle w:val="VerbatimChar"/>
        </w:rPr>
        <w:t xml:space="preserve">/Users/eos/kb-legal-assistant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/Users/eos/kb-legal-assistant-ui</w:t>
      </w:r>
    </w:p>
    <w:p>
      <w:r>
        <w:pict>
          <v:rect style="width:0;height:1.5pt" o:hralign="center" o:hrstd="t" o:hr="t"/>
        </w:pict>
      </w:r>
    </w:p>
    <w:bookmarkEnd w:id="25"/>
    <w:bookmarkStart w:id="26" w:name="scratchpad-for-notes-as-we-progress"/>
    <w:p>
      <w:pPr>
        <w:pStyle w:val="Heading2"/>
      </w:pPr>
      <w:r>
        <w:t xml:space="preserve">## Scratchpad (for notes as we progress)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2025-10-06T08:28:35Z</dcterms:created>
  <dcterms:modified xsi:type="dcterms:W3CDTF">2025-10-06T08:28:35Z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