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pPr>
      <w:r w:rsidDel="00000000" w:rsidR="00000000" w:rsidRPr="00000000">
        <w:rPr>
          <w:rtl w:val="0"/>
        </w:rPr>
        <w:t xml:space="preserve">Visualizing the Decline in Cultural Participation in Europe Post-Crisis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March 2023</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300" w:before="300" w:line="48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Previous work in cultural sociology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w:t>
      </w:r>
      <w:r w:rsidDel="00000000" w:rsidR="00000000" w:rsidRPr="00000000">
        <w:rPr>
          <w:rtl w:val="0"/>
        </w:rPr>
        <w:t xml:space="preserve">recession-related</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 eurozone crisis to visualize the impact of a </w:t>
      </w:r>
      <w:r w:rsidDel="00000000" w:rsidR="00000000" w:rsidRPr="00000000">
        <w:rPr>
          <w:rtl w:val="0"/>
        </w:rPr>
        <w:t xml:space="preserve">once-in-a-generation</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 period-specific shock for the four national cases most deeply affected: Portugal, Spain, Italy, and Greece. In all cases, with the possible exception of Spain, we can observe steep increases in rates of non-participation affecting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 particularly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 the less-educated, except for Greece, for which we can see </w:t>
      </w:r>
      <w:r w:rsidDel="00000000" w:rsidR="00000000" w:rsidRPr="00000000">
        <w:rPr>
          <w:rtl w:val="0"/>
        </w:rPr>
        <w:t xml:space="preserve">widespread</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 negative impacts of the crisis on participation across all levels of education.</w:t>
      </w:r>
    </w:p>
    <w:p w:rsidR="00000000" w:rsidDel="00000000" w:rsidP="00000000" w:rsidRDefault="00000000" w:rsidRPr="00000000" w14:paraId="00000004">
      <w:pPr>
        <w:pStyle w:val="Heading1"/>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spacing w:line="480" w:lineRule="auto"/>
        <w:rPr/>
      </w:pPr>
      <w:r w:rsidDel="00000000" w:rsidR="00000000" w:rsidRPr="00000000">
        <w:rPr>
          <w:rtl w:val="0"/>
        </w:rPr>
        <w:t xml:space="preserve">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Previous work shows that while trends in cultural participation across societies are rarely completely static, any changes we observe usually follow the timescale of cohort replacement, namely, gradual and relatively slow. </w:t>
      </w:r>
      <w:r w:rsidDel="00000000" w:rsidR="00000000" w:rsidRPr="00000000">
        <w:rPr>
          <w:rtl w:val="0"/>
        </w:rPr>
        <w:t xml:space="preserve">Every so often,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observe systematic trends upwards or </w:t>
      </w:r>
      <w:r w:rsidDel="00000000" w:rsidR="00000000" w:rsidRPr="00000000">
        <w:rPr>
          <w:rtl w:val="0"/>
        </w:rPr>
        <w:t xml:space="preserve">downward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tastes for specific activities change across generations (DiMaggio, 2004)</w:t>
      </w:r>
      <w:r w:rsidDel="00000000" w:rsidR="00000000" w:rsidRPr="00000000">
        <w:rPr>
          <w:rtl w:val="0"/>
        </w:rPr>
        <w:t xml:space="preserve">. Nevertheless,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more likely to observe continuity and “inertia” seemingly impervious to period-specific factors like changes in cultural policy or trends in the globalization of cultural production (Coulangeon, 2013; López-Sintas &amp; Katz-Gerro 2005).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twin set of Eurobarometer surveys containing a cultural participation module allows us to revisit the idea of the preponderance of inertia and gradual change in cultural participation trends. The surveys were fielded in 2007 and 2013. They thus provide us with an opportunity to estimate the impact of a </w:t>
      </w:r>
      <w:r w:rsidDel="00000000" w:rsidR="00000000" w:rsidRPr="00000000">
        <w:rPr>
          <w:rtl w:val="0"/>
        </w:rPr>
        <w:t xml:space="preserve">significant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exogenous, period-specific shock of generational significance: Namely, the global financial crisis and its aftermath, the “Great Recession,” the most severe global recession since the great depression in the early 20th century, affecting all the world’s rich economies most significantly. In Europe, the great recession led to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eurozone debt crisis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brought the economies and financial systems of various Southern European economies (including the cases analyzed here) to their knees, visiting extreme economic hardship on the populace.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what follows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visualize the impact of the financial crisis on cultural participation using data on the immediate “before”—Eurobarometer 67.1, fielded in Februrary-March 2007—and “after”—Eurobarometer 79.2, fielded in April-May 2013—(European Commission, 2012; 2016). The two data sets contain matching cultural participation items across six activities: (1) Going to the movies, (2) Attending a dance performance, (3) Attending a museum or a gallery, (4) Attending a musical concert, (5) Visiting a historical monument, and (6) attending a dramatic or theater performance. I focus my analysis on the four Southern European economies most deeply affected by the crisis: Portugal, Spain, Italy, and Greece.</w:t>
      </w:r>
    </w:p>
    <w:p w:rsidR="00000000" w:rsidDel="00000000" w:rsidP="00000000" w:rsidRDefault="00000000" w:rsidRPr="00000000" w14:paraId="00000009">
      <w:pPr>
        <w:pStyle w:val="Heading1"/>
        <w:spacing w:line="480" w:lineRule="auto"/>
        <w:rPr/>
      </w:pPr>
      <w:r w:rsidDel="00000000" w:rsidR="00000000" w:rsidRPr="00000000">
        <w:rPr>
          <w:rtl w:val="0"/>
        </w:rPr>
        <w:t xml:space="preserve">The decline in cultural participation post-crisis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w:t>
      </w:r>
      <w:hyperlink w:anchor="bookmark=id.3znysh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shows stacked bar plots designed </w:t>
      </w:r>
      <w:r w:rsidDel="00000000" w:rsidR="00000000" w:rsidRPr="00000000">
        <w:rPr>
          <w:rtl w:val="0"/>
        </w:rPr>
        <w:t xml:space="preserve">to analyze and present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Likert-type data (Heiberger &amp; Robins 2014), rendered using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package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likert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developed by Bryer &amp; Speerschneider (2016). In the figure, each horizontal bar represents the number of six possible cultural activities undertaken by respondents in the previous year in four ordered categories: None, one to two, three to four, and five to six. </w:t>
      </w:r>
      <w:r w:rsidDel="00000000" w:rsidR="00000000" w:rsidRPr="00000000">
        <w:rPr>
          <w:rtl w:val="0"/>
        </w:rPr>
        <w:t xml:space="preserve">Different colored bar segments represent each response 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bar is centered at the zero category, such that, within each panel, the percentages listed at the left of the gray bar represent the proportion of nonparticipating respondents, and the percentages listed at the right of each bar represent the proportion of respondents who participated in at least one cultural activity.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panels (a) and (b)</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can see that three out of the four Southern European countries, with the possible exception of Spain, experienced noticeable increases in cultural non-participation post-crisis. The proportion of people who report doing </w:t>
      </w:r>
      <w:r w:rsidDel="00000000" w:rsidR="00000000" w:rsidRPr="00000000">
        <w:rPr>
          <w:rtl w:val="0"/>
        </w:rPr>
        <w:t xml:space="preserve">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cultural activities goes from 46%, 31%, 43%, and 25% in 2007 for Portugal, Spain, Greece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Italy, to 59%, 36%, 52%, and 34%, respectively.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there heterogeneity in the decline in cultural participation across respondents with different levels of education? We know from previous work that education is the best predictor of cultural participation and that the cultural participation habits of the more educated are more resistant to exogenous shocks. Moreover, education is correlated with earnings, which means that any restrictions on leisure consumption for cultural goods should hit the less educated the hardest.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panels c-d, we find that the decline in cultural participation affected people with more and less education differently in each national case, although overall, the expectation that the crisis affected those with less education seems to hold. First, note that steep cultural capital gradient on cultural participation. Across all national cases and periods, the more educated are more likely to participate in cultural activities.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specific combinations of country and period, we see that in Portugal (panels c-d), the increase in non-participation is concentrated among people with about a high-school education (16–19 years old when they completed schooling), who went from a non-participation rate of 22% in 2007 to 40% in 2013. Respondents with a university education were relatively protected (14% versus 16%); for this group, the proportion engaging in the most activities (five to six) seems to have grown post-crisis. In Spain (panels e-f), we find the same pattern, although with a less steep increase in non-participation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going from 17% to 25% among the high-school educated. Italy tells the same story, although we also observe relatively </w:t>
      </w:r>
      <w:r w:rsidDel="00000000" w:rsidR="00000000" w:rsidRPr="00000000">
        <w:rPr>
          <w:rtl w:val="0"/>
        </w:rPr>
        <w:t xml:space="preserve">significant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increases in non-participation for those with less than a high-school education, who go from 47% with zero cultural activities in 2007 to 58% in 2013.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Greece shows a different pattern from the three other Southern European cases, evincing a general increase in non-participation across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levels of education. Greek respondents with a University education went from 16% non-participants in 2007 (comparable to the other Southern European cases) to 28% in 2013 (the highest among all Southern European cases); University-educated Greeks are also the least well-represented in the avid (five to six activities) participation category across all four national cases compared to people of similar educational background. Thus, there seems to be a connection between the intensity with which the financial and debt crises hit a particular country (as Greece was the most deeply affected of the Southern European economies) and the extent to which the effects of the crisis were restricted to those with less cultural and economic resources, or impacted the entirety of the population.</w:t>
      </w:r>
    </w:p>
    <w:p w:rsidR="00000000" w:rsidDel="00000000" w:rsidP="00000000" w:rsidRDefault="00000000" w:rsidRPr="00000000" w14:paraId="00000010">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4445000"/>
            <wp:effectExtent b="0" l="0" r="0" t="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Stacked bar plots of </w:t>
      </w:r>
      <w:r w:rsidDel="00000000" w:rsidR="00000000" w:rsidRPr="00000000">
        <w:rPr>
          <w:i w:val="1"/>
          <w:rtl w:val="0"/>
        </w:rPr>
        <w:t xml:space="preserve">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number of cultural activities for four Southern European countries. </w:t>
      </w:r>
      <w:r w:rsidDel="00000000" w:rsidR="00000000" w:rsidRPr="00000000">
        <w:rPr>
          <w:i w:val="1"/>
          <w:rtl w:val="0"/>
        </w:rPr>
        <w:t xml:space="preserve">The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top panel (a-b) shows the number of cultural activities per country for 2007 (a) and 2013 (b). The bottom panels (c-j) show the number of cultural activities for each country in each year by the respondent’s level of education on the y-axis: Portugal (c-d), Spain (e-f), Italy (g-h)</w:t>
      </w:r>
      <w:r w:rsidDel="00000000" w:rsidR="00000000" w:rsidRPr="00000000">
        <w:rPr>
          <w:i w:val="1"/>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and Greece (i-j).</w:t>
      </w:r>
    </w:p>
    <w:p w:rsidR="00000000" w:rsidDel="00000000" w:rsidP="00000000" w:rsidRDefault="00000000" w:rsidRPr="00000000" w14:paraId="00000014">
      <w:pPr>
        <w:spacing w:line="480" w:lineRule="auto"/>
        <w:rPr>
          <w:rFonts w:ascii="Calibri" w:cs="Calibri" w:eastAsia="Calibri" w:hAnsi="Calibri"/>
          <w:b w:val="1"/>
          <w:color w:val="4f81b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480" w:lineRule="auto"/>
        <w:rPr/>
      </w:pPr>
      <w:r w:rsidDel="00000000" w:rsidR="00000000" w:rsidRPr="00000000">
        <w:rPr>
          <w:rtl w:val="0"/>
        </w:rPr>
        <w:t xml:space="preserve">References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Bryer, J., &amp; Speerschneider, K. (2016). Package ‘likert’. Likert: Analysis and Visualization Likert Items, version 1.3, 5, 2016.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Coulangeon, P. (2013). Changing policies, challenging theories and persisting inequalities: Social disparities in cultural participation in France from 1981 to 2008.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Poetics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41(2), 177-209.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DiMaggio, P., &amp; Mukhtar, T. (2004). Arts participation as cultural capital in the United States, 1982–2002: Signs of decline?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Poetics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32(2), 169-194.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European Commission (2012). Eurobarometer 67.1 (Feb-Mar 2007). GESIS Data Archive, Cologne. ZA4529 Data file Version 3.0.1.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European Commission (2016). Eurobarometer 79.2 (Apr-May 2013). GESIS Data Archive, Cologne. ZA5688 Data file Version 6.0.0,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Heiberger, R., &amp; Robbins, N. (2014). Design of diverging stacked bar charts for Likert scales and other applications. Journal of Statistical Software, 57, 1-32.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López-Sintas, J., &amp; Katz-Gerro, T. (2005). From exclusive to inclusive elitists and further: Twenty years of omnivorousness and cultural diversity in arts participation in the USA.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Poetics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33(5-6), 299-319.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Ram, K. (2018). wesanderson: a Wes Anderson palette generator. R package version 0.3, 6, 2018.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color palette used in the plot is “Royal2" from Karthik Ram’s (2018)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wesanderson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package.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val="1"/>
      <w:color w:val="008000"/>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zxEIqmQSsKDhI25p6RztXaTtog==">AMUW2mX3oiX2ifS8mtIFHz+C+K1exQKmhzznByyH7HS/mb8vPHDR2mlYxyFJs3n5YjAqu4p7gN/jnQ0ex1g1le0hjXcF+DiuPvf+NtJqJpR4sZczHNBgJkc=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2023-03-11T15:40:00Z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work in cultural sociology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recession related eurozone crisis to visualize the impact of a once in a generation period-specific shock for the four national cases most deeply affected: Portugal, Spain, Italy, and Greece. In all cases, with the possible exception of Spain, can observe steep increases in rates of non-participation affecting particularly the less-educated, except for Greece, for which we can see general negative impacts of the crisis on participation across all levels of education.</vt:lpwstr>
  </property>
  <property fmtid="{D5CDD505-2E9C-101B-9397-08002B2CF9AE}" pid="3" name="date">
    <vt:lpwstr>March 2023</vt:lpwstr>
  </property>
</Properties>
</file>