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da5li3mu3uqg" w:id="0"/>
      <w:bookmarkEnd w:id="0"/>
      <w:r w:rsidDel="00000000" w:rsidR="00000000" w:rsidRPr="00000000">
        <w:rPr>
          <w:rtl w:val="0"/>
        </w:rPr>
        <w:t xml:space="preserve">Authenticity vs. Conventional Highbrow Restaurant Preferences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i w:val="1"/>
          <w:iCs w:val="1"/>
        </w:rPr>
      </w:pPr>
      <w:bookmarkStart w:colFirst="0" w:colLast="0" w:name="_y4b9bwcq7b6r"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shift</w:t>
      </w:r>
      <w:r w:rsidDel="00000000" w:rsidR="00000000" w:rsidRPr="00000000">
        <w:rPr>
          <w:rtl w:val="0"/>
        </w:rPr>
        <w:t xml:space="preserve"> from snob to omnivore suggests that multiple modes of highbrow can co-occur. Research on differential effects of childhood arts and education also suggests processes by which it occurs. A more complete account could look at how different modes of highbrow consumption might be structured by other mechanisms of socialization. For example, adult children are as likely as, or more likely than, their parents to have the same politics as they are to have the same religion. (Framing general theory)</w:t>
      </w:r>
    </w:p>
    <w:p w:rsidR="00000000" w:rsidDel="00000000" w:rsidP="00000000" w:rsidRDefault="00000000" w:rsidRPr="00000000" w14:paraId="00000005">
      <w:pPr>
        <w:pStyle w:val="Heading1"/>
        <w:rPr/>
      </w:pPr>
      <w:bookmarkStart w:colFirst="0" w:colLast="0" w:name="_y0o7zrx29jkl" w:id="2"/>
      <w:bookmarkEnd w:id="2"/>
      <w:r w:rsidDel="00000000" w:rsidR="00000000" w:rsidRPr="00000000">
        <w:rPr>
          <w:rtl w:val="0"/>
        </w:rPr>
        <w:t xml:space="preserve">BACKGROUND </w:t>
      </w:r>
    </w:p>
    <w:p w:rsidR="00000000" w:rsidDel="00000000" w:rsidP="00000000" w:rsidRDefault="00000000" w:rsidRPr="00000000" w14:paraId="00000006">
      <w:pPr>
        <w:rPr/>
      </w:pPr>
      <w:r w:rsidDel="00000000" w:rsidR="00000000" w:rsidRPr="00000000">
        <w:rPr>
          <w:rtl w:val="0"/>
        </w:rPr>
        <w:t xml:space="preserve">Research on cultural polarization is at best mixed, suffering from a range of methodological and theoretical differences that produce different results. In what follows, we summarize some of these approaches and distinctions, and suggest that research on cultural polarization can benefit through more deliberate integration with insights from the sociological study of cultural consumption and taste. We then show the utility of our approach with an empirical analysis of the politicization of different modes of highbrow cultural consumption.</w:t>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Section #1: Cultural polarization in sociology first emerged in response to the “culture wars” hypothesis of the early 1990s. DiMaggio, etc.,</w:t>
      </w:r>
    </w:p>
    <w:p w:rsidR="00000000" w:rsidDel="00000000" w:rsidP="00000000" w:rsidRDefault="00000000" w:rsidRPr="00000000" w14:paraId="00000009">
      <w:pPr>
        <w:rPr>
          <w:i w:val="1"/>
          <w:iCs w:val="1"/>
          <w:sz w:val="14"/>
          <w:szCs w:val="14"/>
        </w:rPr>
      </w:pPr>
      <w:r w:rsidDel="00000000" w:rsidR="00000000" w:rsidRPr="00000000">
        <w:rPr>
          <w:rtl w:val="0"/>
        </w:rPr>
      </w:r>
    </w:p>
    <w:p w:rsidR="00000000" w:rsidDel="00000000" w:rsidP="00000000" w:rsidRDefault="00000000" w:rsidRPr="00000000" w14:paraId="0000000A">
      <w:pPr>
        <w:rPr>
          <w:sz w:val="14"/>
          <w:szCs w:val="1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00"/>
        <w:gridCol w:w="2000"/>
        <w:gridCol w:w="1700"/>
        <w:gridCol w:w="1800"/>
        <w:tblGridChange w:id="0">
          <w:tblGrid>
            <w:gridCol w:w="2000"/>
            <w:gridCol w:w="1800"/>
            <w:gridCol w:w="2000"/>
            <w:gridCol w:w="1700"/>
            <w:gridCol w:w="1800"/>
          </w:tblGrid>
        </w:tblGridChange>
      </w:tblGrid>
      <w:tr>
        <w:trPr>
          <w:cantSplit w:val="0"/>
          <w:tblHeader w:val="1"/>
        </w:trPr>
        <w:tc>
          <w:tcPr>
            <w:tcBorders>
              <w:top w:color="000000" w:space="0" w:sz="12" w:val="single"/>
              <w:bottom w:color="000000" w:space="0" w:sz="8" w:val="single"/>
            </w:tcBorders>
            <w:tcMar>
              <w:top w:w="80.0" w:type="dxa"/>
              <w:bottom w:w="80.0" w:type="dxa"/>
            </w:tcMar>
          </w:tcPr>
          <w:p w:rsidR="00000000" w:rsidDel="00000000" w:rsidP="00000000" w:rsidRDefault="00000000" w:rsidRPr="00000000" w14:paraId="0000000C">
            <w:pPr>
              <w:spacing w:line="276" w:lineRule="auto"/>
              <w:ind w:firstLine="0"/>
              <w:jc w:val="left"/>
              <w:rPr/>
            </w:pPr>
            <w:r w:rsidDel="00000000" w:rsidR="00000000" w:rsidRPr="00000000">
              <w:rPr>
                <w:b w:val="1"/>
                <w:bCs w:val="1"/>
                <w:sz w:val="18"/>
                <w:szCs w:val="18"/>
                <w:rtl w:val="0"/>
              </w:rPr>
              <w:t xml:space="preserve">Type of Polarization</w:t>
            </w:r>
            <w:r w:rsidDel="00000000" w:rsidR="00000000" w:rsidRPr="00000000">
              <w:rPr>
                <w:rtl w:val="0"/>
              </w:rPr>
            </w:r>
          </w:p>
        </w:tc>
        <w:tc>
          <w:tcPr>
            <w:tcBorders>
              <w:top w:color="000000" w:space="0" w:sz="12" w:val="single"/>
              <w:bottom w:color="000000" w:space="0" w:sz="8" w:val="single"/>
            </w:tcBorders>
            <w:tcMar>
              <w:top w:w="80.0" w:type="dxa"/>
              <w:bottom w:w="80.0" w:type="dxa"/>
            </w:tcMar>
          </w:tcPr>
          <w:p w:rsidR="00000000" w:rsidDel="00000000" w:rsidP="00000000" w:rsidRDefault="00000000" w:rsidRPr="00000000" w14:paraId="0000000D">
            <w:pPr>
              <w:spacing w:line="276" w:lineRule="auto"/>
              <w:ind w:firstLine="0"/>
              <w:jc w:val="left"/>
              <w:rPr/>
            </w:pPr>
            <w:r w:rsidDel="00000000" w:rsidR="00000000" w:rsidRPr="00000000">
              <w:rPr>
                <w:b w:val="1"/>
                <w:bCs w:val="1"/>
                <w:sz w:val="18"/>
                <w:szCs w:val="18"/>
                <w:rtl w:val="0"/>
              </w:rPr>
              <w:t xml:space="preserve">Domain</w:t>
            </w:r>
            <w:r w:rsidDel="00000000" w:rsidR="00000000" w:rsidRPr="00000000">
              <w:rPr>
                <w:rtl w:val="0"/>
              </w:rPr>
            </w:r>
          </w:p>
        </w:tc>
        <w:tc>
          <w:tcPr>
            <w:tcBorders>
              <w:top w:color="000000" w:space="0" w:sz="12" w:val="single"/>
              <w:bottom w:color="000000" w:space="0" w:sz="8" w:val="single"/>
            </w:tcBorders>
            <w:tcMar>
              <w:top w:w="80.0" w:type="dxa"/>
              <w:bottom w:w="80.0" w:type="dxa"/>
            </w:tcMar>
          </w:tcPr>
          <w:p w:rsidR="00000000" w:rsidDel="00000000" w:rsidP="00000000" w:rsidRDefault="00000000" w:rsidRPr="00000000" w14:paraId="0000000E">
            <w:pPr>
              <w:spacing w:line="276" w:lineRule="auto"/>
              <w:ind w:firstLine="0"/>
              <w:jc w:val="left"/>
              <w:rPr/>
            </w:pPr>
            <w:r w:rsidDel="00000000" w:rsidR="00000000" w:rsidRPr="00000000">
              <w:rPr>
                <w:b w:val="1"/>
                <w:bCs w:val="1"/>
                <w:sz w:val="18"/>
                <w:szCs w:val="18"/>
                <w:rtl w:val="0"/>
              </w:rPr>
              <w:t xml:space="preserve">Measure</w:t>
            </w:r>
            <w:r w:rsidDel="00000000" w:rsidR="00000000" w:rsidRPr="00000000">
              <w:rPr>
                <w:rtl w:val="0"/>
              </w:rPr>
            </w:r>
          </w:p>
        </w:tc>
        <w:tc>
          <w:tcPr>
            <w:tcBorders>
              <w:top w:color="000000" w:space="0" w:sz="12" w:val="single"/>
              <w:bottom w:color="000000" w:space="0" w:sz="8" w:val="single"/>
            </w:tcBorders>
            <w:tcMar>
              <w:top w:w="80.0" w:type="dxa"/>
              <w:bottom w:w="80.0" w:type="dxa"/>
            </w:tcMar>
          </w:tcPr>
          <w:p w:rsidR="00000000" w:rsidDel="00000000" w:rsidP="00000000" w:rsidRDefault="00000000" w:rsidRPr="00000000" w14:paraId="0000000F">
            <w:pPr>
              <w:spacing w:line="276" w:lineRule="auto"/>
              <w:ind w:firstLine="0"/>
              <w:jc w:val="left"/>
              <w:rPr/>
            </w:pPr>
            <w:r w:rsidDel="00000000" w:rsidR="00000000" w:rsidRPr="00000000">
              <w:rPr>
                <w:b w:val="1"/>
                <w:bCs w:val="1"/>
                <w:sz w:val="18"/>
                <w:szCs w:val="18"/>
                <w:rtl w:val="0"/>
              </w:rPr>
              <w:t xml:space="preserve">Cultural Polarization?</w:t>
            </w:r>
            <w:r w:rsidDel="00000000" w:rsidR="00000000" w:rsidRPr="00000000">
              <w:rPr>
                <w:rtl w:val="0"/>
              </w:rPr>
            </w:r>
          </w:p>
        </w:tc>
        <w:tc>
          <w:tcPr>
            <w:tcBorders>
              <w:top w:color="000000" w:space="0" w:sz="12" w:val="single"/>
              <w:bottom w:color="000000" w:space="0" w:sz="8" w:val="single"/>
            </w:tcBorders>
            <w:tcMar>
              <w:top w:w="80.0" w:type="dxa"/>
              <w:bottom w:w="80.0" w:type="dxa"/>
            </w:tcMar>
          </w:tcPr>
          <w:p w:rsidR="00000000" w:rsidDel="00000000" w:rsidP="00000000" w:rsidRDefault="00000000" w:rsidRPr="00000000" w14:paraId="00000010">
            <w:pPr>
              <w:spacing w:line="276" w:lineRule="auto"/>
              <w:ind w:firstLine="0"/>
              <w:jc w:val="left"/>
              <w:rPr/>
            </w:pPr>
            <w:r w:rsidDel="00000000" w:rsidR="00000000" w:rsidRPr="00000000">
              <w:rPr>
                <w:b w:val="1"/>
                <w:bCs w:val="1"/>
                <w:sz w:val="18"/>
                <w:szCs w:val="18"/>
                <w:rtl w:val="0"/>
              </w:rPr>
              <w:t xml:space="preserve">Signal Publications</w:t>
            </w:r>
            <w:r w:rsidDel="00000000" w:rsidR="00000000" w:rsidRPr="00000000">
              <w:rPr>
                <w:rtl w:val="0"/>
              </w:rPr>
            </w:r>
          </w:p>
        </w:tc>
      </w:tr>
      <w:tr>
        <w:trPr>
          <w:cantSplit w:val="0"/>
          <w:tblHeader w:val="0"/>
        </w:trPr>
        <w:tc>
          <w:tcPr>
            <w:tcMar>
              <w:top w:w="80.0" w:type="dxa"/>
              <w:bottom w:w="60.0" w:type="dxa"/>
            </w:tcMar>
          </w:tcPr>
          <w:p w:rsidR="00000000" w:rsidDel="00000000" w:rsidP="00000000" w:rsidRDefault="00000000" w:rsidRPr="00000000" w14:paraId="00000011">
            <w:pPr>
              <w:spacing w:line="276" w:lineRule="auto"/>
              <w:ind w:firstLine="0"/>
              <w:jc w:val="left"/>
              <w:rPr/>
            </w:pPr>
            <w:r w:rsidDel="00000000" w:rsidR="00000000" w:rsidRPr="00000000">
              <w:rPr>
                <w:sz w:val="17"/>
                <w:szCs w:val="17"/>
                <w:rtl w:val="0"/>
              </w:rPr>
              <w:t xml:space="preserve">“Culture Wars”</w:t>
            </w:r>
            <w:r w:rsidDel="00000000" w:rsidR="00000000" w:rsidRPr="00000000">
              <w:rPr>
                <w:rtl w:val="0"/>
              </w:rPr>
            </w:r>
          </w:p>
        </w:tc>
        <w:tc>
          <w:tcPr>
            <w:tcMar>
              <w:top w:w="80.0" w:type="dxa"/>
              <w:bottom w:w="60.0" w:type="dxa"/>
            </w:tcMar>
          </w:tcPr>
          <w:p w:rsidR="00000000" w:rsidDel="00000000" w:rsidP="00000000" w:rsidRDefault="00000000" w:rsidRPr="00000000" w14:paraId="00000012">
            <w:pPr>
              <w:spacing w:line="276" w:lineRule="auto"/>
              <w:ind w:firstLine="0"/>
              <w:jc w:val="left"/>
              <w:rPr/>
            </w:pPr>
            <w:r w:rsidDel="00000000" w:rsidR="00000000" w:rsidRPr="00000000">
              <w:rPr>
                <w:rtl w:val="0"/>
              </w:rPr>
            </w:r>
          </w:p>
        </w:tc>
        <w:tc>
          <w:tcPr>
            <w:tcMar>
              <w:top w:w="80.0" w:type="dxa"/>
              <w:bottom w:w="60.0" w:type="dxa"/>
            </w:tcMar>
          </w:tcPr>
          <w:p w:rsidR="00000000" w:rsidDel="00000000" w:rsidP="00000000" w:rsidRDefault="00000000" w:rsidRPr="00000000" w14:paraId="00000013">
            <w:pPr>
              <w:spacing w:line="276" w:lineRule="auto"/>
              <w:ind w:firstLine="0"/>
              <w:jc w:val="left"/>
              <w:rPr/>
            </w:pPr>
            <w:r w:rsidDel="00000000" w:rsidR="00000000" w:rsidRPr="00000000">
              <w:rPr>
                <w:rtl w:val="0"/>
              </w:rPr>
            </w:r>
          </w:p>
        </w:tc>
        <w:tc>
          <w:tcPr>
            <w:tcMar>
              <w:top w:w="80.0" w:type="dxa"/>
              <w:bottom w:w="60.0" w:type="dxa"/>
            </w:tcMar>
          </w:tcPr>
          <w:p w:rsidR="00000000" w:rsidDel="00000000" w:rsidP="00000000" w:rsidRDefault="00000000" w:rsidRPr="00000000" w14:paraId="00000014">
            <w:pPr>
              <w:spacing w:line="276" w:lineRule="auto"/>
              <w:ind w:firstLine="0"/>
              <w:jc w:val="left"/>
              <w:rPr/>
            </w:pPr>
            <w:r w:rsidDel="00000000" w:rsidR="00000000" w:rsidRPr="00000000">
              <w:rPr>
                <w:sz w:val="17"/>
                <w:szCs w:val="17"/>
                <w:rtl w:val="0"/>
              </w:rPr>
              <w:t xml:space="preserve">Yes</w:t>
            </w:r>
            <w:r w:rsidDel="00000000" w:rsidR="00000000" w:rsidRPr="00000000">
              <w:rPr>
                <w:rtl w:val="0"/>
              </w:rPr>
            </w:r>
          </w:p>
        </w:tc>
        <w:tc>
          <w:tcPr>
            <w:tcMar>
              <w:top w:w="80.0" w:type="dxa"/>
              <w:bottom w:w="60.0" w:type="dxa"/>
            </w:tcMar>
          </w:tcPr>
          <w:p w:rsidR="00000000" w:rsidDel="00000000" w:rsidP="00000000" w:rsidRDefault="00000000" w:rsidRPr="00000000" w14:paraId="00000015">
            <w:pPr>
              <w:spacing w:line="276" w:lineRule="auto"/>
              <w:ind w:firstLine="0"/>
              <w:jc w:val="left"/>
              <w:rPr/>
            </w:pP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16">
            <w:pPr>
              <w:spacing w:line="276" w:lineRule="auto"/>
              <w:ind w:firstLine="0"/>
              <w:jc w:val="left"/>
              <w:rPr/>
            </w:pPr>
            <w:r w:rsidDel="00000000" w:rsidR="00000000" w:rsidRPr="00000000">
              <w:rPr>
                <w:sz w:val="17"/>
                <w:szCs w:val="17"/>
                <w:rtl w:val="0"/>
              </w:rPr>
              <w:t xml:space="preserve">Divergent Tastes</w:t>
            </w:r>
            <w:r w:rsidDel="00000000" w:rsidR="00000000" w:rsidRPr="00000000">
              <w:rPr>
                <w:rtl w:val="0"/>
              </w:rPr>
            </w:r>
          </w:p>
        </w:tc>
        <w:tc>
          <w:tcPr>
            <w:tcMar>
              <w:top w:w="60.0" w:type="dxa"/>
              <w:bottom w:w="60.0" w:type="dxa"/>
            </w:tcMar>
          </w:tcPr>
          <w:p w:rsidR="00000000" w:rsidDel="00000000" w:rsidP="00000000" w:rsidRDefault="00000000" w:rsidRPr="00000000" w14:paraId="00000017">
            <w:pPr>
              <w:spacing w:line="276" w:lineRule="auto"/>
              <w:ind w:firstLine="0"/>
              <w:jc w:val="left"/>
              <w:rPr/>
            </w:pPr>
            <w:r w:rsidDel="00000000" w:rsidR="00000000" w:rsidRPr="00000000">
              <w:rPr>
                <w:sz w:val="17"/>
                <w:szCs w:val="17"/>
                <w:rtl w:val="0"/>
              </w:rPr>
              <w:t xml:space="preserve">Consumer goods; Music</w:t>
            </w:r>
            <w:r w:rsidDel="00000000" w:rsidR="00000000" w:rsidRPr="00000000">
              <w:rPr>
                <w:rtl w:val="0"/>
              </w:rPr>
            </w:r>
          </w:p>
        </w:tc>
        <w:tc>
          <w:tcPr>
            <w:tcMar>
              <w:top w:w="60.0" w:type="dxa"/>
              <w:bottom w:w="60.0" w:type="dxa"/>
            </w:tcMar>
          </w:tcPr>
          <w:p w:rsidR="00000000" w:rsidDel="00000000" w:rsidP="00000000" w:rsidRDefault="00000000" w:rsidRPr="00000000" w14:paraId="00000018">
            <w:pPr>
              <w:spacing w:line="276" w:lineRule="auto"/>
              <w:ind w:firstLine="0"/>
              <w:jc w:val="left"/>
              <w:rPr/>
            </w:pPr>
            <w:r w:rsidDel="00000000" w:rsidR="00000000" w:rsidRPr="00000000">
              <w:rPr>
                <w:sz w:val="17"/>
                <w:szCs w:val="17"/>
                <w:rtl w:val="0"/>
              </w:rPr>
              <w:t xml:space="preserve">Bivariate Analysis</w:t>
            </w:r>
            <w:r w:rsidDel="00000000" w:rsidR="00000000" w:rsidRPr="00000000">
              <w:rPr>
                <w:rtl w:val="0"/>
              </w:rPr>
            </w:r>
          </w:p>
        </w:tc>
        <w:tc>
          <w:tcPr>
            <w:tcMar>
              <w:top w:w="60.0" w:type="dxa"/>
              <w:bottom w:w="60.0" w:type="dxa"/>
            </w:tcMar>
          </w:tcPr>
          <w:p w:rsidR="00000000" w:rsidDel="00000000" w:rsidP="00000000" w:rsidRDefault="00000000" w:rsidRPr="00000000" w14:paraId="00000019">
            <w:pPr>
              <w:spacing w:line="276" w:lineRule="auto"/>
              <w:ind w:firstLine="0"/>
              <w:jc w:val="left"/>
              <w:rPr/>
            </w:pPr>
            <w:r w:rsidDel="00000000" w:rsidR="00000000" w:rsidRPr="00000000">
              <w:rPr>
                <w:rtl w:val="0"/>
              </w:rPr>
            </w:r>
          </w:p>
        </w:tc>
        <w:tc>
          <w:tcPr>
            <w:tcMar>
              <w:top w:w="60.0" w:type="dxa"/>
              <w:bottom w:w="60.0" w:type="dxa"/>
            </w:tcMar>
          </w:tcPr>
          <w:p w:rsidR="00000000" w:rsidDel="00000000" w:rsidP="00000000" w:rsidRDefault="00000000" w:rsidRPr="00000000" w14:paraId="0000001A">
            <w:pPr>
              <w:spacing w:line="276" w:lineRule="auto"/>
              <w:ind w:firstLine="0"/>
              <w:jc w:val="left"/>
              <w:rPr/>
            </w:pPr>
            <w:r w:rsidDel="00000000" w:rsidR="00000000" w:rsidRPr="00000000">
              <w:rPr>
                <w:sz w:val="17"/>
                <w:szCs w:val="17"/>
                <w:rtl w:val="0"/>
              </w:rPr>
              <w:t xml:space="preserve">Hetherington and Wheeler</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1B">
            <w:pPr>
              <w:spacing w:line="276" w:lineRule="auto"/>
              <w:ind w:firstLine="0"/>
              <w:jc w:val="left"/>
              <w:rPr/>
            </w:pPr>
            <w:r w:rsidDel="00000000" w:rsidR="00000000" w:rsidRPr="00000000">
              <w:rPr>
                <w:sz w:val="17"/>
                <w:szCs w:val="17"/>
                <w:rtl w:val="0"/>
              </w:rPr>
              <w:t xml:space="preserve">Divergent Attention</w:t>
            </w:r>
            <w:r w:rsidDel="00000000" w:rsidR="00000000" w:rsidRPr="00000000">
              <w:rPr>
                <w:rtl w:val="0"/>
              </w:rPr>
            </w:r>
          </w:p>
        </w:tc>
        <w:tc>
          <w:tcPr>
            <w:tcMar>
              <w:top w:w="60.0" w:type="dxa"/>
              <w:bottom w:w="60.0" w:type="dxa"/>
            </w:tcMar>
          </w:tcPr>
          <w:p w:rsidR="00000000" w:rsidDel="00000000" w:rsidP="00000000" w:rsidRDefault="00000000" w:rsidRPr="00000000" w14:paraId="0000001C">
            <w:pPr>
              <w:spacing w:line="276" w:lineRule="auto"/>
              <w:ind w:firstLine="0"/>
              <w:jc w:val="left"/>
              <w:rPr/>
            </w:pPr>
            <w:r w:rsidDel="00000000" w:rsidR="00000000" w:rsidRPr="00000000">
              <w:rPr>
                <w:sz w:val="17"/>
                <w:szCs w:val="17"/>
                <w:rtl w:val="0"/>
              </w:rPr>
              <w:t xml:space="preserve">Consumer goods; books</w:t>
            </w:r>
            <w:r w:rsidDel="00000000" w:rsidR="00000000" w:rsidRPr="00000000">
              <w:rPr>
                <w:rtl w:val="0"/>
              </w:rPr>
            </w:r>
          </w:p>
        </w:tc>
        <w:tc>
          <w:tcPr>
            <w:tcMar>
              <w:top w:w="60.0" w:type="dxa"/>
              <w:bottom w:w="60.0" w:type="dxa"/>
            </w:tcMar>
          </w:tcPr>
          <w:p w:rsidR="00000000" w:rsidDel="00000000" w:rsidP="00000000" w:rsidRDefault="00000000" w:rsidRPr="00000000" w14:paraId="0000001D">
            <w:pPr>
              <w:spacing w:line="276" w:lineRule="auto"/>
              <w:ind w:firstLine="0"/>
              <w:jc w:val="left"/>
              <w:rPr/>
            </w:pPr>
            <w:r w:rsidDel="00000000" w:rsidR="00000000" w:rsidRPr="00000000">
              <w:rPr>
                <w:rtl w:val="0"/>
              </w:rPr>
            </w:r>
          </w:p>
        </w:tc>
        <w:tc>
          <w:tcPr>
            <w:tcMar>
              <w:top w:w="60.0" w:type="dxa"/>
              <w:bottom w:w="60.0" w:type="dxa"/>
            </w:tcMar>
          </w:tcPr>
          <w:p w:rsidR="00000000" w:rsidDel="00000000" w:rsidP="00000000" w:rsidRDefault="00000000" w:rsidRPr="00000000" w14:paraId="0000001E">
            <w:pPr>
              <w:spacing w:line="276" w:lineRule="auto"/>
              <w:ind w:firstLine="0"/>
              <w:jc w:val="left"/>
              <w:rPr/>
            </w:pPr>
            <w:r w:rsidDel="00000000" w:rsidR="00000000" w:rsidRPr="00000000">
              <w:rPr>
                <w:rtl w:val="0"/>
              </w:rPr>
            </w:r>
          </w:p>
        </w:tc>
        <w:tc>
          <w:tcPr>
            <w:tcMar>
              <w:top w:w="60.0" w:type="dxa"/>
              <w:bottom w:w="60.0" w:type="dxa"/>
            </w:tcMar>
          </w:tcPr>
          <w:p w:rsidR="00000000" w:rsidDel="00000000" w:rsidP="00000000" w:rsidRDefault="00000000" w:rsidRPr="00000000" w14:paraId="0000001F">
            <w:pPr>
              <w:spacing w:line="276" w:lineRule="auto"/>
              <w:ind w:firstLine="0"/>
              <w:jc w:val="left"/>
              <w:rPr/>
            </w:pP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20">
            <w:pPr>
              <w:spacing w:line="276" w:lineRule="auto"/>
              <w:ind w:firstLine="0"/>
              <w:jc w:val="left"/>
              <w:rPr/>
            </w:pPr>
            <w:r w:rsidDel="00000000" w:rsidR="00000000" w:rsidRPr="00000000">
              <w:rPr>
                <w:sz w:val="17"/>
                <w:szCs w:val="17"/>
                <w:rtl w:val="0"/>
              </w:rPr>
              <w:t xml:space="preserve">Divergent Meanings</w:t>
            </w:r>
            <w:r w:rsidDel="00000000" w:rsidR="00000000" w:rsidRPr="00000000">
              <w:rPr>
                <w:rtl w:val="0"/>
              </w:rPr>
            </w:r>
          </w:p>
        </w:tc>
        <w:tc>
          <w:tcPr>
            <w:tcMar>
              <w:top w:w="60.0" w:type="dxa"/>
              <w:bottom w:w="60.0" w:type="dxa"/>
            </w:tcMar>
          </w:tcPr>
          <w:p w:rsidR="00000000" w:rsidDel="00000000" w:rsidP="00000000" w:rsidRDefault="00000000" w:rsidRPr="00000000" w14:paraId="00000021">
            <w:pPr>
              <w:spacing w:line="276" w:lineRule="auto"/>
              <w:ind w:firstLine="0"/>
              <w:jc w:val="left"/>
              <w:rPr/>
            </w:pPr>
            <w:r w:rsidDel="00000000" w:rsidR="00000000" w:rsidRPr="00000000">
              <w:rPr>
                <w:rtl w:val="0"/>
              </w:rPr>
            </w:r>
          </w:p>
        </w:tc>
        <w:tc>
          <w:tcPr>
            <w:tcMar>
              <w:top w:w="60.0" w:type="dxa"/>
              <w:bottom w:w="60.0" w:type="dxa"/>
            </w:tcMar>
          </w:tcPr>
          <w:p w:rsidR="00000000" w:rsidDel="00000000" w:rsidP="00000000" w:rsidRDefault="00000000" w:rsidRPr="00000000" w14:paraId="00000022">
            <w:pPr>
              <w:spacing w:line="276" w:lineRule="auto"/>
              <w:ind w:firstLine="0"/>
              <w:jc w:val="left"/>
              <w:rPr/>
            </w:pPr>
            <w:r w:rsidDel="00000000" w:rsidR="00000000" w:rsidRPr="00000000">
              <w:rPr>
                <w:rtl w:val="0"/>
              </w:rPr>
            </w:r>
          </w:p>
        </w:tc>
        <w:tc>
          <w:tcPr>
            <w:tcMar>
              <w:top w:w="60.0" w:type="dxa"/>
              <w:bottom w:w="60.0" w:type="dxa"/>
            </w:tcMar>
          </w:tcPr>
          <w:p w:rsidR="00000000" w:rsidDel="00000000" w:rsidP="00000000" w:rsidRDefault="00000000" w:rsidRPr="00000000" w14:paraId="00000023">
            <w:pPr>
              <w:spacing w:line="276" w:lineRule="auto"/>
              <w:ind w:firstLine="0"/>
              <w:jc w:val="left"/>
              <w:rPr/>
            </w:pPr>
            <w:r w:rsidDel="00000000" w:rsidR="00000000" w:rsidRPr="00000000">
              <w:rPr>
                <w:rtl w:val="0"/>
              </w:rPr>
            </w:r>
          </w:p>
        </w:tc>
        <w:tc>
          <w:tcPr>
            <w:tcMar>
              <w:top w:w="60.0" w:type="dxa"/>
              <w:bottom w:w="60.0" w:type="dxa"/>
            </w:tcMar>
          </w:tcPr>
          <w:p w:rsidR="00000000" w:rsidDel="00000000" w:rsidP="00000000" w:rsidRDefault="00000000" w:rsidRPr="00000000" w14:paraId="00000024">
            <w:pPr>
              <w:spacing w:line="276" w:lineRule="auto"/>
              <w:ind w:firstLine="0"/>
              <w:jc w:val="left"/>
              <w:rPr/>
            </w:pP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25">
            <w:pPr>
              <w:spacing w:line="276" w:lineRule="auto"/>
              <w:ind w:firstLine="0"/>
              <w:jc w:val="left"/>
              <w:rPr/>
            </w:pPr>
            <w:r w:rsidDel="00000000" w:rsidR="00000000" w:rsidRPr="00000000">
              <w:rPr>
                <w:sz w:val="17"/>
                <w:szCs w:val="17"/>
                <w:rtl w:val="0"/>
              </w:rPr>
              <w:t xml:space="preserve">Divergent beliefs</w:t>
            </w:r>
            <w:r w:rsidDel="00000000" w:rsidR="00000000" w:rsidRPr="00000000">
              <w:rPr>
                <w:rtl w:val="0"/>
              </w:rPr>
            </w:r>
          </w:p>
        </w:tc>
        <w:tc>
          <w:tcPr>
            <w:tcMar>
              <w:top w:w="60.0" w:type="dxa"/>
              <w:bottom w:w="60.0" w:type="dxa"/>
            </w:tcMar>
          </w:tcPr>
          <w:p w:rsidR="00000000" w:rsidDel="00000000" w:rsidP="00000000" w:rsidRDefault="00000000" w:rsidRPr="00000000" w14:paraId="00000026">
            <w:pPr>
              <w:spacing w:line="276" w:lineRule="auto"/>
              <w:ind w:firstLine="0"/>
              <w:jc w:val="left"/>
              <w:rPr/>
            </w:pPr>
            <w:r w:rsidDel="00000000" w:rsidR="00000000" w:rsidRPr="00000000">
              <w:rPr>
                <w:sz w:val="17"/>
                <w:szCs w:val="17"/>
                <w:rtl w:val="0"/>
              </w:rPr>
              <w:t xml:space="preserve">Non-economic political issues</w:t>
            </w:r>
            <w:r w:rsidDel="00000000" w:rsidR="00000000" w:rsidRPr="00000000">
              <w:rPr>
                <w:rtl w:val="0"/>
              </w:rPr>
            </w:r>
          </w:p>
        </w:tc>
        <w:tc>
          <w:tcPr>
            <w:tcMar>
              <w:top w:w="60.0" w:type="dxa"/>
              <w:bottom w:w="60.0" w:type="dxa"/>
            </w:tcMar>
          </w:tcPr>
          <w:p w:rsidR="00000000" w:rsidDel="00000000" w:rsidP="00000000" w:rsidRDefault="00000000" w:rsidRPr="00000000" w14:paraId="00000027">
            <w:pPr>
              <w:spacing w:line="276" w:lineRule="auto"/>
              <w:ind w:firstLine="0"/>
              <w:jc w:val="left"/>
              <w:rPr/>
            </w:pPr>
            <w:r w:rsidDel="00000000" w:rsidR="00000000" w:rsidRPr="00000000">
              <w:rPr>
                <w:sz w:val="17"/>
                <w:szCs w:val="17"/>
                <w:rtl w:val="0"/>
              </w:rPr>
              <w:t xml:space="preserve">Kurtosis; Bimodality</w:t>
            </w:r>
            <w:r w:rsidDel="00000000" w:rsidR="00000000" w:rsidRPr="00000000">
              <w:rPr>
                <w:rtl w:val="0"/>
              </w:rPr>
            </w:r>
          </w:p>
        </w:tc>
        <w:tc>
          <w:tcPr>
            <w:tcMar>
              <w:top w:w="60.0" w:type="dxa"/>
              <w:bottom w:w="60.0" w:type="dxa"/>
            </w:tcMar>
          </w:tcPr>
          <w:p w:rsidR="00000000" w:rsidDel="00000000" w:rsidP="00000000" w:rsidRDefault="00000000" w:rsidRPr="00000000" w14:paraId="00000028">
            <w:pPr>
              <w:spacing w:line="276" w:lineRule="auto"/>
              <w:ind w:firstLine="0"/>
              <w:jc w:val="left"/>
              <w:rPr/>
            </w:pPr>
            <w:r w:rsidDel="00000000" w:rsidR="00000000" w:rsidRPr="00000000">
              <w:rPr>
                <w:sz w:val="17"/>
                <w:szCs w:val="17"/>
                <w:rtl w:val="0"/>
              </w:rPr>
              <w:t xml:space="preserve">No</w:t>
            </w:r>
            <w:r w:rsidDel="00000000" w:rsidR="00000000" w:rsidRPr="00000000">
              <w:rPr>
                <w:rtl w:val="0"/>
              </w:rPr>
            </w:r>
          </w:p>
        </w:tc>
        <w:tc>
          <w:tcPr>
            <w:tcMar>
              <w:top w:w="60.0" w:type="dxa"/>
              <w:bottom w:w="60.0" w:type="dxa"/>
            </w:tcMar>
          </w:tcPr>
          <w:p w:rsidR="00000000" w:rsidDel="00000000" w:rsidP="00000000" w:rsidRDefault="00000000" w:rsidRPr="00000000" w14:paraId="00000029">
            <w:pPr>
              <w:spacing w:line="276" w:lineRule="auto"/>
              <w:ind w:firstLine="0"/>
              <w:jc w:val="left"/>
              <w:rPr/>
            </w:pPr>
            <w:r w:rsidDel="00000000" w:rsidR="00000000" w:rsidRPr="00000000">
              <w:rPr>
                <w:sz w:val="17"/>
                <w:szCs w:val="17"/>
                <w:rtl w:val="0"/>
              </w:rPr>
              <w:t xml:space="preserve">DiMaggio, Evans, etc.; Baldassari and Park</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2A">
            <w:pPr>
              <w:spacing w:line="276" w:lineRule="auto"/>
              <w:ind w:firstLine="0"/>
              <w:jc w:val="left"/>
              <w:rPr/>
            </w:pPr>
            <w:r w:rsidDel="00000000" w:rsidR="00000000" w:rsidRPr="00000000">
              <w:rPr>
                <w:sz w:val="17"/>
                <w:szCs w:val="17"/>
                <w:rtl w:val="0"/>
              </w:rPr>
              <w:t xml:space="preserve">Polarization vs. Politicization</w:t>
            </w:r>
            <w:r w:rsidDel="00000000" w:rsidR="00000000" w:rsidRPr="00000000">
              <w:rPr>
                <w:rtl w:val="0"/>
              </w:rPr>
            </w:r>
          </w:p>
        </w:tc>
        <w:tc>
          <w:tcPr>
            <w:tcMar>
              <w:top w:w="60.0" w:type="dxa"/>
              <w:bottom w:w="60.0" w:type="dxa"/>
            </w:tcMar>
          </w:tcPr>
          <w:p w:rsidR="00000000" w:rsidDel="00000000" w:rsidP="00000000" w:rsidRDefault="00000000" w:rsidRPr="00000000" w14:paraId="0000002B">
            <w:pPr>
              <w:spacing w:line="276" w:lineRule="auto"/>
              <w:ind w:firstLine="0"/>
              <w:jc w:val="left"/>
              <w:rPr/>
            </w:pPr>
            <w:r w:rsidDel="00000000" w:rsidR="00000000" w:rsidRPr="00000000">
              <w:rPr>
                <w:rtl w:val="0"/>
              </w:rPr>
            </w:r>
          </w:p>
        </w:tc>
        <w:tc>
          <w:tcPr>
            <w:tcMar>
              <w:top w:w="60.0" w:type="dxa"/>
              <w:bottom w:w="60.0" w:type="dxa"/>
            </w:tcMar>
          </w:tcPr>
          <w:p w:rsidR="00000000" w:rsidDel="00000000" w:rsidP="00000000" w:rsidRDefault="00000000" w:rsidRPr="00000000" w14:paraId="0000002C">
            <w:pPr>
              <w:spacing w:line="276" w:lineRule="auto"/>
              <w:ind w:firstLine="0"/>
              <w:jc w:val="left"/>
              <w:rPr/>
            </w:pPr>
            <w:r w:rsidDel="00000000" w:rsidR="00000000" w:rsidRPr="00000000">
              <w:rPr>
                <w:rtl w:val="0"/>
              </w:rPr>
            </w:r>
          </w:p>
        </w:tc>
        <w:tc>
          <w:tcPr>
            <w:tcMar>
              <w:top w:w="60.0" w:type="dxa"/>
              <w:bottom w:w="60.0" w:type="dxa"/>
            </w:tcMar>
          </w:tcPr>
          <w:p w:rsidR="00000000" w:rsidDel="00000000" w:rsidP="00000000" w:rsidRDefault="00000000" w:rsidRPr="00000000" w14:paraId="0000002D">
            <w:pPr>
              <w:spacing w:line="276" w:lineRule="auto"/>
              <w:ind w:firstLine="0"/>
              <w:jc w:val="left"/>
              <w:rPr/>
            </w:pPr>
            <w:r w:rsidDel="00000000" w:rsidR="00000000" w:rsidRPr="00000000">
              <w:rPr>
                <w:sz w:val="17"/>
                <w:szCs w:val="17"/>
                <w:rtl w:val="0"/>
              </w:rPr>
              <w:t xml:space="preserve">Limited pockets of polarization; more common politicization</w:t>
            </w:r>
            <w:r w:rsidDel="00000000" w:rsidR="00000000" w:rsidRPr="00000000">
              <w:rPr>
                <w:rtl w:val="0"/>
              </w:rPr>
            </w:r>
          </w:p>
        </w:tc>
        <w:tc>
          <w:tcPr>
            <w:tcMar>
              <w:top w:w="60.0" w:type="dxa"/>
              <w:bottom w:w="60.0" w:type="dxa"/>
            </w:tcMar>
          </w:tcPr>
          <w:p w:rsidR="00000000" w:rsidDel="00000000" w:rsidP="00000000" w:rsidRDefault="00000000" w:rsidRPr="00000000" w14:paraId="0000002E">
            <w:pPr>
              <w:spacing w:line="276" w:lineRule="auto"/>
              <w:ind w:firstLine="0"/>
              <w:jc w:val="left"/>
              <w:rPr/>
            </w:pPr>
            <w:r w:rsidDel="00000000" w:rsidR="00000000" w:rsidRPr="00000000">
              <w:rPr>
                <w:rtl w:val="0"/>
              </w:rPr>
            </w:r>
          </w:p>
        </w:tc>
      </w:tr>
      <w:tr>
        <w:trPr>
          <w:cantSplit w:val="0"/>
          <w:tblHeader w:val="0"/>
        </w:trPr>
        <w:tc>
          <w:tcPr>
            <w:tcBorders>
              <w:bottom w:color="000000" w:space="0" w:sz="12" w:val="single"/>
            </w:tcBorders>
            <w:tcMar>
              <w:top w:w="60.0" w:type="dxa"/>
              <w:bottom w:w="80.0" w:type="dxa"/>
            </w:tcMar>
          </w:tcPr>
          <w:p w:rsidR="00000000" w:rsidDel="00000000" w:rsidP="00000000" w:rsidRDefault="00000000" w:rsidRPr="00000000" w14:paraId="0000002F">
            <w:pPr>
              <w:spacing w:line="276" w:lineRule="auto"/>
              <w:ind w:firstLine="0"/>
              <w:jc w:val="left"/>
              <w:rPr/>
            </w:pPr>
            <w:r w:rsidDel="00000000" w:rsidR="00000000" w:rsidRPr="00000000">
              <w:rPr>
                <w:sz w:val="17"/>
                <w:szCs w:val="17"/>
                <w:rtl w:val="0"/>
              </w:rPr>
              <w:t xml:space="preserve">Divergent Proscriptive Actions for Cultural Goods</w:t>
            </w:r>
            <w:r w:rsidDel="00000000" w:rsidR="00000000" w:rsidRPr="00000000">
              <w:rPr>
                <w:rtl w:val="0"/>
              </w:rPr>
            </w:r>
          </w:p>
        </w:tc>
        <w:tc>
          <w:tcPr>
            <w:tcBorders>
              <w:bottom w:color="000000" w:space="0" w:sz="12" w:val="single"/>
            </w:tcBorders>
            <w:tcMar>
              <w:top w:w="60.0" w:type="dxa"/>
              <w:bottom w:w="80.0" w:type="dxa"/>
            </w:tcMar>
          </w:tcPr>
          <w:p w:rsidR="00000000" w:rsidDel="00000000" w:rsidP="00000000" w:rsidRDefault="00000000" w:rsidRPr="00000000" w14:paraId="00000030">
            <w:pPr>
              <w:spacing w:line="276" w:lineRule="auto"/>
              <w:ind w:firstLine="0"/>
              <w:jc w:val="left"/>
              <w:rPr/>
            </w:pPr>
            <w:r w:rsidDel="00000000" w:rsidR="00000000" w:rsidRPr="00000000">
              <w:rPr>
                <w:sz w:val="17"/>
                <w:szCs w:val="17"/>
                <w:rtl w:val="0"/>
              </w:rPr>
              <w:t xml:space="preserve">Books/Book Banning</w:t>
            </w:r>
            <w:r w:rsidDel="00000000" w:rsidR="00000000" w:rsidRPr="00000000">
              <w:rPr>
                <w:rtl w:val="0"/>
              </w:rPr>
            </w:r>
          </w:p>
        </w:tc>
        <w:tc>
          <w:tcPr>
            <w:tcBorders>
              <w:bottom w:color="000000" w:space="0" w:sz="12" w:val="single"/>
            </w:tcBorders>
            <w:tcMar>
              <w:top w:w="60.0" w:type="dxa"/>
              <w:bottom w:w="80.0" w:type="dxa"/>
            </w:tcMar>
          </w:tcPr>
          <w:p w:rsidR="00000000" w:rsidDel="00000000" w:rsidP="00000000" w:rsidRDefault="00000000" w:rsidRPr="00000000" w14:paraId="00000031">
            <w:pPr>
              <w:spacing w:line="276" w:lineRule="auto"/>
              <w:ind w:firstLine="0"/>
              <w:jc w:val="left"/>
              <w:rPr/>
            </w:pPr>
            <w:r w:rsidDel="00000000" w:rsidR="00000000" w:rsidRPr="00000000">
              <w:rPr>
                <w:rtl w:val="0"/>
              </w:rPr>
            </w:r>
          </w:p>
        </w:tc>
        <w:tc>
          <w:tcPr>
            <w:tcBorders>
              <w:bottom w:color="000000" w:space="0" w:sz="12" w:val="single"/>
            </w:tcBorders>
            <w:tcMar>
              <w:top w:w="60.0" w:type="dxa"/>
              <w:bottom w:w="80.0" w:type="dxa"/>
            </w:tcMar>
          </w:tcPr>
          <w:p w:rsidR="00000000" w:rsidDel="00000000" w:rsidP="00000000" w:rsidRDefault="00000000" w:rsidRPr="00000000" w14:paraId="00000032">
            <w:pPr>
              <w:spacing w:line="276" w:lineRule="auto"/>
              <w:ind w:firstLine="0"/>
              <w:jc w:val="left"/>
              <w:rPr/>
            </w:pPr>
            <w:r w:rsidDel="00000000" w:rsidR="00000000" w:rsidRPr="00000000">
              <w:rPr>
                <w:rtl w:val="0"/>
              </w:rPr>
            </w:r>
          </w:p>
        </w:tc>
        <w:tc>
          <w:tcPr>
            <w:tcBorders>
              <w:bottom w:color="000000" w:space="0" w:sz="12" w:val="single"/>
            </w:tcBorders>
            <w:tcMar>
              <w:top w:w="60.0" w:type="dxa"/>
              <w:bottom w:w="80.0" w:type="dxa"/>
            </w:tcMar>
          </w:tcPr>
          <w:p w:rsidR="00000000" w:rsidDel="00000000" w:rsidP="00000000" w:rsidRDefault="00000000" w:rsidRPr="00000000" w14:paraId="00000033">
            <w:pPr>
              <w:spacing w:line="276" w:lineRule="auto"/>
              <w:ind w:firstLine="0"/>
              <w:jc w:val="left"/>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Go through some of this but don’t be responsible for each one. Yet for the most part this line of research has not been in conversation with the long history of research in cultural sociology studying cultural consumption and social division, which we believe can be more productively integrated. </w:t>
      </w:r>
    </w:p>
    <w:p w:rsidR="00000000" w:rsidDel="00000000" w:rsidP="00000000" w:rsidRDefault="00000000" w:rsidRPr="00000000" w14:paraId="00000036">
      <w:pPr>
        <w:rPr>
          <w:i w:val="1"/>
          <w:iCs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Section #2: </w:t>
      </w:r>
    </w:p>
    <w:p w:rsidR="00000000" w:rsidDel="00000000" w:rsidP="00000000" w:rsidRDefault="00000000" w:rsidRPr="00000000" w14:paraId="00000038">
      <w:pPr>
        <w:rPr/>
      </w:pPr>
      <w:r w:rsidDel="00000000" w:rsidR="00000000" w:rsidRPr="00000000">
        <w:rPr>
          <w:rtl w:val="0"/>
        </w:rPr>
        <w:t xml:space="preserve">Research on culture has historically and overwhelmingly looked at tastes and scales of liking and disliking, identifying social segmentation through statistically significant differences in liking, or sometimes disliking, which (Bourdieu quote). This has overwhelmingly centered around class, but has come to encompass more potential sites for social division, such as gender, race, and increasingly politics.</w:t>
      </w:r>
    </w:p>
    <w:p w:rsidR="00000000" w:rsidDel="00000000" w:rsidP="00000000" w:rsidRDefault="00000000" w:rsidRPr="00000000" w14:paraId="00000039">
      <w:pPr>
        <w:rPr>
          <w:i w:val="1"/>
          <w:iCs w:val="1"/>
        </w:rPr>
      </w:pPr>
      <w:r w:rsidDel="00000000" w:rsidR="00000000" w:rsidRPr="00000000">
        <w:rPr>
          <w:rtl w:val="0"/>
        </w:rPr>
        <w:t xml:space="preserve">More recently, the shift from “what” to “how”: different modes of consumption. Different pathways to elite distinction, such as from x to ordinary, conspicuous openness to difference, cosmopolitan capital, etc. Here we look at two modes of elite cuisine consumption</w:t>
      </w: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i w:val="1"/>
          <w:iCs w:val="1"/>
          <w:rtl w:val="0"/>
        </w:rPr>
        <w:t xml:space="preserve">Section#3: The Case: Two Modes of Distinction in Elite Food Consumption: </w:t>
      </w:r>
    </w:p>
    <w:p w:rsidR="00000000" w:rsidDel="00000000" w:rsidP="00000000" w:rsidRDefault="00000000" w:rsidRPr="00000000" w14:paraId="0000003B">
      <w:pPr>
        <w:rPr/>
      </w:pPr>
      <w:r w:rsidDel="00000000" w:rsidR="00000000" w:rsidRPr="00000000">
        <w:rPr>
          <w:rtl w:val="0"/>
        </w:rPr>
        <w:t xml:space="preserve">Recent research has identified two modes of elite distinction in food consumption. </w:t>
        <w:br w:type="textWrapping"/>
        <w:t xml:space="preserve">Gualtieri finds that one is rooted in technique: skill, institutionalization, professionalization, and conventional fine dining of consecrated cuisines.  The second in authenticity. While authenticity can also be central to “stuffy”, “pretentious” etc.  </w:t>
      </w:r>
    </w:p>
    <w:p w:rsidR="00000000" w:rsidDel="00000000" w:rsidP="00000000" w:rsidRDefault="00000000" w:rsidRPr="00000000" w14:paraId="0000003C">
      <w:pPr>
        <w:rPr/>
      </w:pPr>
      <w:r w:rsidDel="00000000" w:rsidR="00000000" w:rsidRPr="00000000">
        <w:rPr>
          <w:rtl w:val="0"/>
        </w:rPr>
        <w:t xml:space="preserve">Authentic/Exotic  – for example, Alice Waters and new California cuisine. </w:t>
      </w:r>
    </w:p>
    <w:p w:rsidR="00000000" w:rsidDel="00000000" w:rsidP="00000000" w:rsidRDefault="00000000" w:rsidRPr="00000000" w14:paraId="0000003D">
      <w:pPr>
        <w:numPr>
          <w:ilvl w:val="0"/>
          <w:numId w:val="2"/>
        </w:numPr>
        <w:ind w:left="720" w:hanging="360"/>
        <w:rPr>
          <w:i w:val="1"/>
          <w:iCs w:val="1"/>
        </w:rPr>
      </w:pPr>
      <w:r w:rsidDel="00000000" w:rsidR="00000000" w:rsidRPr="00000000">
        <w:rPr>
          <w:i w:val="1"/>
          <w:iCs w:val="1"/>
          <w:rtl w:val="0"/>
        </w:rPr>
        <w:t xml:space="preserve">Highbrow, elite, institutionalized, “snobbish”, fussy, low caloric, conventional snob</w:t>
      </w:r>
    </w:p>
    <w:p w:rsidR="00000000" w:rsidDel="00000000" w:rsidP="00000000" w:rsidRDefault="00000000" w:rsidRPr="00000000" w14:paraId="0000003E">
      <w:pPr>
        <w:numPr>
          <w:ilvl w:val="0"/>
          <w:numId w:val="2"/>
        </w:numPr>
        <w:ind w:left="720" w:hanging="360"/>
        <w:rPr>
          <w:i w:val="1"/>
          <w:iCs w:val="1"/>
        </w:rPr>
      </w:pPr>
      <w:r w:rsidDel="00000000" w:rsidR="00000000" w:rsidRPr="00000000">
        <w:rPr>
          <w:i w:val="1"/>
          <w:iCs w:val="1"/>
          <w:rtl w:val="0"/>
        </w:rPr>
        <w:t xml:space="preserve">Authenticity, exotic, Gualtieri, Shyon and Josee, small, never authenticity based (prank shed top-rated youtube)</w:t>
      </w:r>
    </w:p>
    <w:p w:rsidR="00000000" w:rsidDel="00000000" w:rsidP="00000000" w:rsidRDefault="00000000" w:rsidRPr="00000000" w14:paraId="0000003F">
      <w:pPr>
        <w:rPr/>
      </w:pPr>
      <w:r w:rsidDel="00000000" w:rsidR="00000000" w:rsidRPr="00000000">
        <w:rPr>
          <w:rtl w:val="0"/>
        </w:rPr>
        <w:t xml:space="preserve">These reasonably may be politically segmented, conservatives older, more conventional and institutionalized culture; libera more contemporary authenticity, progressive social values, cultural appropriation, etc. </w:t>
      </w:r>
    </w:p>
    <w:p w:rsidR="00000000" w:rsidDel="00000000" w:rsidP="00000000" w:rsidRDefault="00000000" w:rsidRPr="00000000" w14:paraId="00000040">
      <w:pPr>
        <w:rPr>
          <w:i w:val="1"/>
          <w:iCs w:val="1"/>
        </w:rPr>
      </w:pPr>
      <w:r w:rsidDel="00000000" w:rsidR="00000000" w:rsidRPr="00000000">
        <w:rPr>
          <w:rtl w:val="0"/>
        </w:rPr>
      </w:r>
    </w:p>
    <w:p w:rsidR="00000000" w:rsidDel="00000000" w:rsidP="00000000" w:rsidRDefault="00000000" w:rsidRPr="00000000" w14:paraId="00000041">
      <w:pPr>
        <w:rPr>
          <w:i w:val="1"/>
          <w:iCs w:val="1"/>
        </w:rPr>
      </w:pPr>
      <w:r w:rsidDel="00000000" w:rsidR="00000000" w:rsidRPr="00000000">
        <w:rPr>
          <w:i w:val="1"/>
          <w:iCs w:val="1"/>
          <w:rtl w:val="0"/>
        </w:rPr>
        <w:t xml:space="preserve">Citations https://journals.sagepub.com/doi/abs/10.1177/17499755251414936</w:t>
      </w:r>
    </w:p>
    <w:p w:rsidR="00000000" w:rsidDel="00000000" w:rsidP="00000000" w:rsidRDefault="00000000" w:rsidRPr="00000000" w14:paraId="00000042">
      <w:pPr>
        <w:rPr>
          <w:i w:val="1"/>
          <w:iCs w:val="1"/>
        </w:rPr>
      </w:pPr>
      <w:r w:rsidDel="00000000" w:rsidR="00000000" w:rsidRPr="00000000">
        <w:rPr>
          <w:rtl w:val="0"/>
        </w:rPr>
      </w:r>
    </w:p>
    <w:p w:rsidR="00000000" w:rsidDel="00000000" w:rsidP="00000000" w:rsidRDefault="00000000" w:rsidRPr="00000000" w14:paraId="00000043">
      <w:pPr>
        <w:rPr>
          <w:i w:val="1"/>
          <w:iCs w:val="1"/>
        </w:rPr>
      </w:pPr>
      <w:r w:rsidDel="00000000" w:rsidR="00000000" w:rsidRPr="00000000">
        <w:rPr>
          <w:rtl w:val="0"/>
        </w:rPr>
      </w:r>
    </w:p>
    <w:p w:rsidR="00000000" w:rsidDel="00000000" w:rsidP="00000000" w:rsidRDefault="00000000" w:rsidRPr="00000000" w14:paraId="00000044">
      <w:pPr>
        <w:rPr>
          <w:i w:val="1"/>
          <w:iCs w:val="1"/>
        </w:rPr>
      </w:pPr>
      <w:r w:rsidDel="00000000" w:rsidR="00000000" w:rsidRPr="00000000">
        <w:rPr>
          <w:i w:val="1"/>
          <w:iCs w:val="1"/>
          <w:rtl w:val="0"/>
        </w:rPr>
        <w:t xml:space="preserve">HYPOTHESES</w:t>
      </w:r>
    </w:p>
    <w:p w:rsidR="00000000" w:rsidDel="00000000" w:rsidP="00000000" w:rsidRDefault="00000000" w:rsidRPr="00000000" w14:paraId="00000045">
      <w:pPr>
        <w:rPr>
          <w:i w:val="1"/>
          <w:iCs w:val="1"/>
        </w:rPr>
      </w:pP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i w:val="1"/>
          <w:iCs w:val="1"/>
          <w:rtl w:val="0"/>
        </w:rPr>
        <w:t xml:space="preserve">H1 Libs and Conservatives will differ? </w:t>
      </w:r>
    </w:p>
    <w:p w:rsidR="00000000" w:rsidDel="00000000" w:rsidP="00000000" w:rsidRDefault="00000000" w:rsidRPr="00000000" w14:paraId="00000047">
      <w:pPr>
        <w:rPr>
          <w:i w:val="1"/>
          <w:iCs w:val="1"/>
        </w:rPr>
      </w:pPr>
      <w:r w:rsidDel="00000000" w:rsidR="00000000" w:rsidRPr="00000000">
        <w:rPr>
          <w:i w:val="1"/>
          <w:iCs w:val="1"/>
          <w:rtl w:val="0"/>
        </w:rPr>
        <w:t xml:space="preserve">H2 liberals, more than conservatives, will orient toward newer authenticity side</w:t>
      </w:r>
    </w:p>
    <w:p w:rsidR="00000000" w:rsidDel="00000000" w:rsidP="00000000" w:rsidRDefault="00000000" w:rsidRPr="00000000" w14:paraId="00000048">
      <w:pPr>
        <w:rPr>
          <w:i w:val="1"/>
          <w:iCs w:val="1"/>
        </w:rPr>
      </w:pPr>
      <w:r w:rsidDel="00000000" w:rsidR="00000000" w:rsidRPr="00000000">
        <w:rPr>
          <w:i w:val="1"/>
          <w:iCs w:val="1"/>
          <w:rtl w:val="0"/>
        </w:rPr>
        <w:t xml:space="preserve">H3 Rooted in culture and post-material values, and differences more pronounced based on differences in liberalism/conservatism for social issues than for economic issues </w:t>
      </w:r>
    </w:p>
    <w:p w:rsidR="00000000" w:rsidDel="00000000" w:rsidP="00000000" w:rsidRDefault="00000000" w:rsidRPr="00000000" w14:paraId="00000049">
      <w:pPr>
        <w:rPr>
          <w:i w:val="1"/>
          <w:iCs w:val="1"/>
        </w:rPr>
      </w:pP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i w:val="1"/>
          <w:iCs w:val="1"/>
          <w:rtl w:val="0"/>
        </w:rPr>
        <w:t xml:space="preserve">H4? Differences in schemas? (as in what is the structure of cuisine types that are good which way?) </w:t>
      </w:r>
    </w:p>
    <w:p w:rsidR="00000000" w:rsidDel="00000000" w:rsidP="00000000" w:rsidRDefault="00000000" w:rsidRPr="00000000" w14:paraId="0000004B">
      <w:pPr>
        <w:rPr>
          <w:i w:val="1"/>
          <w:iCs w:val="1"/>
        </w:rPr>
      </w:pPr>
      <w:r w:rsidDel="00000000" w:rsidR="00000000" w:rsidRPr="00000000">
        <w:rPr>
          <w:i w:val="1"/>
          <w:iCs w:val="1"/>
          <w:rtl w:val="0"/>
        </w:rPr>
        <w:t xml:space="preserve">(other potential: effect of CC as a prover, disaggregating childhood arts and education; disaggregating or clustering the effect by types of cuisine a la Gualtieri and “ethnic” vs established highbrow cuisines; </w:t>
      </w:r>
    </w:p>
    <w:p w:rsidR="00000000" w:rsidDel="00000000" w:rsidP="00000000" w:rsidRDefault="00000000" w:rsidRPr="00000000" w14:paraId="0000004C">
      <w:pPr>
        <w:rPr>
          <w:i w:val="1"/>
          <w:iCs w:val="1"/>
        </w:rPr>
      </w:pPr>
      <w:r w:rsidDel="00000000" w:rsidR="00000000" w:rsidRPr="00000000">
        <w:rPr>
          <w:rtl w:val="0"/>
        </w:rPr>
      </w:r>
    </w:p>
    <w:p w:rsidR="00000000" w:rsidDel="00000000" w:rsidP="00000000" w:rsidRDefault="00000000" w:rsidRPr="00000000" w14:paraId="0000004D">
      <w:pPr>
        <w:rPr>
          <w:i w:val="1"/>
          <w:iCs w:val="1"/>
        </w:rPr>
      </w:pPr>
      <w:r w:rsidDel="00000000" w:rsidR="00000000" w:rsidRPr="00000000">
        <w:rPr>
          <w:i w:val="1"/>
          <w:iCs w:val="1"/>
          <w:rtl w:val="0"/>
        </w:rPr>
        <w:t xml:space="preserve">DATA AND METHODS</w:t>
      </w:r>
    </w:p>
    <w:p w:rsidR="00000000" w:rsidDel="00000000" w:rsidP="00000000" w:rsidRDefault="00000000" w:rsidRPr="00000000" w14:paraId="0000004E">
      <w:pPr>
        <w:rPr>
          <w:i w:val="1"/>
          <w:iCs w:val="1"/>
        </w:rPr>
      </w:pP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i w:val="1"/>
          <w:iCs w:val="1"/>
          <w:rtl w:val="0"/>
        </w:rPr>
        <w:t xml:space="preserve">Data: scales usually lowbow to highbrow preferences. Our scale type of highbrow preferences, and across different types</w:t>
      </w:r>
    </w:p>
    <w:p w:rsidR="00000000" w:rsidDel="00000000" w:rsidP="00000000" w:rsidRDefault="00000000" w:rsidRPr="00000000" w14:paraId="00000050">
      <w:pPr>
        <w:rPr>
          <w:i w:val="1"/>
          <w:iCs w:val="1"/>
        </w:rPr>
      </w:pPr>
      <w:r w:rsidDel="00000000" w:rsidR="00000000" w:rsidRPr="00000000">
        <w:rPr>
          <w:rtl w:val="0"/>
        </w:rPr>
      </w:r>
    </w:p>
    <w:p w:rsidR="00000000" w:rsidDel="00000000" w:rsidP="00000000" w:rsidRDefault="00000000" w:rsidRPr="00000000" w14:paraId="00000051">
      <w:pPr>
        <w:rPr>
          <w:i w:val="1"/>
          <w:iCs w:val="1"/>
        </w:rPr>
      </w:pPr>
      <w:r w:rsidDel="00000000" w:rsidR="00000000" w:rsidRPr="00000000">
        <w:rPr>
          <w:rtl w:val="0"/>
        </w:rPr>
      </w:r>
    </w:p>
    <w:p w:rsidR="00000000" w:rsidDel="00000000" w:rsidP="00000000" w:rsidRDefault="00000000" w:rsidRPr="00000000" w14:paraId="00000052">
      <w:pPr>
        <w:rPr>
          <w:i w:val="1"/>
          <w:iCs w:val="1"/>
        </w:rPr>
      </w:pPr>
      <w:r w:rsidDel="00000000" w:rsidR="00000000" w:rsidRPr="00000000">
        <w:rPr>
          <w:rtl w:val="0"/>
        </w:rPr>
      </w:r>
    </w:p>
    <w:p w:rsidR="00000000" w:rsidDel="00000000" w:rsidP="00000000" w:rsidRDefault="00000000" w:rsidRPr="00000000" w14:paraId="00000053">
      <w:pPr>
        <w:rPr>
          <w:i w:val="1"/>
          <w:iCs w:val="1"/>
        </w:rPr>
      </w:pPr>
      <w:r w:rsidDel="00000000" w:rsidR="00000000" w:rsidRPr="00000000">
        <w:rPr>
          <w:i w:val="1"/>
          <w:iCs w:val="1"/>
          <w:rtl w:val="0"/>
        </w:rPr>
        <w:t xml:space="preserve">RESULTS</w:t>
      </w:r>
    </w:p>
    <w:p w:rsidR="00000000" w:rsidDel="00000000" w:rsidP="00000000" w:rsidRDefault="00000000" w:rsidRPr="00000000" w14:paraId="00000054">
      <w:pPr>
        <w:rPr>
          <w:i w:val="1"/>
          <w:iCs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Robustness check: liking vs loving are people systematically only liking genres for all the configurations of overclaiming we're finding?</w:t>
      </w:r>
    </w:p>
    <w:p w:rsidR="00000000" w:rsidDel="00000000" w:rsidP="00000000" w:rsidRDefault="00000000" w:rsidRPr="00000000" w14:paraId="00000056">
      <w:pPr>
        <w:rPr>
          <w:i w:val="1"/>
          <w:iCs w:val="1"/>
        </w:rPr>
      </w:pPr>
      <w:r w:rsidDel="00000000" w:rsidR="00000000" w:rsidRPr="00000000">
        <w:rPr>
          <w:i w:val="1"/>
          <w:iCs w:val="1"/>
          <w:rtl w:val="0"/>
        </w:rPr>
        <w:br w:type="textWrapping"/>
        <w:t xml:space="preserve">DISCUSSION </w:t>
      </w:r>
    </w:p>
    <w:p w:rsidR="00000000" w:rsidDel="00000000" w:rsidP="00000000" w:rsidRDefault="00000000" w:rsidRPr="00000000" w14:paraId="00000057">
      <w:pPr>
        <w:rPr>
          <w:i w:val="1"/>
          <w:iCs w:val="1"/>
        </w:rPr>
      </w:pPr>
      <w:r w:rsidDel="00000000" w:rsidR="00000000" w:rsidRPr="00000000">
        <w:rPr>
          <w:rtl w:val="0"/>
        </w:rPr>
      </w:r>
    </w:p>
    <w:p w:rsidR="00000000" w:rsidDel="00000000" w:rsidP="00000000" w:rsidRDefault="00000000" w:rsidRPr="00000000" w14:paraId="00000058">
      <w:pPr>
        <w:rPr>
          <w:i w:val="1"/>
          <w:iCs w:val="1"/>
        </w:rPr>
      </w:pPr>
      <w:r w:rsidDel="00000000" w:rsidR="00000000" w:rsidRPr="00000000">
        <w:rPr>
          <w:i w:val="1"/>
          <w:iCs w:val="1"/>
          <w:rtl w:val="0"/>
        </w:rPr>
        <w:t xml:space="preserve">Detachment of cultural and economic capital; conservatives prefer older modes of distinction? </w:t>
      </w:r>
    </w:p>
    <w:p w:rsidR="00000000" w:rsidDel="00000000" w:rsidP="00000000" w:rsidRDefault="00000000" w:rsidRPr="00000000" w14:paraId="00000059">
      <w:pPr>
        <w:rPr>
          <w:i w:val="1"/>
          <w:iCs w:val="1"/>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i w:val="1"/>
          <w:iCs w:val="1"/>
          <w:rtl w:val="0"/>
        </w:rPr>
        <w:t xml:space="preserve">Why? Could be core personality differences, which have also been sorted into parties. Like other forms of cultural division, could be rooted in basical social differentiation and outgroup dislike. </w:t>
      </w:r>
    </w:p>
    <w:p w:rsidR="00000000" w:rsidDel="00000000" w:rsidP="00000000" w:rsidRDefault="00000000" w:rsidRPr="00000000" w14:paraId="0000005B">
      <w:pPr>
        <w:rPr>
          <w:i w:val="1"/>
          <w:iCs w:val="1"/>
        </w:rPr>
      </w:pP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i w:val="1"/>
          <w:iCs w:val="1"/>
          <w:rtl w:val="0"/>
        </w:rPr>
        <w:t xml:space="preserve">Putting different modes on the same scale. But to be sure, this does not establish liking or disliking – the liking of “authentic” and institutionalized food as highbrow modes of distinction may not etc.</w:t>
      </w:r>
    </w:p>
    <w:p w:rsidR="00000000" w:rsidDel="00000000" w:rsidP="00000000" w:rsidRDefault="00000000" w:rsidRPr="00000000" w14:paraId="0000005D">
      <w:pPr>
        <w:rPr>
          <w:i w:val="1"/>
          <w:iCs w:val="1"/>
        </w:rPr>
      </w:pPr>
      <w:r w:rsidDel="00000000" w:rsidR="00000000" w:rsidRPr="00000000">
        <w:rPr>
          <w:rtl w:val="0"/>
        </w:rPr>
      </w:r>
    </w:p>
    <w:p w:rsidR="00000000" w:rsidDel="00000000" w:rsidP="00000000" w:rsidRDefault="00000000" w:rsidRPr="00000000" w14:paraId="0000005E">
      <w:pPr>
        <w:rPr>
          <w:i w:val="1"/>
          <w:iCs w:val="1"/>
        </w:rPr>
      </w:pPr>
      <w:r w:rsidDel="00000000" w:rsidR="00000000" w:rsidRPr="00000000">
        <w:rPr>
          <w:i w:val="1"/>
          <w:iCs w:val="1"/>
          <w:rtl w:val="0"/>
        </w:rPr>
        <w:t xml:space="preserve">NOTES</w:t>
      </w:r>
    </w:p>
    <w:p w:rsidR="00000000" w:rsidDel="00000000" w:rsidP="00000000" w:rsidRDefault="00000000" w:rsidRPr="00000000" w14:paraId="0000005F">
      <w:pPr>
        <w:rPr>
          <w:i w:val="1"/>
          <w:iCs w:val="1"/>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i w:val="1"/>
          <w:iCs w:val="1"/>
          <w:rtl w:val="0"/>
        </w:rPr>
        <w:t xml:space="preserve">Politicization pushes in the same direction as high-cultural capital.</w:t>
      </w:r>
    </w:p>
    <w:p w:rsidR="00000000" w:rsidDel="00000000" w:rsidP="00000000" w:rsidRDefault="00000000" w:rsidRPr="00000000" w14:paraId="00000061">
      <w:pPr>
        <w:rPr>
          <w:i w:val="1"/>
          <w:iCs w:val="1"/>
        </w:rPr>
      </w:pP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i w:val="1"/>
          <w:iCs w:val="1"/>
          <w:rtl w:val="0"/>
        </w:rPr>
        <w:t xml:space="preserve">Make sure the story we told ourselves is true</w:t>
      </w:r>
    </w:p>
    <w:p w:rsidR="00000000" w:rsidDel="00000000" w:rsidP="00000000" w:rsidRDefault="00000000" w:rsidRPr="00000000" w14:paraId="00000063">
      <w:pPr>
        <w:rPr>
          <w:i w:val="1"/>
          <w:iCs w:val="1"/>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rtl w:val="0"/>
        </w:rPr>
      </w:r>
    </w:p>
    <w:p w:rsidR="00000000" w:rsidDel="00000000" w:rsidP="00000000" w:rsidRDefault="00000000" w:rsidRPr="00000000" w14:paraId="00000065">
      <w:pPr>
        <w:rPr>
          <w:u w:val="single"/>
        </w:rPr>
      </w:pPr>
      <w:r w:rsidDel="00000000" w:rsidR="00000000" w:rsidRPr="00000000">
        <w:rPr>
          <w:u w:val="single"/>
          <w:rtl w:val="0"/>
        </w:rPr>
        <w:t xml:space="preserve">Older stuff</w:t>
      </w:r>
    </w:p>
    <w:p w:rsidR="00000000" w:rsidDel="00000000" w:rsidP="00000000" w:rsidRDefault="00000000" w:rsidRPr="00000000" w14:paraId="00000066">
      <w:pPr>
        <w:rPr>
          <w:i w:val="1"/>
          <w:iCs w:val="1"/>
        </w:rPr>
      </w:pPr>
      <w:r w:rsidDel="00000000" w:rsidR="00000000" w:rsidRPr="00000000">
        <w:rPr>
          <w:rtl w:val="0"/>
        </w:rPr>
      </w:r>
    </w:p>
    <w:p w:rsidR="00000000" w:rsidDel="00000000" w:rsidP="00000000" w:rsidRDefault="00000000" w:rsidRPr="00000000" w14:paraId="00000067">
      <w:pPr>
        <w:rPr>
          <w:i w:val="1"/>
          <w:iCs w:val="1"/>
        </w:rPr>
      </w:pPr>
      <w:r w:rsidDel="00000000" w:rsidR="00000000" w:rsidRPr="00000000">
        <w:rPr>
          <w:i w:val="1"/>
          <w:iCs w:val="1"/>
          <w:rtl w:val="0"/>
        </w:rPr>
        <w:t xml:space="preserve">Three Trends in Research on Consumption and Taste:</w:t>
      </w:r>
    </w:p>
    <w:p w:rsidR="00000000" w:rsidDel="00000000" w:rsidP="00000000" w:rsidRDefault="00000000" w:rsidRPr="00000000" w14:paraId="00000068">
      <w:pPr>
        <w:numPr>
          <w:ilvl w:val="0"/>
          <w:numId w:val="1"/>
        </w:numPr>
        <w:ind w:left="720" w:hanging="360"/>
        <w:rPr>
          <w:i w:val="1"/>
          <w:iCs w:val="1"/>
        </w:rPr>
      </w:pPr>
      <w:r w:rsidDel="00000000" w:rsidR="00000000" w:rsidRPr="00000000">
        <w:rPr>
          <w:i w:val="1"/>
          <w:iCs w:val="1"/>
          <w:rtl w:val="0"/>
        </w:rPr>
        <w:t xml:space="preserve">A shift from Documenting the Transition from Snobs to Omnivores to Working out the Relationship between Snobbishness and Omnivorousness.</w:t>
      </w:r>
    </w:p>
    <w:p w:rsidR="00000000" w:rsidDel="00000000" w:rsidP="00000000" w:rsidRDefault="00000000" w:rsidRPr="00000000" w14:paraId="00000069">
      <w:pPr>
        <w:numPr>
          <w:ilvl w:val="0"/>
          <w:numId w:val="1"/>
        </w:numPr>
        <w:ind w:left="720" w:hanging="360"/>
        <w:rPr>
          <w:i w:val="1"/>
          <w:iCs w:val="1"/>
        </w:rPr>
      </w:pPr>
      <w:r w:rsidDel="00000000" w:rsidR="00000000" w:rsidRPr="00000000">
        <w:rPr>
          <w:i w:val="1"/>
          <w:iCs w:val="1"/>
          <w:rtl w:val="0"/>
        </w:rPr>
        <w:t xml:space="preserve">Transition in Consumption Research From Studying “What” to “How” Distinction is Created in Cultural Consumption (i.e. from categories to practices and objects within those categories, i.e., different modes of highbrow consumption)</w:t>
      </w:r>
    </w:p>
    <w:p w:rsidR="00000000" w:rsidDel="00000000" w:rsidP="00000000" w:rsidRDefault="00000000" w:rsidRPr="00000000" w14:paraId="0000006A">
      <w:pPr>
        <w:numPr>
          <w:ilvl w:val="0"/>
          <w:numId w:val="1"/>
        </w:numPr>
        <w:ind w:left="720" w:hanging="360"/>
        <w:rPr>
          <w:i w:val="1"/>
          <w:iCs w:val="1"/>
        </w:rPr>
      </w:pPr>
      <w:r w:rsidDel="00000000" w:rsidR="00000000" w:rsidRPr="00000000">
        <w:rPr>
          <w:i w:val="1"/>
          <w:iCs w:val="1"/>
          <w:rtl w:val="0"/>
        </w:rPr>
        <w:t xml:space="preserve">Increased Documentation of the Politicization of Cultural Capital and Taste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Sans" w:cs="Alegreya Sans" w:eastAsia="Alegreya Sans" w:hAnsi="Alegreya Sans"/>
        <w:color w:val="222222"/>
        <w:sz w:val="24"/>
        <w:szCs w:val="24"/>
        <w:highlight w:val="white"/>
        <w:lang w:val="en"/>
      </w:rPr>
    </w:rPrDefault>
    <w:pPrDefault>
      <w:pPr>
        <w:widowControl w:val="0"/>
        <w:pBdr>
          <w:top w:color="auto" w:space="0" w:sz="0" w:val="none"/>
          <w:left w:color="auto" w:space="0" w:sz="0" w:val="none"/>
          <w:bottom w:color="auto" w:space="0" w:sz="0" w:val="none"/>
          <w:right w:color="auto" w:space="0" w:sz="0" w:val="none"/>
          <w:between w:color="auto" w:space="0" w:sz="0" w:val="none"/>
        </w:pBd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60" w:before="300" w:lineRule="auto"/>
      <w:ind w:firstLine="0"/>
      <w:jc w:val="left"/>
    </w:pPr>
    <w:rPr>
      <w:color w:val="943634"/>
      <w:sz w:val="32"/>
      <w:szCs w:val="32"/>
    </w:rPr>
  </w:style>
  <w:style w:type="paragraph" w:styleId="Heading2">
    <w:name w:val="heading 2"/>
    <w:basedOn w:val="Normal"/>
    <w:next w:val="Normal"/>
    <w:pPr>
      <w:pageBreakBefore w:val="0"/>
      <w:spacing w:before="200" w:lineRule="auto"/>
      <w:ind w:firstLine="0"/>
      <w:jc w:val="left"/>
    </w:pPr>
    <w:rPr>
      <w:color w:val="943634"/>
      <w:sz w:val="28"/>
      <w:szCs w:val="28"/>
    </w:rPr>
  </w:style>
  <w:style w:type="paragraph" w:styleId="Heading3">
    <w:name w:val="heading 3"/>
    <w:basedOn w:val="Normal"/>
    <w:next w:val="Normal"/>
    <w:pPr>
      <w:keepNext w:val="1"/>
      <w:keepLines w:val="1"/>
      <w:pageBreakBefore w:val="0"/>
      <w:spacing w:before="60" w:lineRule="auto"/>
      <w:ind w:firstLine="0"/>
      <w:jc w:val="left"/>
    </w:pPr>
    <w:rPr>
      <w:i w:val="1"/>
      <w:iCs w:val="1"/>
      <w:color w:val="943634"/>
    </w:rPr>
  </w:style>
  <w:style w:type="paragraph" w:styleId="Heading4">
    <w:name w:val="heading 4"/>
    <w:basedOn w:val="Normal"/>
    <w:next w:val="Normal"/>
    <w:pPr>
      <w:pageBreakBefore w:val="0"/>
      <w:spacing w:after="200" w:before="200" w:line="240" w:lineRule="auto"/>
      <w:ind w:firstLine="0"/>
    </w:pPr>
    <w:rPr>
      <w:sz w:val="22"/>
      <w:szCs w:val="22"/>
    </w:rPr>
  </w:style>
  <w:style w:type="paragraph" w:styleId="Heading5">
    <w:name w:val="heading 5"/>
    <w:basedOn w:val="Normal"/>
    <w:next w:val="Normal"/>
    <w:pPr>
      <w:keepNext w:val="1"/>
      <w:keepLines w:val="1"/>
      <w:spacing w:after="0" w:before="0" w:line="240" w:lineRule="auto"/>
    </w:pPr>
    <w:rPr>
      <w:sz w:val="20"/>
      <w:szCs w:val="20"/>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943634"/>
      <w:sz w:val="44"/>
      <w:szCs w:val="44"/>
    </w:rPr>
  </w:style>
  <w:style w:type="paragraph" w:styleId="Subtitle">
    <w:name w:val="Subtitle"/>
    <w:basedOn w:val="Normal"/>
    <w:next w:val="Normal"/>
    <w:pPr>
      <w:pageBreakBefore w:val="0"/>
      <w:ind w:firstLine="0"/>
    </w:pPr>
    <w:rPr>
      <w:b w:val="1"/>
      <w:bCs w:val="1"/>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