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t xml:space="preserve">March XX 2016sp</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t xml:space="preserve">Dear Andy,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tl w:val="0"/>
        </w:rPr>
        <w:t xml:space="preserve">We have completed the revisions of our paper that now has the title: “The Making of an ‘Omnivorous Generation,’” co-authored with Omar Lizardo. We greatly appreciate your invitation to rework the piece and the guidance in the process that you have provided. We also feel that the four reviewers have done a superlative job in reading and commenting on the paper, and we are greatly in their debt as we acknowledge in the first note.</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rPr>
          <w:rFonts w:ascii="Times New Roman" w:cs="Times New Roman" w:eastAsia="Times New Roman" w:hAnsi="Times New Roman"/>
        </w:rPr>
      </w:pPr>
      <w:r w:rsidDel="00000000" w:rsidR="00000000" w:rsidRPr="00000000">
        <w:rPr>
          <w:rtl w:val="0"/>
        </w:rPr>
        <w:t xml:space="preserve">We appreciate the strongly positive reviews of our research. It is particularly nice to have the elegance of our written text, the ambition of our aims, and the sophistication of our multi-method approach identified for praise by the reviewers. In your letter of October 24, 2015 tendering an invitation to revise and resubmit, you asked that we address three specific concerns (items 1-3), and we have chosen to address a fourth, raised by three of the reviewers (item 4), in addition to correcting the missing citations and stylistic errors noted in the reviews. </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mkmn11h5y9j" w:id="0"/>
      <w:bookmarkEnd w:id="0"/>
      <w:r w:rsidDel="00000000" w:rsidR="00000000" w:rsidRPr="00000000">
        <w:rPr>
          <w:rtl w:val="0"/>
        </w:rPr>
        <w:t xml:space="preserve">1. </w:t>
      </w:r>
      <w:r w:rsidDel="00000000" w:rsidR="00000000" w:rsidRPr="00000000">
        <w:rPr>
          <w:rtl w:val="0"/>
        </w:rPr>
        <w:t xml:space="preserve">Cohort (A, B)</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Reviewer A affirms--on its face validity--our claim that “cultural consumers are receptive to the cultural offerings made available by the institutional environments during their coming of </w:t>
      </w:r>
      <w:commentRangeStart w:id="0"/>
      <w:r w:rsidDel="00000000" w:rsidR="00000000" w:rsidRPr="00000000">
        <w:rPr>
          <w:rtl w:val="0"/>
        </w:rPr>
        <w:t xml:space="preserve">age</w:t>
      </w:r>
      <w:commentRangeEnd w:id="0"/>
      <w:r w:rsidDel="00000000" w:rsidR="00000000" w:rsidRPr="00000000">
        <w:commentReference w:id="0"/>
      </w:r>
      <w:r w:rsidDel="00000000" w:rsidR="00000000" w:rsidRPr="00000000">
        <w:rPr>
          <w:rtl w:val="0"/>
        </w:rPr>
        <w:t xml:space="preserve">.” RA then asks if the omnivorous generation’s tastes are unique to their generation. Our results answer part of this </w:t>
      </w:r>
      <w:commentRangeStart w:id="1"/>
      <w:r w:rsidDel="00000000" w:rsidR="00000000" w:rsidRPr="00000000">
        <w:rPr>
          <w:rtl w:val="0"/>
        </w:rPr>
        <w:t xml:space="preserve">question:</w:t>
      </w:r>
      <w:commentRangeEnd w:id="1"/>
      <w:r w:rsidDel="00000000" w:rsidR="00000000" w:rsidRPr="00000000">
        <w:commentReference w:id="1"/>
      </w:r>
      <w:r w:rsidDel="00000000" w:rsidR="00000000" w:rsidRPr="00000000">
        <w:rPr>
          <w:rtl w:val="0"/>
        </w:rPr>
        <w:t xml:space="preserve">. But we are inclined to agree that while the mechanism (institutional and organizational context influences the material available for elite processes of distinction and consumption) is present across cohorts, and perhaps even characteristic of the cultural field, the </w:t>
      </w:r>
      <w:commentRangeStart w:id="2"/>
      <w:r w:rsidDel="00000000" w:rsidR="00000000" w:rsidRPr="00000000">
        <w:rPr>
          <w:rtl w:val="0"/>
        </w:rPr>
        <w:t xml:space="preserve">specific features </w:t>
      </w:r>
      <w:commentRangeEnd w:id="2"/>
      <w:r w:rsidDel="00000000" w:rsidR="00000000" w:rsidRPr="00000000">
        <w:commentReference w:id="2"/>
      </w:r>
      <w:r w:rsidDel="00000000" w:rsidR="00000000" w:rsidRPr="00000000">
        <w:rPr>
          <w:rtl w:val="0"/>
        </w:rPr>
        <w:t xml:space="preserve">of generational taste vary. We leave it to scholars who wish to compare cultural generations to identify taste patterns across birth cohorts. Ours is an attempt to re-specify the relationship between a particular kind of taste profile and those who hold it most dear. We are also not the only scholars to do so, as we note on page TK citing Rossman and Peterson 2015 and Lopez-Sintas and Katz-Gerro on </w:t>
      </w:r>
      <w:commentRangeStart w:id="3"/>
      <w:r w:rsidDel="00000000" w:rsidR="00000000" w:rsidRPr="00000000">
        <w:rPr>
          <w:rtl w:val="0"/>
        </w:rPr>
        <w:t xml:space="preserve">page </w:t>
      </w:r>
      <w:commentRangeEnd w:id="3"/>
      <w:r w:rsidDel="00000000" w:rsidR="00000000" w:rsidRPr="00000000">
        <w:commentReference w:id="3"/>
      </w:r>
      <w:r w:rsidDel="00000000" w:rsidR="00000000" w:rsidRPr="00000000">
        <w:rPr>
          <w:rtl w:val="0"/>
        </w:rPr>
        <w:t xml:space="preserve">TK.</w:t>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8e8wazia8tg" w:id="1"/>
      <w:bookmarkEnd w:id="1"/>
      <w:r w:rsidDel="00000000" w:rsidR="00000000" w:rsidRPr="00000000">
        <w:rPr>
          <w:rtl w:val="0"/>
        </w:rPr>
        <w:t xml:space="preserve">2. </w:t>
      </w:r>
      <w:r w:rsidDel="00000000" w:rsidR="00000000" w:rsidRPr="00000000">
        <w:rPr>
          <w:rtl w:val="0"/>
        </w:rPr>
        <w:t xml:space="preserve">Methodology (I)</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This reviewer’s “main concern has to do with the APC analysis, which is an application of Yang and Land’s cross-classified random effects model to six waves of SPPA data</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5zf7hwdo96d0" w:id="2"/>
      <w:bookmarkEnd w:id="2"/>
      <w:r w:rsidDel="00000000" w:rsidR="00000000" w:rsidRPr="00000000">
        <w:rPr>
          <w:rtl w:val="0"/>
        </w:rPr>
        <w:t xml:space="preserve">3. Geography (B, I)</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rtl w:val="0"/>
        </w:rPr>
        <w:t xml:space="preserve">Reviewer B (and Reviewer I) also asks us to account for similar patterns that take place across the globe. As we note on page 6, while there are similar patterns elsewhere, there are also important forms of national variation. </w:t>
      </w:r>
      <w:r w:rsidDel="00000000" w:rsidR="00000000" w:rsidRPr="00000000">
        <w:rPr>
          <w:b w:val="1"/>
          <w:bCs w:val="1"/>
          <w:rtl w:val="0"/>
        </w:rPr>
        <w:t xml:space="preserve">JCL: The presentation of genres of cultural forms are going to display regional patterns (explain + evidence) but the SPPA response categories are not going to pick up on those patterns. The demonstration of patterns of omnivorousness abroad could be attributed to a number of factors: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b w:val="1"/>
          <w:bCs w:val="1"/>
          <w:rtl w:val="0"/>
        </w:rPr>
        <w:t xml:space="preserve">There may be similar patterns abroad. Some of the economic and political transformations taking place in the US were taking place abroad. The artistic and policy responses differed in particular places but sometimes in insignificant ways with respect to the outcome of interest here. So certainly we would conjecture that generational effects could exist elsewhere but their particular boundaries will depend upon exposure to similar or different conditions, and mediation of these conditions through such meso-structures.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b w:val="1"/>
          <w:bCs w:val="1"/>
          <w:rtl w:val="0"/>
        </w:rPr>
        <w:t xml:space="preserve">The fact that you get cyclical investment in the arts should produce similar generational effects abroad. Depending on the timing of those things, generations will or will not align with the timing of this pattern in the U.S. However, to our knowledge, no one has used the same method of analysis on data </w:t>
      </w:r>
      <w:commentRangeStart w:id="4"/>
      <w:r w:rsidDel="00000000" w:rsidR="00000000" w:rsidRPr="00000000">
        <w:rPr>
          <w:b w:val="1"/>
          <w:bCs w:val="1"/>
          <w:rtl w:val="0"/>
        </w:rPr>
        <w:t xml:space="preserve">collected</w:t>
      </w:r>
      <w:commentRangeEnd w:id="4"/>
      <w:r w:rsidDel="00000000" w:rsidR="00000000" w:rsidRPr="00000000">
        <w:commentReference w:id="4"/>
      </w:r>
      <w:r w:rsidDel="00000000" w:rsidR="00000000" w:rsidRPr="00000000">
        <w:rPr>
          <w:b w:val="1"/>
          <w:bCs w:val="1"/>
          <w:rtl w:val="0"/>
        </w:rPr>
        <w:t xml:space="preserve"> outside the US or with respect to the same outcomes.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b w:val="1"/>
          <w:bCs w:val="1"/>
          <w:rtl w:val="0"/>
        </w:rPr>
        <w:t xml:space="preserve">We are arguing against theories that proffer non-historically situated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rtl w:val="0"/>
        </w:rPr>
        <w:t xml:space="preserve">As to the similarities: we ask that RB and RI keep in mind that the federalization of art markets, the introduction of subventions for artists-as-workers, and the transformations in the training of arts administrators and patterns in museum collecting are global phenomena in these years. While we identify their specific manifestation in one country context, we have confidence that a comparative study will identify similar patterns of institutional and organizational change taking place in other countries, most importantly because the Stock Market crash of 1929 and ensuing economic depression were global </w:t>
      </w:r>
      <w:commentRangeStart w:id="5"/>
      <w:r w:rsidDel="00000000" w:rsidR="00000000" w:rsidRPr="00000000">
        <w:rPr>
          <w:rtl w:val="0"/>
        </w:rPr>
        <w:t xml:space="preserve">events</w:t>
      </w:r>
      <w:commentRangeEnd w:id="5"/>
      <w:r w:rsidDel="00000000" w:rsidR="00000000" w:rsidRPr="00000000">
        <w:commentReference w:id="5"/>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spacing w:line="240" w:lineRule="auto"/>
        <w:rPr>
          <w:b w:val="1"/>
          <w:bCs w:val="1"/>
        </w:rPr>
      </w:pPr>
      <w:bookmarkStart w:colFirst="0" w:colLast="0" w:name="_kmtcica4w9fs" w:id="3"/>
      <w:bookmarkEnd w:id="3"/>
      <w:r w:rsidDel="00000000" w:rsidR="00000000" w:rsidRPr="00000000">
        <w:rPr>
          <w:rtl w:val="0"/>
        </w:rPr>
        <w:t xml:space="preserve">4. </w:t>
      </w:r>
      <w:r w:rsidDel="00000000" w:rsidR="00000000" w:rsidRPr="00000000">
        <w:rPr>
          <w:rtl w:val="0"/>
        </w:rPr>
        <w:t xml:space="preserve">Omnivorousness: definitions and specification (A, B, G)</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previous two issues are related to a third, that emerges most specifically in the response of RG. S/he suggests that we include a working definition of omnivorousness in order to differentiate our use from that in the first research on the topic, and subsequent adaptations of it. We have included such a definition on page </w:t>
      </w:r>
      <w:r w:rsidDel="00000000" w:rsidR="00000000" w:rsidRPr="00000000">
        <w:rPr>
          <w:b w:val="1"/>
          <w:bCs w:val="1"/>
          <w:rtl w:val="0"/>
        </w:rPr>
        <w:t xml:space="preserve">tk</w:t>
      </w:r>
      <w:r w:rsidDel="00000000" w:rsidR="00000000" w:rsidRPr="00000000">
        <w:rPr>
          <w:rtl w:val="0"/>
        </w:rPr>
        <w:t xml:space="preserve">. What readers will now find is that we differentiate the following broad uses of the term: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b w:val="1"/>
          <w:bCs w:val="1"/>
          <w:rtl w:val="0"/>
        </w:rPr>
        <w:t xml:space="preserve">We added a description of various definition of omnivorousness to the paper. We adopt the definition that relies on a measure of breadth. This is in dialog with XX (cite). We explained why we rely on these data and not others. We added an analysis of a second data set (explain).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Omnivorousness in its original conception: elite reports of preferences that lay outside the three (two?) forms of high culture defined by the authors. OVer time, later authors added additional genres (the original argument was about music) and expanded it to other fields. Essentially, a measure of increased reported preferences at the level of musical meta-genre or (stream)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Omnivorousness in its dominant current use: reports by all individuals of larger-than-average numbers of meta-genre or genre preferences--entrepreneurial or intensive cultural consumption or undiscriminating individuals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Omnivorousness in its less dominant current use: reports by all individuals of relatively rare specific tastes (what Gans called...niche tastes maybe?) IT is a variation on the numbers version--people looking for clusters of similarity, and then this is looking at deviations. (British folks)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Omnivorousness in our conception:</w:t>
      </w:r>
      <w:r w:rsidDel="00000000" w:rsidR="00000000" w:rsidRPr="00000000">
        <w:rPr>
          <w:strike w:val="1"/>
          <w:rtl w:val="0"/>
        </w:rPr>
        <w:t xml:space="preserve"> preferences for new specific forms of cultural consumption </w:t>
      </w:r>
      <w:r w:rsidDel="00000000" w:rsidR="00000000" w:rsidRPr="00000000">
        <w:rPr>
          <w:rtl w:val="0"/>
        </w:rPr>
        <w:t xml:space="preserve">breadth and engagement</w:t>
      </w:r>
      <w:r w:rsidDel="00000000" w:rsidR="00000000" w:rsidRPr="00000000">
        <w:rPr>
          <w:rtl w:val="0"/>
        </w:rPr>
        <w:t xml:space="preserve">. </w:t>
      </w:r>
      <w:r w:rsidDel="00000000" w:rsidR="00000000" w:rsidRPr="00000000">
        <w:rPr>
          <w:strike w:val="1"/>
          <w:rtl w:val="0"/>
        </w:rPr>
        <w:t xml:space="preserve">We thus combine the original conception (elite reports of increased preferences from the previous generation), with omnivorousness in its dominant current use (relatively more preferences than contemporaneous peers), with omnivorousness in its less dominant current use (irrespective of class, the addition of relatively rare specific tastes).</w:t>
      </w:r>
      <w:r w:rsidDel="00000000" w:rsidR="00000000" w:rsidRPr="00000000">
        <w:rPr>
          <w:rtl w:val="0"/>
        </w:rPr>
        <w:t xml:space="preserve"> (</w:t>
      </w:r>
      <w:r w:rsidDel="00000000" w:rsidR="00000000" w:rsidRPr="00000000">
        <w:rPr>
          <w:b w:val="1"/>
          <w:bCs w:val="1"/>
          <w:rtl w:val="0"/>
        </w:rPr>
        <w:t xml:space="preserve">see page 6</w:t>
      </w:r>
      <w:r w:rsidDel="00000000" w:rsidR="00000000" w:rsidRPr="00000000">
        <w:rPr>
          <w:rtl w:val="0"/>
        </w:rPr>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Reviewer A expresses concerns about whether the eight forms of cultural consumption selected for analysis are a fair measure of omnivorousness. Particularly, whether it is a time-invariant metric of omnivorousness.  We would argue that our argument is in dialogue with the large corpus of research on omnivorousness, and we have therefore adopted the convention within that literature, which is to employ the nationally representative data on cultural tastes captured in the multiple waves of the Survey of Public Participation in the Arts. The items included in the survey do shift over time, and social scientists like ourselves are queried for suggestions when the survey is updated (one of the authors of the current manuscript was consulted in advance of the 2008 release).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In this revision, we included additional explanation on pps TK so that readers have a more robust sense of why these data were selected, and so that we more clearly define the concept of omnivorousness to avoid further confusion.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Reviewer B asks why this cohort has so little influence on later generations, cultural institutions, and policy. Within that query, the reviewer claims that high culture has become de-sacralized, and the distinction between high and low culture has diminished in strength. We do not draw the same conclusions from our research. We think it is instead more consistent with the evidence and with the argument cited (DiMaggio 1992) to argue that while the distinction was sacralized in the US in the middle of the 19th century, it always had the functional form of a range or array. Objects, artists, and their genres move along that spectrum over time (see Baumann </w:t>
      </w:r>
      <w:r w:rsidDel="00000000" w:rsidR="00000000" w:rsidRPr="00000000">
        <w:rPr>
          <w:b w:val="1"/>
          <w:bCs w:val="1"/>
          <w:rtl w:val="0"/>
        </w:rPr>
        <w:t xml:space="preserve">year tk</w:t>
      </w:r>
      <w:r w:rsidDel="00000000" w:rsidR="00000000" w:rsidRPr="00000000">
        <w:rPr>
          <w:rtl w:val="0"/>
        </w:rPr>
        <w:t xml:space="preserve"> on how these legitimization processes work).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precisely wish to illuminate how elite aesthetic entrepreneurs advocated on behalf of particular forms of vernacular or folk culture, resulting in some cases in their promotion toward the pole of legitimate art. We interpret DiMaggio (and Baumann </w:t>
      </w:r>
      <w:r w:rsidDel="00000000" w:rsidR="00000000" w:rsidRPr="00000000">
        <w:rPr>
          <w:b w:val="1"/>
          <w:bCs w:val="1"/>
          <w:rtl w:val="0"/>
        </w:rPr>
        <w:t xml:space="preserve">tk</w:t>
      </w:r>
      <w:r w:rsidDel="00000000" w:rsidR="00000000" w:rsidRPr="00000000">
        <w:rPr>
          <w:rtl w:val="0"/>
        </w:rPr>
        <w:t xml:space="preserve"> and Bourdieu 1993) to argue that the mechanism that generates and sustains classification systems is stable, but the content of preferences can and should change. In her third question about the accuracy (I think it is really validity) of the specific survey measures for capturing cultural omnivorousness over large time periods, Reviewer B identifies exactly this issue.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It is a misunderstanding of our position to ask “why the New Deal cohort was not more influential shaping cultural institutions”--they were very influential (in opening new pathways for aesthetic legitimation, producing a generation of arts administrators that held tight to the value of canon expansion) but their influence was not felt (and we would not expect it to be felt) in the prescription of specific genre preferences. Moreover, as we admit in the paper (</w:t>
      </w:r>
      <w:r w:rsidDel="00000000" w:rsidR="00000000" w:rsidRPr="00000000">
        <w:rPr>
          <w:b w:val="1"/>
          <w:bCs w:val="1"/>
          <w:rtl w:val="0"/>
        </w:rPr>
        <w:t xml:space="preserve">tk</w:t>
      </w:r>
      <w:r w:rsidDel="00000000" w:rsidR="00000000" w:rsidRPr="00000000">
        <w:rPr>
          <w:rtl w:val="0"/>
        </w:rPr>
        <w:t xml:space="preserve">), the SPPA questions are poorly suited to detect anything other than shifts in genre or disciplinary preferences. We believe, and there is preliminary evidence to support the claim (Sonnett, who else? Lena in that book </w:t>
      </w:r>
      <w:r w:rsidDel="00000000" w:rsidR="00000000" w:rsidRPr="00000000">
        <w:rPr>
          <w:b w:val="1"/>
          <w:bCs w:val="1"/>
          <w:rtl w:val="0"/>
        </w:rPr>
        <w:t xml:space="preserve">tk</w:t>
      </w:r>
      <w:r w:rsidDel="00000000" w:rsidR="00000000" w:rsidRPr="00000000">
        <w:rPr>
          <w:rtl w:val="0"/>
        </w:rPr>
        <w:t xml:space="preserve">) that taste discrimination processes operate at the sub-genre level. Even Peterson and Simkus (was it?) argue that omnivorousness is not a function of what is consumed, but how it is consumed. Johnson and co-authors (shyon, the roti roll thing) demonstrate that omnivores consume many of the same cultural items as other consumers, but make meaning from that consumption experience differently. What are are finding in our own argument is that there is a radical departure--an omnivorous generation--but we believe that generation was succeeded by waves of cultural consumers making patterned but quite granular distinctions between good and bad culture.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note the avidity and breadth of cultural engagement among a generation of arts consumers in the U.S. This breadth extends to forms of folk and vernacular culture that were legitimized during the 20th century, including jazz and--most importantly for our argument--craft fairs and Art festivals. </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C. Lena" w:id="1" w:date="2016-03-21T15:38:51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on patterns of distinction, particularly from the comparison analyses</w:t>
      </w:r>
    </w:p>
  </w:comment>
  <w:comment w:author="Jennifer C. Lena" w:id="0" w:date="2016-03-21T15:38:32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we can make connections to Griswold’s ‘reading class’ to address RG’s point #2. We can also point out, again, that we’re not claiming a causal relationship</w:t>
      </w:r>
    </w:p>
  </w:comment>
  <w:comment w:author="Jennifer C. Lena" w:id="5" w:date="2016-03-21T15:40:3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 there’s more of this in the conclusion.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JCL: write Alexandra a note about european references.</w:t>
      </w:r>
    </w:p>
  </w:comment>
  <w:comment w:author="Jennifer C. Lena" w:id="3" w:date="2016-03-21T16:10:26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 add text noting that we address the "historicity" stuff in the opening section, and added material on bottom of page 6.</w:t>
      </w:r>
    </w:p>
  </w:comment>
  <w:comment w:author="Jennifer C. Lena" w:id="2" w:date="2016-03-21T15:39:36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of unique tastes is not at hand--we are showing unique patterns of engagement, but not focused on what specific preferences they have over their life course.</w:t>
      </w:r>
    </w:p>
  </w:comment>
  <w:comment w:author="Jennifer C. Lena" w:id="4" w:date="2016-04-19T15:06:37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this response into the conclusion and then here we can just point to it in the text.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after="200" w:before="120" w:line="24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ind w:firstLine="360"/>
    </w:pPr>
    <w:rPr>
      <w:sz w:val="22"/>
      <w:szCs w:val="22"/>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