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vuhksz38hqao" w:id="0"/>
      <w:bookmarkEnd w:id="0"/>
      <w:r w:rsidDel="00000000" w:rsidR="00000000" w:rsidRPr="00000000">
        <w:rPr>
          <w:rtl w:val="0"/>
        </w:rPr>
        <w:t xml:space="preserve">The ‘Omnivorous Generation:’ Artistic Valorization and Institutional Work in the 20th Century United States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u4zvic7ecw3y" w:id="1"/>
      <w:bookmarkEnd w:id="1"/>
      <w:r w:rsidDel="00000000" w:rsidR="00000000" w:rsidRPr="00000000">
        <w:rPr>
          <w:rtl w:val="0"/>
        </w:rPr>
        <w:tab/>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3cjpwxo18gf" w:id="2"/>
      <w:bookmarkEnd w:id="2"/>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Jennifer C. Lena</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Omar Lizardo</w:t>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Keywords: </w:t>
      </w:r>
      <w:r w:rsidDel="00000000" w:rsidR="00000000" w:rsidRPr="00000000">
        <w:rPr>
          <w:rtl w:val="0"/>
        </w:rPr>
        <w:t xml:space="preserve">Omnivorousness, generation, culture, valorization, vernacular, folk, institutions, New Deal, Progressive Era, museums, organizations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Word Count:</w:t>
      </w:r>
      <w:r w:rsidDel="00000000" w:rsidR="00000000" w:rsidRPr="00000000">
        <w:rPr>
          <w:rtl w:val="0"/>
        </w:rPr>
        <w:t xml:space="preserve"> 14,468 (plus 1,560 in Appendix)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jt8m8kilg192" w:id="4"/>
      <w:bookmarkEnd w:id="4"/>
      <w:r w:rsidDel="00000000" w:rsidR="00000000" w:rsidRPr="00000000">
        <w:rPr>
          <w:rtl w:val="0"/>
        </w:rPr>
      </w:r>
    </w:p>
    <w:p w:rsidR="00000000" w:rsidDel="00000000" w:rsidP="00000000" w:rsidRDefault="00000000" w:rsidRPr="00000000" w14:paraId="00000010">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y9nuz1bmcxyr" w:id="5"/>
      <w:bookmarkEnd w:id="5"/>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lfawl7b51a85" w:id="6"/>
      <w:bookmarkEnd w:id="6"/>
      <w:r w:rsidDel="00000000" w:rsidR="00000000" w:rsidRPr="00000000">
        <w:rPr>
          <w:rtl w:val="0"/>
        </w:rPr>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eqahhelj8t0t" w:id="7"/>
      <w:bookmarkEnd w:id="7"/>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spacing w:line="240" w:lineRule="auto"/>
        <w:jc w:val="both"/>
        <w:rPr/>
      </w:pPr>
      <w:bookmarkStart w:colFirst="0" w:colLast="0" w:name="_sehrxxb8sf0v" w:id="8"/>
      <w:bookmarkEnd w:id="8"/>
      <w:r w:rsidDel="00000000" w:rsidR="00000000" w:rsidRPr="00000000">
        <w:rPr>
          <w:b w:val="0"/>
          <w:bCs w:val="0"/>
          <w:sz w:val="24"/>
          <w:szCs w:val="24"/>
          <w:rtl w:val="0"/>
        </w:rPr>
        <w:t xml:space="preserve">*</w:t>
      </w:r>
      <w:r w:rsidDel="00000000" w:rsidR="00000000" w:rsidRPr="00000000">
        <w:rPr>
          <w:b w:val="0"/>
          <w:bCs w:val="0"/>
          <w:sz w:val="20"/>
          <w:szCs w:val="20"/>
          <w:rtl w:val="0"/>
        </w:rPr>
        <w:t xml:space="preserve">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b w:val="0"/>
            <w:bCs w:val="0"/>
            <w:color w:val="1155cc"/>
            <w:sz w:val="20"/>
            <w:szCs w:val="20"/>
            <w:u w:val="single"/>
            <w:rtl w:val="0"/>
          </w:rPr>
          <w:t xml:space="preserve">jcl42@columbia.edu</w:t>
        </w:r>
      </w:hyperlink>
      <w:r w:rsidDel="00000000" w:rsidR="00000000" w:rsidRPr="00000000">
        <w:rPr>
          <w:b w:val="0"/>
          <w:bCs w:val="0"/>
          <w:sz w:val="20"/>
          <w:szCs w:val="20"/>
          <w:rtl w:val="0"/>
        </w:rPr>
        <w:t xml:space="preserve"> or Omar Lizardo, 810 Flanner Hall Notre Dame, IN 46556, Email: </w:t>
      </w:r>
      <w:hyperlink r:id="rId8">
        <w:r w:rsidDel="00000000" w:rsidR="00000000" w:rsidRPr="00000000">
          <w:rPr>
            <w:b w:val="0"/>
            <w:bCs w:val="0"/>
            <w:color w:val="1155cc"/>
            <w:sz w:val="20"/>
            <w:szCs w:val="20"/>
            <w:u w:val="single"/>
            <w:rtl w:val="0"/>
          </w:rPr>
          <w:t xml:space="preserve">olizardo@nd.edu</w:t>
        </w:r>
      </w:hyperlink>
      <w:r w:rsidDel="00000000" w:rsidR="00000000" w:rsidRPr="00000000">
        <w:rPr>
          <w:b w:val="0"/>
          <w:bCs w:val="0"/>
          <w:sz w:val="20"/>
          <w:szCs w:val="20"/>
          <w:rtl w:val="0"/>
        </w:rPr>
        <w:t xml:space="preserve">. </w:t>
      </w:r>
      <w:r w:rsidDel="00000000" w:rsidR="00000000" w:rsidRPr="00000000">
        <w:rPr>
          <w:rtl w:val="0"/>
        </w:rPr>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6qiweq4b0y2n" w:id="9"/>
      <w:bookmarkEnd w:id="9"/>
      <w:r w:rsidDel="00000000" w:rsidR="00000000" w:rsidRPr="00000000">
        <w:rPr>
          <w:rtl w:val="0"/>
        </w:rPr>
      </w:r>
    </w:p>
    <w:p w:rsidR="00000000" w:rsidDel="00000000" w:rsidP="00000000" w:rsidRDefault="00000000" w:rsidRPr="00000000" w14:paraId="00000015">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n8o28y75ebw1" w:id="10"/>
      <w:bookmarkEnd w:id="10"/>
      <w:r w:rsidDel="00000000" w:rsidR="00000000" w:rsidRPr="00000000">
        <w:br w:type="page"/>
      </w:r>
      <w:r w:rsidDel="00000000" w:rsidR="00000000" w:rsidRPr="00000000">
        <w:rPr>
          <w:rtl w:val="0"/>
        </w:rPr>
      </w:r>
    </w:p>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1xnhvap62qw4" w:id="11"/>
      <w:bookmarkEnd w:id="11"/>
      <w:r w:rsidDel="00000000" w:rsidR="00000000" w:rsidRPr="00000000">
        <w:rPr>
          <w:rtl w:val="0"/>
        </w:rPr>
        <w:t xml:space="preserve">A</w:t>
      </w:r>
      <w:r w:rsidDel="00000000" w:rsidR="00000000" w:rsidRPr="00000000">
        <w:rPr>
          <w:rtl w:val="0"/>
        </w:rPr>
        <w:t xml:space="preserve">bstract</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argue that the “historicality” </w:t>
      </w:r>
      <w:r w:rsidDel="00000000" w:rsidR="00000000" w:rsidRPr="00000000">
        <w:rPr>
          <w:rtl w:val="0"/>
        </w:rPr>
        <w:t xml:space="preserve">embedded in cohorts is a key driver of contemporaneous patterns of cultural choice linking cultural production and consumption dynamics.</w:t>
      </w:r>
      <w:r w:rsidDel="00000000" w:rsidR="00000000" w:rsidRPr="00000000">
        <w:rPr>
          <w:rtl w:val="0"/>
        </w:rPr>
        <w:t xml:space="preserve"> </w:t>
      </w:r>
      <w:r w:rsidDel="00000000" w:rsidR="00000000" w:rsidRPr="00000000">
        <w:rPr>
          <w:rtl w:val="0"/>
        </w:rPr>
        <w:t xml:space="preserve">We use</w:t>
      </w:r>
      <w:r w:rsidDel="00000000" w:rsidR="00000000" w:rsidRPr="00000000">
        <w:rPr>
          <w:rtl w:val="0"/>
        </w:rPr>
        <w:t xml:space="preserve"> data from the Survey for Public Participation in the Arts</w:t>
      </w:r>
      <w:r w:rsidDel="00000000" w:rsidR="00000000" w:rsidRPr="00000000">
        <w:rPr>
          <w:rtl w:val="0"/>
        </w:rPr>
        <w:t xml:space="preserve"> to examine this issue for the case of arts participation in the U.S. Our analysis</w:t>
      </w:r>
      <w:r w:rsidDel="00000000" w:rsidR="00000000" w:rsidRPr="00000000">
        <w:rPr>
          <w:rtl w:val="0"/>
        </w:rPr>
        <w:t xml:space="preserve"> </w:t>
      </w:r>
      <w:r w:rsidDel="00000000" w:rsidR="00000000" w:rsidRPr="00000000">
        <w:rPr>
          <w:rtl w:val="0"/>
        </w:rPr>
        <w:t xml:space="preserve">uncovers </w:t>
      </w:r>
      <w:r w:rsidDel="00000000" w:rsidR="00000000" w:rsidRPr="00000000">
        <w:rPr>
          <w:rtl w:val="0"/>
        </w:rPr>
        <w:t xml:space="preserve">a distinct “omnivorous generation” born in the post-Progressive Era. An historical analysis reveals that institutional entrepreneurship by government arts administrators increased the diversity of art on offer to this generation and was thus a primary contributor in generating durable dispositions, still evident today, towards cultural engagement among persons who came of age during this period. </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9jord8ckic5" w:id="12"/>
      <w:bookmarkEnd w:id="12"/>
      <w:r w:rsidDel="00000000" w:rsidR="00000000" w:rsidRPr="00000000">
        <w:rPr>
          <w:rtl w:val="0"/>
        </w:rPr>
        <w:t xml:space="preserve">1.0 Introduction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w:t>
      </w:r>
      <w:r w:rsidDel="00000000" w:rsidR="00000000" w:rsidRPr="00000000">
        <w:rPr>
          <w:rtl w:val="0"/>
        </w:rPr>
        <w:t xml:space="preserve">production</w:t>
      </w:r>
      <w:r w:rsidDel="00000000" w:rsidR="00000000" w:rsidRPr="00000000">
        <w:rPr>
          <w:rtl w:val="0"/>
        </w:rPr>
        <w:t xml:space="preserve"> systems and associated cultural classification </w:t>
      </w:r>
      <w:r w:rsidDel="00000000" w:rsidR="00000000" w:rsidRPr="00000000">
        <w:rPr>
          <w:rtl w:val="0"/>
        </w:rPr>
        <w:t xml:space="preserve">regimes</w:t>
      </w:r>
      <w:r w:rsidDel="00000000" w:rsidR="00000000" w:rsidRPr="00000000">
        <w:rPr>
          <w:rtl w:val="0"/>
        </w:rPr>
        <w:t xml:space="preserve"> for cultural goods (Baumann 2001; Allen and Lincoln 2004; Ferguson 1998; Johnston and Baumann 2007; Lena 2012; Lopes 2002; </w:t>
      </w:r>
      <w:r w:rsidDel="00000000" w:rsidR="00000000" w:rsidRPr="00000000">
        <w:rPr>
          <w:rtl w:val="0"/>
        </w:rPr>
        <w:t xml:space="preserve">Rossman 2012</w:t>
      </w:r>
      <w:r w:rsidDel="00000000" w:rsidR="00000000" w:rsidRPr="00000000">
        <w:rPr>
          <w:rtl w:val="0"/>
        </w:rPr>
        <w:t xml:space="preserve">). On the consumption side, attention has centered on putative </w:t>
      </w:r>
      <w:r w:rsidDel="00000000" w:rsidR="00000000" w:rsidRPr="00000000">
        <w:rPr>
          <w:rtl w:val="0"/>
        </w:rPr>
        <w:t xml:space="preserve">transformations of elite consumption patterns summarized by the notion of “omnivorousness” (Peterson 2005)</w:t>
      </w:r>
      <w:r w:rsidDel="00000000" w:rsidR="00000000" w:rsidRPr="00000000">
        <w:rPr>
          <w:rtl w:val="0"/>
        </w:rPr>
        <w:t xml:space="preserve">.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performing arts broadly defined (López-Sintas and Katz-Gerro 2005; DiMaggio and Mukhtar 2004).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w:t>
      </w:r>
      <w:r w:rsidDel="00000000" w:rsidR="00000000" w:rsidRPr="00000000">
        <w:rPr>
          <w:rtl w:val="0"/>
        </w:rPr>
        <w:t xml:space="preserve">,</w:t>
      </w:r>
      <w:r w:rsidDel="00000000" w:rsidR="00000000" w:rsidRPr="00000000">
        <w:rPr>
          <w:rtl w:val="0"/>
        </w:rPr>
        <w:t xml:space="preserve">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w:t>
      </w:r>
      <w:r w:rsidDel="00000000" w:rsidR="00000000" w:rsidRPr="00000000">
        <w:rPr>
          <w:rtl w:val="0"/>
        </w:rPr>
        <w:t xml:space="preserve">historicality</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we synthesize variegated lines of work pointing to linkages between production and consumption domains and institutional legacies embedded in unique cohort experiences (Abbott 2016; </w:t>
      </w:r>
      <w:r w:rsidDel="00000000" w:rsidR="00000000" w:rsidRPr="00000000">
        <w:rPr>
          <w:rtl w:val="0"/>
        </w:rPr>
        <w:t xml:space="preserve">Greve and Rao 2014</w:t>
      </w:r>
      <w:r w:rsidDel="00000000" w:rsidR="00000000" w:rsidRPr="00000000">
        <w:rPr>
          <w:rtl w:val="0"/>
        </w:rPr>
        <w:t xml:space="preserve">;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w:t>
      </w:r>
      <w:r w:rsidDel="00000000" w:rsidR="00000000" w:rsidRPr="00000000">
        <w:rPr>
          <w:rtl w:val="0"/>
        </w:rPr>
        <w:t xml:space="preserve">DiMaggio </w:t>
      </w:r>
      <w:r w:rsidDel="00000000" w:rsidR="00000000" w:rsidRPr="00000000">
        <w:rPr>
          <w:rtl w:val="0"/>
        </w:rPr>
        <w:t xml:space="preserve">2000). We demonstrate that there exists an empirically specifiable generational</w:t>
      </w:r>
      <w:r w:rsidDel="00000000" w:rsidR="00000000" w:rsidRPr="00000000">
        <w:rPr>
          <w:rtl w:val="0"/>
        </w:rPr>
        <w:t xml:space="preserve"> effect on the breadth of involvement in particular</w:t>
      </w:r>
      <w:r w:rsidDel="00000000" w:rsidR="00000000" w:rsidRPr="00000000">
        <w:rPr>
          <w:rtl w:val="0"/>
        </w:rPr>
        <w:t xml:space="preserve"> arts</w:t>
      </w:r>
      <w:r w:rsidDel="00000000" w:rsidR="00000000" w:rsidRPr="00000000">
        <w:rPr>
          <w:rtl w:val="0"/>
        </w:rPr>
        <w:t xml:space="preserve">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w:t>
      </w:r>
      <w:r w:rsidDel="00000000" w:rsidR="00000000" w:rsidRPr="00000000">
        <w:rPr>
          <w:rtl w:val="0"/>
        </w:rPr>
        <w:t xml:space="preserve">the</w:t>
      </w:r>
      <w:r w:rsidDel="00000000" w:rsidR="00000000" w:rsidRPr="00000000">
        <w:rPr>
          <w:rtl w:val="0"/>
        </w:rPr>
        <w:t xml:space="preserve"> historically mediated effect of organizational</w:t>
      </w:r>
      <w:r w:rsidDel="00000000" w:rsidR="00000000" w:rsidRPr="00000000">
        <w:rPr>
          <w:rtl w:val="0"/>
        </w:rPr>
        <w:t xml:space="preserve"> practices</w:t>
      </w:r>
      <w:r w:rsidDel="00000000" w:rsidR="00000000" w:rsidRPr="00000000">
        <w:rPr>
          <w:rtl w:val="0"/>
        </w:rPr>
        <w:t xml:space="preserve"> and institutional legacies on patterns of cultural choice over time. </w:t>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1trgpsl2lce" w:id="13"/>
      <w:bookmarkEnd w:id="13"/>
      <w:r w:rsidDel="00000000" w:rsidR="00000000" w:rsidRPr="00000000">
        <w:rPr>
          <w:rtl w:val="0"/>
        </w:rPr>
        <w:t xml:space="preserve">1.1 Outline of the Argument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begin by empirically considering the possibility that there are exist specifiable generational signatures in the culture consumption behavior of Americans such that cohorts who experienced </w:t>
      </w:r>
      <w:r w:rsidDel="00000000" w:rsidR="00000000" w:rsidRPr="00000000">
        <w:rPr>
          <w:rtl w:val="0"/>
        </w:rPr>
        <w:t xml:space="preserve">significant transformations in the volume and diversity of available culture are more likely enact</w:t>
      </w:r>
      <w:r w:rsidDel="00000000" w:rsidR="00000000" w:rsidRPr="00000000">
        <w:rPr>
          <w:rtl w:val="0"/>
        </w:rPr>
        <w:t xml:space="preserve"> </w:t>
      </w:r>
      <w:r w:rsidDel="00000000" w:rsidR="00000000" w:rsidRPr="00000000">
        <w:rPr>
          <w:rtl w:val="0"/>
        </w:rPr>
        <w:t xml:space="preserve">“omnivorous” patterns of cultural engagement </w:t>
      </w:r>
      <w:r w:rsidDel="00000000" w:rsidR="00000000" w:rsidRPr="00000000">
        <w:rPr>
          <w:rtl w:val="0"/>
        </w:rPr>
        <w:t xml:space="preserve">(López-Sintas and Katz-Gerro 2005). In keeping with the reliance of omnivorousness studies on the Survey of Public Participation in the Arts (SPPA), we examine patterns of reported attendance at eight “core” activities (DiMaggio and Mukhtar 2004). We use the cumulative data file covering six waves of the SPPA (SPPS 1982-2012) to empirically establish the existence of an “omnivorous generation:” a cohort of persons who were born between 1930 and 1950, came of age roughly between 1945 and 1969, and are likely to have relatively high levels of engagement across all eight activities.</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make sense of this empirical pattern via an historical analysis documenting the exposure of this cohort to a novel (especially in relation to their immediate predecessors) set of experiences in and around the (American) arts. We show how cultural capitalists in New Deal arts agencies engaged in institutional entrepreneurship promoting the artistic valorization of a wide variety of newly certified forms of “vernacular” art</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rtl w:val="0"/>
        </w:rPr>
        <w:t xml:space="preserve">We then examine the consequences of organizational support for artistic production and dissemination provided by federal, state, and local governments in the New Deal era. This support promoted an institutional shift in the treatment of domestically produced culture and this diffused across the country over subsequent decades.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revealing the process by which an entire generation of Americans became relatively avid consumers of the arts, we are able to illuminate some of the organizational and institutional transformations that contributed to the rise of this taste public</w:t>
      </w:r>
      <w:r w:rsidDel="00000000" w:rsidR="00000000" w:rsidRPr="00000000">
        <w:rPr>
          <w:rtl w:val="0"/>
        </w:rPr>
        <w:t xml:space="preserve">.</w:t>
      </w:r>
      <w:r w:rsidDel="00000000" w:rsidR="00000000" w:rsidRPr="00000000">
        <w:rPr>
          <w:rtl w:val="0"/>
        </w:rPr>
        <w:t xml:space="preserve"> In showing that such dispositions carry over into contemporary differences in the culture consumption behavior of Americans via historical encoding, we demonstrate that events that occur in the past can have significant consequences in the present (Abbott 2016: 10). Demonstrating the processes linking institutional dynamics in the field of cultural production at a previous point in time, to the contemporary structure of the field of cultural consumption, is our primary </w:t>
      </w:r>
      <w:r w:rsidDel="00000000" w:rsidR="00000000" w:rsidRPr="00000000">
        <w:rPr>
          <w:rtl w:val="0"/>
        </w:rPr>
        <w:t xml:space="preserve">contribution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lu4iueo8wu3" w:id="14"/>
      <w:bookmarkEnd w:id="14"/>
      <w:r w:rsidDel="00000000" w:rsidR="00000000" w:rsidRPr="00000000">
        <w:rPr>
          <w:rtl w:val="0"/>
        </w:rPr>
        <w:t xml:space="preserve">2.0 Generations and Taste Publics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w:t>
      </w:r>
      <w:r w:rsidDel="00000000" w:rsidR="00000000" w:rsidRPr="00000000">
        <w:rPr>
          <w:rtl w:val="0"/>
        </w:rPr>
        <w:t xml:space="preserve">,</w:t>
      </w:r>
      <w:r w:rsidDel="00000000" w:rsidR="00000000" w:rsidRPr="00000000">
        <w:rPr>
          <w:rtl w:val="0"/>
        </w:rPr>
        <w:t xml:space="preserve"> and knowledge of important public events (e.g. Schuman and Corning 2000). </w:t>
      </w:r>
      <w:r w:rsidDel="00000000" w:rsidR="00000000" w:rsidRPr="00000000">
        <w:rPr>
          <w:rtl w:val="0"/>
        </w:rPr>
        <w:t xml:space="preserve">W</w:t>
      </w:r>
      <w:r w:rsidDel="00000000" w:rsidR="00000000" w:rsidRPr="00000000">
        <w:rPr>
          <w:rtl w:val="0"/>
        </w:rPr>
        <w:t xml:space="preserve">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w:t>
      </w:r>
      <w:r w:rsidDel="00000000" w:rsidR="00000000" w:rsidRPr="00000000">
        <w:rPr>
          <w:rtl w:val="0"/>
        </w:rPr>
        <w:t xml:space="preserve">features </w:t>
      </w:r>
      <w:r w:rsidDel="00000000" w:rsidR="00000000" w:rsidRPr="00000000">
        <w:rPr>
          <w:rtl w:val="0"/>
        </w:rPr>
        <w:t xml:space="preserve">and institutional processes.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w:t>
      </w:r>
      <w:r w:rsidDel="00000000" w:rsidR="00000000" w:rsidRPr="00000000">
        <w:rPr>
          <w:rtl w:val="0"/>
        </w:rPr>
        <w:t xml:space="preserve">macrosocial</w:t>
      </w:r>
      <w:r w:rsidDel="00000000" w:rsidR="00000000" w:rsidRPr="00000000">
        <w:rPr>
          <w:rtl w:val="0"/>
        </w:rPr>
        <w:t xml:space="preserve">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w:t>
      </w:r>
      <w:r w:rsidDel="00000000" w:rsidR="00000000" w:rsidRPr="00000000">
        <w:rPr>
          <w:rtl w:val="0"/>
        </w:rPr>
        <w:t xml:space="preserve">linking the institutional past with the behavioral present</w:t>
      </w:r>
      <w:r w:rsidDel="00000000" w:rsidR="00000000" w:rsidRPr="00000000">
        <w:rPr>
          <w:rtl w:val="0"/>
        </w:rPr>
        <w:t xml:space="preserve"> (Abbott 2016: 10; </w:t>
      </w:r>
      <w:r w:rsidDel="00000000" w:rsidR="00000000" w:rsidRPr="00000000">
        <w:rPr>
          <w:rtl w:val="0"/>
        </w:rPr>
        <w:t xml:space="preserve">Greve and Rao 2014</w:t>
      </w:r>
      <w:r w:rsidDel="00000000" w:rsidR="00000000" w:rsidRPr="00000000">
        <w:rPr>
          <w:rtl w:val="0"/>
        </w:rPr>
        <w:t xml:space="preserve">; Fishman and Lizardo 2013). Investigation of the features of omnivorous cultural consumption may serve as an ideal testbed for this process, as periods of intensive investment in the arts are often accompanied by the valorization of novel aesthetic objects; persons who came of age during these periods may “carry over” such dispositions to their engagement with art over time.</w:t>
      </w:r>
    </w:p>
    <w:p w:rsidR="00000000" w:rsidDel="00000000" w:rsidP="00000000" w:rsidRDefault="00000000" w:rsidRPr="00000000" w14:paraId="0000002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bxu9vivp5sk" w:id="15"/>
      <w:bookmarkEnd w:id="15"/>
      <w:r w:rsidDel="00000000" w:rsidR="00000000" w:rsidRPr="00000000">
        <w:rPr>
          <w:rtl w:val="0"/>
        </w:rPr>
        <w:t xml:space="preserve">2.1 Previous Work on Generational Shifts in Omnivorousness in the U.S.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American cultural omnivore was introduced in </w:t>
      </w:r>
      <w:r w:rsidDel="00000000" w:rsidR="00000000" w:rsidRPr="00000000">
        <w:rPr>
          <w:rtl w:val="0"/>
        </w:rPr>
        <w:t xml:space="preserve">Peterson and Simkus’s (1992)</w:t>
      </w:r>
      <w:r w:rsidDel="00000000" w:rsidR="00000000" w:rsidRPr="00000000">
        <w:rPr>
          <w:rtl w:val="0"/>
        </w:rPr>
        <w:t xml:space="preserve"> analysis of elites’ musical preferences, although earlier qualitative studies suggested it would be found (</w:t>
      </w:r>
      <w:r w:rsidDel="00000000" w:rsidR="00000000" w:rsidRPr="00000000">
        <w:rPr>
          <w:i w:val="1"/>
          <w:iCs w:val="1"/>
          <w:rtl w:val="0"/>
        </w:rPr>
        <w:t xml:space="preserve">cf.</w:t>
      </w:r>
      <w:r w:rsidDel="00000000" w:rsidR="00000000" w:rsidRPr="00000000">
        <w:rPr>
          <w:rtl w:val="0"/>
        </w:rPr>
        <w:t xml:space="preserve"> Lynes 1954; Shils 1958; Lamont </w:t>
      </w:r>
      <w:r w:rsidDel="00000000" w:rsidR="00000000" w:rsidRPr="00000000">
        <w:rPr>
          <w:rtl w:val="0"/>
        </w:rPr>
        <w:t xml:space="preserve">1992</w:t>
      </w:r>
      <w:r w:rsidDel="00000000" w:rsidR="00000000" w:rsidRPr="00000000">
        <w:rPr>
          <w:rtl w:val="0"/>
        </w:rPr>
        <w:t xml:space="preserve">). Recent studies have predominantly relied upon </w:t>
      </w:r>
      <w:r w:rsidDel="00000000" w:rsidR="00000000" w:rsidRPr="00000000">
        <w:rPr>
          <w:rtl w:val="0"/>
        </w:rPr>
        <w:t xml:space="preserve">the SPPA’s data on cultural participation and taste, demonstrated a particular interest in music as a site of taste discrimination, and relied upon certain data reduction strategies.</w:t>
      </w:r>
      <w:r w:rsidDel="00000000" w:rsidR="00000000" w:rsidRPr="00000000">
        <w:rPr>
          <w:rtl w:val="0"/>
        </w:rPr>
        <w:t xml:space="preserve"> Peterson and Simkus collapsed ten music genre response categories into three: highbrow, middlebrow, and lowbrow. To be counted as an omnivore, the respondent had to express a preference for both highbrow genres (classical music and</w:t>
      </w:r>
      <w:r w:rsidDel="00000000" w:rsidR="00000000" w:rsidRPr="00000000">
        <w:rPr>
          <w:i w:val="1"/>
          <w:iCs w:val="1"/>
          <w:rtl w:val="0"/>
        </w:rPr>
        <w:t xml:space="preserve"> </w:t>
      </w:r>
      <w:r w:rsidDel="00000000" w:rsidR="00000000" w:rsidRPr="00000000">
        <w:rPr>
          <w:rtl w:val="0"/>
        </w:rPr>
        <w:t xml:space="preserve">opera), in addition to at least one other middle- or low-brow style. However, as Peterson and Rossman (</w:t>
      </w:r>
      <w:r w:rsidDel="00000000" w:rsidR="00000000" w:rsidRPr="00000000">
        <w:rPr>
          <w:rtl w:val="0"/>
        </w:rPr>
        <w:t xml:space="preserve">200</w:t>
      </w:r>
      <w:r w:rsidDel="00000000" w:rsidR="00000000" w:rsidRPr="00000000">
        <w:rPr>
          <w:rtl w:val="0"/>
        </w:rPr>
        <w:t xml:space="preserve">8) later argued, this measure binds the breadth of taste with the imputed social status of a style; consequently, both the narrow taste of the classical music, opera, and jazz fan</w:t>
      </w:r>
      <w:r w:rsidDel="00000000" w:rsidR="00000000" w:rsidRPr="00000000">
        <w:rPr>
          <w:rtl w:val="0"/>
        </w:rPr>
        <w:t xml:space="preserve">,</w:t>
      </w:r>
      <w:r w:rsidDel="00000000" w:rsidR="00000000" w:rsidRPr="00000000">
        <w:rPr>
          <w:rtl w:val="0"/>
        </w:rPr>
        <w:t xml:space="preserve"> and the broad taste of the “all of the above” listener, are included among the omnivores.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w:t>
      </w:r>
      <w:r w:rsidDel="00000000" w:rsidR="00000000" w:rsidRPr="00000000">
        <w:rPr>
          <w:rtl w:val="0"/>
        </w:rPr>
        <w:t xml:space="preserve"> alternative operationalization of omnivorousness counted the number of genre preferences for each respondent and labeled them omnivores if they fell above some (arbitrary) count threshold, </w:t>
      </w:r>
      <w:r w:rsidDel="00000000" w:rsidR="00000000" w:rsidRPr="00000000">
        <w:rPr>
          <w:rtl w:val="0"/>
        </w:rPr>
        <w:t xml:space="preserve">while another</w:t>
      </w:r>
      <w:r w:rsidDel="00000000" w:rsidR="00000000" w:rsidRPr="00000000">
        <w:rPr>
          <w:rtl w:val="0"/>
        </w:rPr>
        <w:t xml:space="preserve"> </w:t>
      </w:r>
      <w:r w:rsidDel="00000000" w:rsidR="00000000" w:rsidRPr="00000000">
        <w:rPr>
          <w:rtl w:val="0"/>
        </w:rPr>
        <w:t xml:space="preserve">specification </w:t>
      </w:r>
      <w:r w:rsidDel="00000000" w:rsidR="00000000" w:rsidRPr="00000000">
        <w:rPr>
          <w:rtl w:val="0"/>
        </w:rPr>
        <w:t xml:space="preserve">treated omnivorousness as a continuous variable in regression analyses (</w:t>
      </w:r>
      <w:r w:rsidDel="00000000" w:rsidR="00000000" w:rsidRPr="00000000">
        <w:rPr>
          <w:rtl w:val="0"/>
        </w:rPr>
        <w:t xml:space="preserve">Rossman and Peterson </w:t>
      </w:r>
      <w:r w:rsidDel="00000000" w:rsidR="00000000" w:rsidRPr="00000000">
        <w:rPr>
          <w:rtl w:val="0"/>
        </w:rPr>
        <w:t xml:space="preserve">2015</w:t>
      </w:r>
      <w:r w:rsidDel="00000000" w:rsidR="00000000" w:rsidRPr="00000000">
        <w:rPr>
          <w:rtl w:val="0"/>
        </w:rPr>
        <w:t xml:space="preserve">; for a review, see Peterson 2005). </w:t>
      </w:r>
      <w:r w:rsidDel="00000000" w:rsidR="00000000" w:rsidRPr="00000000">
        <w:rPr>
          <w:rtl w:val="0"/>
        </w:rPr>
        <w:t xml:space="preserve">Still o</w:t>
      </w:r>
      <w:r w:rsidDel="00000000" w:rsidR="00000000" w:rsidRPr="00000000">
        <w:rPr>
          <w:rtl w:val="0"/>
        </w:rPr>
        <w:t xml:space="preserve">thers subjected reports of attendance at cultural events to Multiple Correspondence Analysis, producing continuous dimensions that allow researchers to identify the most central and distal tastes, the latter of which are</w:t>
      </w:r>
      <w:r w:rsidDel="00000000" w:rsidR="00000000" w:rsidRPr="00000000">
        <w:rPr>
          <w:rtl w:val="0"/>
        </w:rPr>
        <w:t xml:space="preserve"> defined as</w:t>
      </w:r>
      <w:r w:rsidDel="00000000" w:rsidR="00000000" w:rsidRPr="00000000">
        <w:rPr>
          <w:rtl w:val="0"/>
        </w:rPr>
        <w:t xml:space="preserve"> “highbrow” activities (Lopes-Sintas and Katz-Gerro 2005). </w:t>
      </w:r>
      <w:r w:rsidDel="00000000" w:rsidR="00000000" w:rsidRPr="00000000">
        <w:rPr>
          <w:rtl w:val="0"/>
        </w:rPr>
        <w:t xml:space="preserve">Later works also distinguished omnivorousness, or breadth of taste, from frequency of engagement, or “voraciousness” (Katz-Gerro and Sullivan </w:t>
      </w:r>
      <w:r w:rsidDel="00000000" w:rsidR="00000000" w:rsidRPr="00000000">
        <w:rPr>
          <w:rtl w:val="0"/>
        </w:rPr>
        <w:t xml:space="preserve">2005</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interpretations of the omnivorousness phenomenon in the U.S. as comprising a categorical transformation in the cultural dispositions of elites ha</w:t>
      </w:r>
      <w:r w:rsidDel="00000000" w:rsidR="00000000" w:rsidRPr="00000000">
        <w:rPr>
          <w:rtl w:val="0"/>
        </w:rPr>
        <w:t xml:space="preserve">ve recently</w:t>
      </w:r>
      <w:r w:rsidDel="00000000" w:rsidR="00000000" w:rsidRPr="00000000">
        <w:rPr>
          <w:rtl w:val="0"/>
        </w:rPr>
        <w:t xml:space="preserve"> given way to more nuanced consideration</w:t>
      </w:r>
      <w:r w:rsidDel="00000000" w:rsidR="00000000" w:rsidRPr="00000000">
        <w:rPr>
          <w:rtl w:val="0"/>
        </w:rPr>
        <w:t xml:space="preserve">s</w:t>
      </w:r>
      <w:r w:rsidDel="00000000" w:rsidR="00000000" w:rsidRPr="00000000">
        <w:rPr>
          <w:rtl w:val="0"/>
        </w:rPr>
        <w:t xml:space="preserve"> of historical specificity and complex temporal dynamics. For instance, in the U.S., Rossman and Peterson (</w:t>
      </w:r>
      <w:r w:rsidDel="00000000" w:rsidR="00000000" w:rsidRPr="00000000">
        <w:rPr>
          <w:rtl w:val="0"/>
        </w:rPr>
        <w:t xml:space="preserve">2015</w:t>
      </w:r>
      <w:r w:rsidDel="00000000" w:rsidR="00000000" w:rsidRPr="00000000">
        <w:rPr>
          <w:rtl w:val="0"/>
        </w:rPr>
        <w:t xml:space="preserve">) show that by 2002 the proportion of the population that could be classified as “</w:t>
      </w:r>
      <w:r w:rsidDel="00000000" w:rsidR="00000000" w:rsidRPr="00000000">
        <w:rPr>
          <w:rtl w:val="0"/>
        </w:rPr>
        <w:t xml:space="preserve">highbrow </w:t>
      </w:r>
      <w:r w:rsidDel="00000000" w:rsidR="00000000" w:rsidRPr="00000000">
        <w:rPr>
          <w:rtl w:val="0"/>
        </w:rPr>
        <w:t xml:space="preserve">omnivores,” using Peterson and Kern’s (1996) definition, had receded to the same level as 1982, and remained low in the next (2008) survey </w:t>
      </w:r>
      <w:r w:rsidDel="00000000" w:rsidR="00000000" w:rsidRPr="00000000">
        <w:rPr>
          <w:rtl w:val="0"/>
        </w:rPr>
        <w:t xml:space="preserve">wave</w:t>
      </w:r>
      <w:r w:rsidDel="00000000" w:rsidR="00000000" w:rsidRPr="00000000">
        <w:rPr>
          <w:rtl w:val="0"/>
        </w:rPr>
        <w:t xml:space="preserve">. These results suggest that the trend towards greater omnivorousness reported by Peterson and Kern (1996) is not linear, and may have possibly reversed in younger cohorts.</w:t>
      </w:r>
      <w:r w:rsidDel="00000000" w:rsidR="00000000" w:rsidRPr="00000000">
        <w:rPr>
          <w:vertAlign w:val="superscript"/>
        </w:rPr>
        <w:footnoteReference w:customMarkFollows="0" w:id="2"/>
      </w:r>
      <w:r w:rsidDel="00000000" w:rsidR="00000000" w:rsidRPr="00000000">
        <w:rPr>
          <w:rtl w:val="0"/>
        </w:rPr>
        <w:t xml:space="preserve"> This effect may be a function of cohort replacement as older, more omnivorous cohorts are exiting via mortality. This points toward the possible existence of a generation-specific effect such that the conditions that generated omnivorousness in the older cohorts have </w:t>
      </w:r>
      <w:r w:rsidDel="00000000" w:rsidR="00000000" w:rsidRPr="00000000">
        <w:rPr>
          <w:rtl w:val="0"/>
        </w:rPr>
        <w:t xml:space="preserve">dissipated</w:t>
      </w:r>
      <w:r w:rsidDel="00000000" w:rsidR="00000000" w:rsidRPr="00000000">
        <w:rPr>
          <w:rtl w:val="0"/>
        </w:rPr>
        <w:t xml:space="preserve">, making younger respondents less omnivorous than their </w:t>
      </w:r>
      <w:r w:rsidDel="00000000" w:rsidR="00000000" w:rsidRPr="00000000">
        <w:rPr>
          <w:rtl w:val="0"/>
        </w:rPr>
        <w:t xml:space="preserve">parents</w:t>
      </w:r>
      <w:r w:rsidDel="00000000" w:rsidR="00000000" w:rsidRPr="00000000">
        <w:rPr>
          <w:rtl w:val="0"/>
        </w:rPr>
        <w:t xml:space="preserve">. Rossman and Peterson’s (2015) account is consistent with the possibility, to be explored more fully below, that there exists an identifiable (and bounded) “omnivorous generation” in the U.S., rather than a unilinear trend affecting the population at large.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possibility is consistent with </w:t>
      </w:r>
      <w:r w:rsidDel="00000000" w:rsidR="00000000" w:rsidRPr="00000000">
        <w:rPr>
          <w:rtl w:val="0"/>
        </w:rPr>
        <w:t xml:space="preserve">López-Sintas</w:t>
      </w:r>
      <w:r w:rsidDel="00000000" w:rsidR="00000000" w:rsidRPr="00000000">
        <w:rPr>
          <w:rtl w:val="0"/>
        </w:rPr>
        <w:t xml:space="preserve"> and Katz-Gerro’s (2005) results, based on behavioral rather than taste-based indicators of the omnivorous disposition, and taken from three waves (1982, 1992, 2002) of the SPPA. They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r w:rsidDel="00000000" w:rsidR="00000000" w:rsidRPr="00000000">
        <w:rPr>
          <w:rtl w:val="0"/>
        </w:rPr>
        <w:t xml:space="preserve">Taken</w:t>
      </w:r>
      <w:r w:rsidDel="00000000" w:rsidR="00000000" w:rsidRPr="00000000">
        <w:rPr>
          <w:rtl w:val="0"/>
        </w:rPr>
        <w:t xml:space="preserve"> together, this work points to the possibility of non-negligible generational patterning of omnivorousness in the U.S.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analyze the same data source and behavioral indicators of engagement as López-Sintas and Katz-Gerro (2005), but augment the cumulative data set with the two most recent survey waves (2008 and 2012),</w:t>
      </w:r>
      <w:r w:rsidDel="00000000" w:rsidR="00000000" w:rsidRPr="00000000">
        <w:rPr>
          <w:rtl w:val="0"/>
        </w:rPr>
        <w:t xml:space="preserve"> while relying</w:t>
      </w:r>
      <w:r w:rsidDel="00000000" w:rsidR="00000000" w:rsidRPr="00000000">
        <w:rPr>
          <w:rtl w:val="0"/>
        </w:rPr>
        <w:t xml:space="preserve"> on a technique explicitly developed to tease out cohort from period and age effects in substantively meaningful ways (Yang and Land 2006, 2008; Reeves 2015). </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s2meaoynz0fh" w:id="16"/>
      <w:bookmarkEnd w:id="16"/>
      <w:r w:rsidDel="00000000" w:rsidR="00000000" w:rsidRPr="00000000">
        <w:rPr>
          <w:rtl w:val="0"/>
        </w:rPr>
        <w:t xml:space="preserve">2.</w:t>
      </w:r>
      <w:r w:rsidDel="00000000" w:rsidR="00000000" w:rsidRPr="00000000">
        <w:rPr>
          <w:rtl w:val="0"/>
        </w:rPr>
        <w:t xml:space="preserve">2</w:t>
      </w:r>
      <w:r w:rsidDel="00000000" w:rsidR="00000000" w:rsidRPr="00000000">
        <w:rPr>
          <w:rtl w:val="0"/>
        </w:rPr>
        <w:t xml:space="preserve"> Survey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rely on the cumulative data file containing six waves of the the Survey of Public Participation in the Arts (SPPA), covering 30 years (1982-2012).</w:t>
      </w:r>
      <w:r w:rsidDel="00000000" w:rsidR="00000000" w:rsidRPr="00000000">
        <w:rPr>
          <w:vertAlign w:val="superscript"/>
        </w:rPr>
        <w:footnoteReference w:customMarkFollows="0" w:id="3"/>
      </w:r>
      <w:r w:rsidDel="00000000" w:rsidR="00000000" w:rsidRPr="00000000">
        <w:rPr>
          <w:rtl w:val="0"/>
        </w:rPr>
        <w:t xml:space="preserve"> The SPPA is sponsored by the Research Division of the National Endowment for the Arts (</w:t>
      </w:r>
      <w:hyperlink r:id="rId9">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w:t>
      </w:r>
      <w:r w:rsidDel="00000000" w:rsidR="00000000" w:rsidRPr="00000000">
        <w:rPr>
          <w:rtl w:val="0"/>
        </w:rPr>
        <w:t xml:space="preserve">Survey</w:t>
      </w:r>
      <w:r w:rsidDel="00000000" w:rsidR="00000000" w:rsidRPr="00000000">
        <w:rPr>
          <w:rtl w:val="0"/>
        </w:rPr>
        <w:t xml:space="preserve">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w:t>
      </w:r>
      <w:r w:rsidDel="00000000" w:rsidR="00000000" w:rsidRPr="00000000">
        <w:rPr>
          <w:rtl w:val="0"/>
        </w:rPr>
        <w:t xml:space="preserve">here</w:t>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SPPA is appropriate for our purpose for several reasons. First, these data have been used to establish a good portion of the research on omnivorousness in the U.S.; in order to provide an alternative explanation of this phenomenon we utilize the same data source. In keeping with current trends in the field, our operationalization makes use of all the key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SPPA items include genres with stable canons that enjoy generations of fans (classical, ballet, opera). They also include genres with dynamic content, many active sub-genres, and which enjoyed recent artistic legitimation efforts (jazz, musical). As DiMaggio and Mukhtar (2004: 175) note,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Any discovery of the enabling effect of cohort membership on engagement across these activities would provide strong evidence for generational effects on omnivorousness.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bulk of studies have focused on the effect of individual level characteristics (even if they have cohort signatures--like education) as predictors of broad and vigorous cultural engagement. Our analytic approach breaks with previous work in conceptualizing omnivorousness as a </w:t>
      </w:r>
      <w:r w:rsidDel="00000000" w:rsidR="00000000" w:rsidRPr="00000000">
        <w:rPr>
          <w:i w:val="1"/>
          <w:iCs w:val="1"/>
          <w:rtl w:val="0"/>
        </w:rPr>
        <w:t xml:space="preserve">group-level</w:t>
      </w:r>
      <w:r w:rsidDel="00000000" w:rsidR="00000000" w:rsidRPr="00000000">
        <w:rPr>
          <w:rtl w:val="0"/>
        </w:rPr>
        <w:t xml:space="preserve"> phenomenon with potential generational signatures. </w:t>
      </w:r>
      <w:r w:rsidDel="00000000" w:rsidR="00000000" w:rsidRPr="00000000">
        <w:rPr>
          <w:rtl w:val="0"/>
        </w:rPr>
        <w:t xml:space="preserve">Accordingly, we</w:t>
      </w:r>
      <w:r w:rsidDel="00000000" w:rsidR="00000000" w:rsidRPr="00000000">
        <w:rPr>
          <w:rtl w:val="0"/>
        </w:rPr>
        <w:t xml:space="preserve"> treat these repeated cross-sections as interlinked “cohort panels” data since they should preserve whatever continuities in generation-specific aesthetic dispositions are tapped by the core items covered in the cumulative file (Abbott 2016: 9). </w:t>
      </w:r>
      <w:r w:rsidDel="00000000" w:rsidR="00000000" w:rsidRPr="00000000">
        <w:rPr>
          <w:rtl w:val="0"/>
        </w:rPr>
        <w:t xml:space="preserve">Our goal is to explore the possibility of effects on individual cultural engagement traceable to each person’s membership in cohorts of art consumers. In what follows, our aim is to ascertain whether we can speak of an “omnivorous generation” with breadth of engagement being predicated as a distinctive feature at that level of analysis.     </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data source does have its limitations. For instance, the only way to establish over-time comparability is to fix the category labels for cultural activities. This introduces some artificial homogeneity into the analysis, since it ignores the historically dynamic nature of the artistic categories themselves (Lopes 2002</w:t>
      </w:r>
      <w:r w:rsidDel="00000000" w:rsidR="00000000" w:rsidRPr="00000000">
        <w:rPr>
          <w:rtl w:val="0"/>
        </w:rPr>
        <w:t xml:space="preserve">; Lena 2012</w:t>
      </w:r>
      <w:r w:rsidDel="00000000" w:rsidR="00000000" w:rsidRPr="00000000">
        <w:rPr>
          <w:rtl w:val="0"/>
        </w:rPr>
        <w:t xml:space="preserve">). However, the dynamic nature of these categories is less worrisome if we assume that more or less the same disposition towards aesthetic consumption can be transposed to new contexts (Lizardo and Skiles 2012). The fact that the SPPA can only report whether a particular person reports preferences or activities at any point in time,</w:t>
      </w:r>
      <w:r w:rsidDel="00000000" w:rsidR="00000000" w:rsidRPr="00000000">
        <w:rPr>
          <w:rtl w:val="0"/>
        </w:rPr>
        <w:t xml:space="preserve"> </w:t>
      </w:r>
      <w:r w:rsidDel="00000000" w:rsidR="00000000" w:rsidRPr="00000000">
        <w:rPr>
          <w:rtl w:val="0"/>
        </w:rPr>
        <w:t xml:space="preserve">but does not reveal the way that this category is engemented (e.g. the “how” of consumption), is a more significant limitation, although it is one that this study shares with all other survey-based work on the subject. </w:t>
      </w:r>
    </w:p>
    <w:p w:rsidR="00000000" w:rsidDel="00000000" w:rsidP="00000000" w:rsidRDefault="00000000" w:rsidRPr="00000000" w14:paraId="0000002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q32j581tln8" w:id="17"/>
      <w:bookmarkEnd w:id="17"/>
      <w:r w:rsidDel="00000000" w:rsidR="00000000" w:rsidRPr="00000000">
        <w:rPr>
          <w:rtl w:val="0"/>
        </w:rPr>
        <w:t xml:space="preserve">2.3 Outcome: Arts Participation in “Core” Activities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w:t>
      </w:r>
      <w:r w:rsidDel="00000000" w:rsidR="00000000" w:rsidRPr="00000000">
        <w:rPr>
          <w:rtl w:val="0"/>
        </w:rPr>
        <w:t xml:space="preserve">shows</w:t>
      </w:r>
      <w:r w:rsidDel="00000000" w:rsidR="00000000" w:rsidRPr="00000000">
        <w:rPr>
          <w:rtl w:val="0"/>
        </w:rPr>
        <w:t xml:space="preserve"> the percentage of respondents </w:t>
      </w:r>
      <w:r w:rsidDel="00000000" w:rsidR="00000000" w:rsidRPr="00000000">
        <w:rPr>
          <w:rtl w:val="0"/>
        </w:rPr>
        <w:t xml:space="preserve">who </w:t>
      </w:r>
      <w:r w:rsidDel="00000000" w:rsidR="00000000" w:rsidRPr="00000000">
        <w:rPr>
          <w:rtl w:val="0"/>
        </w:rPr>
        <w:t xml:space="preserve">report</w:t>
      </w:r>
      <w:r w:rsidDel="00000000" w:rsidR="00000000" w:rsidRPr="00000000">
        <w:rPr>
          <w:rtl w:val="0"/>
        </w:rPr>
        <w:t xml:space="preserve">ed</w:t>
      </w:r>
      <w:r w:rsidDel="00000000" w:rsidR="00000000" w:rsidRPr="00000000">
        <w:rPr>
          <w:rtl w:val="0"/>
        </w:rPr>
        <w:t xml:space="preserve"> having attended each activity </w:t>
      </w:r>
      <w:r w:rsidDel="00000000" w:rsidR="00000000" w:rsidRPr="00000000">
        <w:rPr>
          <w:rtl w:val="0"/>
        </w:rPr>
        <w:t xml:space="preserve">for all six survey waves</w:t>
      </w:r>
      <w:r w:rsidDel="00000000" w:rsidR="00000000" w:rsidRPr="00000000">
        <w:rPr>
          <w:rtl w:val="0"/>
        </w:rPr>
        <w:t xml:space="preserve">. The </w:t>
      </w:r>
      <w:r w:rsidDel="00000000" w:rsidR="00000000" w:rsidRPr="00000000">
        <w:rPr>
          <w:rtl w:val="0"/>
        </w:rPr>
        <w:t xml:space="preserve">table</w:t>
      </w:r>
      <w:r w:rsidDel="00000000" w:rsidR="00000000" w:rsidRPr="00000000">
        <w:rPr>
          <w:rtl w:val="0"/>
        </w:rPr>
        <w:t xml:space="preserve"> also reports the number of respondents for whom we have non-missing data on each item in each year. We fit logistic regression models to each separately.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1 About Here] </w:t>
      </w:r>
    </w:p>
    <w:p w:rsidR="00000000" w:rsidDel="00000000" w:rsidP="00000000" w:rsidRDefault="00000000" w:rsidRPr="00000000" w14:paraId="00000034">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n7v4asj538yz" w:id="18"/>
      <w:bookmarkEnd w:id="18"/>
      <w:r w:rsidDel="00000000" w:rsidR="00000000" w:rsidRPr="00000000">
        <w:rPr>
          <w:rtl w:val="0"/>
        </w:rPr>
        <w:t xml:space="preserve">2.4 Statistical Model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Though simple conceptually, the estimation </w:t>
      </w:r>
      <w:r w:rsidDel="00000000" w:rsidR="00000000" w:rsidRPr="00000000">
        <w:rPr>
          <w:rtl w:val="0"/>
        </w:rPr>
        <w:t xml:space="preserve">of </w:t>
      </w:r>
      <w:r w:rsidDel="00000000" w:rsidR="00000000" w:rsidRPr="00000000">
        <w:rPr>
          <w:rtl w:val="0"/>
        </w:rPr>
        <w:t xml:space="preserve">cohort (generational) effects is not a straightforward exercise. The </w:t>
      </w:r>
      <w:r w:rsidDel="00000000" w:rsidR="00000000" w:rsidRPr="00000000">
        <w:rPr>
          <w:rtl w:val="0"/>
        </w:rPr>
        <w:t xml:space="preserve">issue</w:t>
      </w:r>
      <w:r w:rsidDel="00000000" w:rsidR="00000000" w:rsidRPr="00000000">
        <w:rPr>
          <w:rtl w:val="0"/>
        </w:rPr>
        <w:t xml:space="preserv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 </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Substantively, Yang and Land’s (2006) </w:t>
      </w:r>
      <w:r w:rsidDel="00000000" w:rsidR="00000000" w:rsidRPr="00000000">
        <w:rPr>
          <w:rtl w:val="0"/>
        </w:rPr>
        <w:t xml:space="preserve">hierarchical age-period-cohort (</w:t>
      </w:r>
      <w:r w:rsidDel="00000000" w:rsidR="00000000" w:rsidRPr="00000000">
        <w:rPr>
          <w:rtl w:val="0"/>
        </w:rPr>
        <w:t xml:space="preserve">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w:t>
      </w:r>
      <w:r w:rsidDel="00000000" w:rsidR="00000000" w:rsidRPr="00000000">
        <w:rPr>
          <w:rtl w:val="0"/>
        </w:rPr>
        <w:t xml:space="preserve">Consistent with our goal of uncovering omnivorous generations, a</w:t>
      </w:r>
      <w:r w:rsidDel="00000000" w:rsidR="00000000" w:rsidRPr="00000000">
        <w:rPr>
          <w:rtl w:val="0"/>
        </w:rPr>
        <w:t xml:space="preserve">n individual’s assignment to a given cohort </w:t>
      </w:r>
      <w:r w:rsidDel="00000000" w:rsidR="00000000" w:rsidRPr="00000000">
        <w:rPr>
          <w:rtl w:val="0"/>
        </w:rPr>
        <w:t xml:space="preserve">(and period) is</w:t>
      </w:r>
      <w:r w:rsidDel="00000000" w:rsidR="00000000" w:rsidRPr="00000000">
        <w:rPr>
          <w:rtl w:val="0"/>
        </w:rPr>
        <w:t xml:space="preserve">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w:t>
      </w:r>
      <w:r w:rsidDel="00000000" w:rsidR="00000000" w:rsidRPr="00000000">
        <w:rPr>
          <w:rtl w:val="0"/>
        </w:rPr>
        <w:t xml:space="preserve">. The partially overlapping nature of cohort and period memberships implies that, in the context of a repeated cross-</w:t>
      </w:r>
      <w:r w:rsidDel="00000000" w:rsidR="00000000" w:rsidRPr="00000000">
        <w:rPr>
          <w:rtl w:val="0"/>
        </w:rPr>
        <w:t xml:space="preserve">sections</w:t>
      </w:r>
      <w:r w:rsidDel="00000000" w:rsidR="00000000" w:rsidRPr="00000000">
        <w:rPr>
          <w:rtl w:val="0"/>
        </w:rPr>
        <w:t xml:space="preserve"> survey design (such as the cumulative SPPA), time periods are not fully nested within cohorts or vice versa (as in standard multilevel models in which persons are embedded within fully overlapping contexts such as schools and neighborhoods).</w:t>
      </w:r>
      <w:r w:rsidDel="00000000" w:rsidR="00000000" w:rsidRPr="00000000">
        <w:rPr>
          <w:rtl w:val="0"/>
        </w:rPr>
        <w:t xml:space="preserve"> Rather, one obtains a “cross-classified” structure with individuals nested within cells defined by birth cohorts and time period.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Statistically, this yields the Cross-Classified Random Effects Models (CCREM;  see Yang and Land 2006, 2008 for technical details). </w:t>
      </w:r>
      <w:r w:rsidDel="00000000" w:rsidR="00000000" w:rsidRPr="00000000">
        <w:rPr>
          <w:rtl w:val="0"/>
        </w:rPr>
        <w:t xml:space="preserve">The cohort effect thus captures that which is distinctive of each generation and is carried forward via historical encoding; period effects capture purely contemporaneous influences, while age is held constant as an individual level trait</w:t>
      </w:r>
      <w:r w:rsidDel="00000000" w:rsidR="00000000" w:rsidRPr="00000000">
        <w:rPr>
          <w:rtl w:val="0"/>
        </w:rPr>
        <w:t xml:space="preserve">. Accordingly, we specify a crossed random-effects model for binary outcomes of the general form:</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200" w:lineRule="auto"/>
        <w:ind w:firstLine="288"/>
        <w:jc w:val="center"/>
        <w:rPr/>
      </w:pPr>
      <w:hyperlink r:id="rId10">
        <w:r w:rsidDel="00000000" w:rsidR="00000000" w:rsidRPr="00000000">
          <w:rPr/>
          <w:drawing>
            <wp:inline distB="19050" distT="19050" distL="19050" distR="19050">
              <wp:extent cx="3022600" cy="190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22600" cy="190500"/>
                      </a:xfrm>
                      <a:prstGeom prst="rect"/>
                      <a:ln/>
                    </pic:spPr>
                  </pic:pic>
                </a:graphicData>
              </a:graphic>
            </wp:inline>
          </w:drawing>
        </w:r>
      </w:hyperlink>
      <w:r w:rsidDel="00000000" w:rsidR="00000000" w:rsidRPr="00000000">
        <w:rPr>
          <w:rtl w:val="0"/>
        </w:rPr>
        <w:tab/>
        <w:tab/>
        <w:tab/>
        <w:tab/>
        <w:t xml:space="preserve">(1)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rtl w:val="0"/>
        </w:rPr>
        <w:t xml:space="preserve">at </w:t>
      </w:r>
      <w:r w:rsidDel="00000000" w:rsidR="00000000" w:rsidRPr="00000000">
        <w:rPr>
          <w:rtl w:val="0"/>
        </w:rPr>
        <w:t xml:space="preserve">5 year intervals), </w:t>
      </w:r>
      <w:r w:rsidDel="00000000" w:rsidR="00000000" w:rsidRPr="00000000">
        <w:rPr>
          <w:i w:val="1"/>
          <w:iCs w:val="1"/>
          <w:rtl w:val="0"/>
        </w:rPr>
        <w:t xml:space="preserve">υ</w:t>
      </w:r>
      <w:r w:rsidDel="00000000" w:rsidR="00000000" w:rsidRPr="00000000">
        <w:rPr>
          <w:i w:val="1"/>
          <w:iCs w:val="1"/>
          <w:vertAlign w:val="subscript"/>
          <w:rtl w:val="0"/>
        </w:rPr>
        <w:t xml:space="preserve">0k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the respondent’s age centered at (the grand mean of) 45 years, </w:t>
      </w:r>
      <w:r w:rsidDel="00000000" w:rsidR="00000000" w:rsidRPr="00000000">
        <w:rPr>
          <w:i w:val="1"/>
          <w:iCs w:val="1"/>
          <w:rtl w:val="0"/>
        </w:rPr>
        <w:t xml:space="preserve">age</w:t>
      </w:r>
      <w:r w:rsidDel="00000000" w:rsidR="00000000" w:rsidRPr="00000000">
        <w:rPr>
          <w:i w:val="1"/>
          <w:iCs w:val="1"/>
          <w:vertAlign w:val="superscript"/>
          <w:rtl w:val="0"/>
        </w:rPr>
        <w:t xml:space="preserve">2</w:t>
      </w:r>
      <w:r w:rsidDel="00000000" w:rsidR="00000000" w:rsidRPr="00000000">
        <w:rPr>
          <w:rtl w:val="0"/>
        </w:rPr>
        <w:t xml:space="preserve"> is the square of the respondent’s age, while</w:t>
      </w:r>
      <w:r w:rsidDel="00000000" w:rsidR="00000000" w:rsidRPr="00000000">
        <w:rPr>
          <w:rtl w:val="0"/>
        </w:rPr>
        <w:t xml:space="preserve"> </w:t>
      </w:r>
      <w:r w:rsidDel="00000000" w:rsidR="00000000" w:rsidRPr="00000000">
        <w:rPr>
          <w:rFonts w:ascii="Cardo" w:cs="Cardo" w:eastAsia="Cardo" w:hAnsi="Cardo"/>
          <w:i w:val="1"/>
          <w:iCs w:val="1"/>
          <w:rtl w:val="0"/>
        </w:rPr>
        <w:t xml:space="preserve">ꞵ</w:t>
      </w:r>
      <w:r w:rsidDel="00000000" w:rsidR="00000000" w:rsidRPr="00000000">
        <w:rPr>
          <w:i w:val="1"/>
          <w:iCs w:val="1"/>
          <w:vertAlign w:val="subscript"/>
          <w:rtl w:val="0"/>
        </w:rPr>
        <w:t xml:space="preserve">1</w:t>
      </w:r>
      <w:r w:rsidDel="00000000" w:rsidR="00000000" w:rsidRPr="00000000">
        <w:rPr>
          <w:vertAlign w:val="subscript"/>
          <w:rtl w:val="0"/>
        </w:rPr>
        <w:t xml:space="preserve"> </w:t>
      </w:r>
      <w:r w:rsidDel="00000000" w:rsidR="00000000" w:rsidRPr="00000000">
        <w:rPr>
          <w:rtl w:val="0"/>
        </w:rPr>
        <w:t xml:space="preserve">and </w:t>
      </w:r>
      <w:r w:rsidDel="00000000" w:rsidR="00000000" w:rsidRPr="00000000">
        <w:rPr>
          <w:rFonts w:ascii="Cardo" w:cs="Cardo" w:eastAsia="Cardo" w:hAnsi="Cardo"/>
          <w:i w:val="1"/>
          <w:iCs w:val="1"/>
          <w:rtl w:val="0"/>
        </w:rPr>
        <w:t xml:space="preserve">ꞵ</w:t>
      </w:r>
      <w:r w:rsidDel="00000000" w:rsidR="00000000" w:rsidRPr="00000000">
        <w:rPr>
          <w:i w:val="1"/>
          <w:iCs w:val="1"/>
          <w:vertAlign w:val="subscript"/>
          <w:rtl w:val="0"/>
        </w:rPr>
        <w:t xml:space="preserve">2</w:t>
      </w:r>
      <w:r w:rsidDel="00000000" w:rsidR="00000000" w:rsidRPr="00000000">
        <w:rPr>
          <w:rtl w:val="0"/>
        </w:rPr>
        <w:t xml:space="preserve"> a</w:t>
      </w:r>
      <w:r w:rsidDel="00000000" w:rsidR="00000000" w:rsidRPr="00000000">
        <w:rPr>
          <w:rtl w:val="0"/>
        </w:rPr>
        <w:t xml:space="preserve">re fixed regression weights</w:t>
      </w:r>
      <w:r w:rsidDel="00000000" w:rsidR="00000000" w:rsidRPr="00000000">
        <w:rPr>
          <w:rtl w:val="0"/>
        </w:rPr>
        <w:t xml:space="preserve">. The result of interest in this model will be an estimate of the age</w:t>
      </w:r>
      <w:r w:rsidDel="00000000" w:rsidR="00000000" w:rsidRPr="00000000">
        <w:rPr>
          <w:rtl w:val="0"/>
        </w:rPr>
        <w:t xml:space="preserve"> and period-</w:t>
      </w:r>
      <w:r w:rsidDel="00000000" w:rsidR="00000000" w:rsidRPr="00000000">
        <w:rPr>
          <w:rtl w:val="0"/>
        </w:rPr>
        <w:t xml:space="preserve">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exp(</w:t>
      </w:r>
      <w:r w:rsidDel="00000000" w:rsidR="00000000" w:rsidRPr="00000000">
        <w:rPr>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w:t>
      </w:r>
      <w:r w:rsidDel="00000000" w:rsidR="00000000" w:rsidRPr="00000000">
        <w:rPr>
          <w:rtl w:val="0"/>
        </w:rPr>
        <w:t xml:space="preserve">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period and age influences.</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w:t>
      </w:r>
      <w:r w:rsidDel="00000000" w:rsidR="00000000" w:rsidRPr="00000000">
        <w:rPr>
          <w:rtl w:val="0"/>
        </w:rPr>
        <w:t xml:space="preserve">Our use of these statistical models is not meant to be “explanatory” in the sense in which this term is sometimes misused in variables oriented analysis, but </w:t>
      </w:r>
      <w:r w:rsidDel="00000000" w:rsidR="00000000" w:rsidRPr="00000000">
        <w:rPr>
          <w:i w:val="1"/>
          <w:iCs w:val="1"/>
          <w:rtl w:val="0"/>
        </w:rPr>
        <w:t xml:space="preserve">descriptive</w:t>
      </w:r>
      <w:r w:rsidDel="00000000" w:rsidR="00000000" w:rsidRPr="00000000">
        <w:rPr>
          <w:rtl w:val="0"/>
        </w:rPr>
        <w:t xml:space="preserve"> (Spillman 2014). </w:t>
      </w:r>
      <w:r w:rsidDel="00000000" w:rsidR="00000000" w:rsidRPr="00000000">
        <w:rPr>
          <w:rtl w:val="0"/>
        </w:rPr>
        <w:t xml:space="preserve">Our strategy is to deploy this statistical framework to establish a broad, empirical pattern of generational effects on arts participation rates. The existence of this effect, as well as its specific patterning, become the phenomena to be further elucidated. </w:t>
      </w:r>
      <w:r w:rsidDel="00000000" w:rsidR="00000000" w:rsidRPr="00000000">
        <w:rPr>
          <w:rtl w:val="0"/>
        </w:rPr>
        <w:t xml:space="preserve">The goal is to then link cohorts distinguished by higher than 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3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ntaz5muwnfn" w:id="19"/>
      <w:bookmarkEnd w:id="19"/>
      <w:r w:rsidDel="00000000" w:rsidR="00000000" w:rsidRPr="00000000">
        <w:rPr>
          <w:rtl w:val="0"/>
        </w:rPr>
        <w:t xml:space="preserve">2.5 Hierarchical Age-Period-Cohort Model Results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HAPC models produce fixed effects estimates of the effects of age on cultural participation (</w:t>
      </w:r>
      <w:r w:rsidDel="00000000" w:rsidR="00000000" w:rsidRPr="00000000">
        <w:rPr>
          <w:i w:val="1"/>
          <w:iCs w:val="1"/>
          <w:rtl w:val="0"/>
        </w:rPr>
        <w:t xml:space="preserve">𝛽</w:t>
      </w:r>
      <w:r w:rsidDel="00000000" w:rsidR="00000000" w:rsidRPr="00000000">
        <w:rPr>
          <w:i w:val="1"/>
          <w:iCs w:val="1"/>
          <w:vertAlign w:val="subscript"/>
          <w:rtl w:val="0"/>
        </w:rPr>
        <w:t xml:space="preserve">1</w:t>
      </w:r>
      <w:r w:rsidDel="00000000" w:rsidR="00000000" w:rsidRPr="00000000">
        <w:rPr>
          <w:rtl w:val="0"/>
        </w:rPr>
        <w:t xml:space="preserve"> and </w:t>
      </w:r>
      <w:r w:rsidDel="00000000" w:rsidR="00000000" w:rsidRPr="00000000">
        <w:rPr>
          <w:i w:val="1"/>
          <w:iCs w:val="1"/>
          <w:rtl w:val="0"/>
        </w:rPr>
        <w:t xml:space="preserve">𝛽</w:t>
      </w:r>
      <w:r w:rsidDel="00000000" w:rsidR="00000000" w:rsidRPr="00000000">
        <w:rPr>
          <w:i w:val="1"/>
          <w:iCs w:val="1"/>
          <w:vertAlign w:val="subscript"/>
          <w:rtl w:val="0"/>
        </w:rPr>
        <w:t xml:space="preserve">2</w:t>
      </w:r>
      <w:r w:rsidDel="00000000" w:rsidR="00000000" w:rsidRPr="00000000">
        <w:rPr>
          <w:rtl w:val="0"/>
        </w:rPr>
        <w:t xml:space="preserve"> in equation 1), of more substantive interest are the random variance component estimates for the cohort (𝜐</w:t>
      </w:r>
      <w:r w:rsidDel="00000000" w:rsidR="00000000" w:rsidRPr="00000000">
        <w:rPr>
          <w:vertAlign w:val="subscript"/>
          <w:rtl w:val="0"/>
        </w:rPr>
        <w:t xml:space="preserve">0j</w:t>
      </w:r>
      <w:r w:rsidDel="00000000" w:rsidR="00000000" w:rsidRPr="00000000">
        <w:rPr>
          <w:rtl w:val="0"/>
        </w:rPr>
        <w:t xml:space="preserve">) and period (𝜐</w:t>
      </w:r>
      <w:r w:rsidDel="00000000" w:rsidR="00000000" w:rsidRPr="00000000">
        <w:rPr>
          <w:vertAlign w:val="subscript"/>
          <w:rtl w:val="0"/>
        </w:rPr>
        <w:t xml:space="preserve">0k</w:t>
      </w:r>
      <w:r w:rsidDel="00000000" w:rsidR="00000000" w:rsidRPr="00000000">
        <w:rPr>
          <w:rtl w:val="0"/>
        </w:rPr>
        <w:t xml:space="preserve">) group contexts for each outcome. These are shown in Table 2. These estimates give us a sense of whether we can identify cohort and period based on variation in art participation levels, above and beyond the effect of age. Not surprisingly, we find statistically significant cohort and period-based variance for all outcomes. Comparing the substantive magnitude cohort and period variance component estimates across participation outcomes, we can see that the cohort effect rivals the period effect in size for all outcomes except Ballet attendance. For three outcomes (Jazz, Classical, Musicals, and Art Museums) the cohort-based variance is substantially larger than the period-based variance; in the case of Art Festivals both are of equal (substantively significant) magnitude.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t xml:space="preserve">[Table 2 About Here]</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3 About Here]</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1 About Here]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sense of the magnitude of the cohort effect, we create an index (θ</w:t>
      </w:r>
      <w:r w:rsidDel="00000000" w:rsidR="00000000" w:rsidRPr="00000000">
        <w:rPr>
          <w:vertAlign w:val="subscript"/>
          <w:rtl w:val="0"/>
        </w:rPr>
        <w:t xml:space="preserve">j</w:t>
      </w:r>
      <w:r w:rsidDel="00000000" w:rsidR="00000000" w:rsidRPr="00000000">
        <w:rPr>
          <w:rtl w:val="0"/>
        </w:rPr>
        <w:t xml:space="preserve">) for each five-year cohort group comparing the expected probability of participation for each cohort group when the cohort effect is set to its estimate from the HAPC </w:t>
      </w:r>
      <w:r w:rsidDel="00000000" w:rsidR="00000000" w:rsidRPr="00000000">
        <w:rPr>
          <w:rtl w:val="0"/>
        </w:rPr>
        <w:t xml:space="preserve">model, and the expected probability of participation for those same individuals assuming that the cohort effect is zero, with the difference normalized with reference to the overall expected probability taking both period and cohort into account</w:t>
      </w:r>
      <w:r w:rsidDel="00000000" w:rsidR="00000000" w:rsidRPr="00000000">
        <w:rPr>
          <w:rtl w:val="0"/>
        </w:rPr>
        <w:t xml:space="preserve">.</w:t>
      </w:r>
      <w:r w:rsidDel="00000000" w:rsidR="00000000" w:rsidRPr="00000000">
        <w:rPr>
          <w:vertAlign w:val="superscript"/>
        </w:rPr>
        <w:footnoteReference w:customMarkFollows="0"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center"/>
        <w:rPr/>
      </w:pPr>
      <w:hyperlink r:id="rId12">
        <w:r w:rsidDel="00000000" w:rsidR="00000000" w:rsidRPr="00000000">
          <w:rPr/>
          <w:drawing>
            <wp:inline distB="19050" distT="19050" distL="19050" distR="19050">
              <wp:extent cx="2794000" cy="4064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94000" cy="406400"/>
                      </a:xfrm>
                      <a:prstGeom prst="rect"/>
                      <a:ln/>
                    </pic:spPr>
                  </pic:pic>
                </a:graphicData>
              </a:graphic>
            </wp:inline>
          </w:drawing>
        </w:r>
      </w:hyperlink>
      <w:r w:rsidDel="00000000" w:rsidR="00000000" w:rsidRPr="00000000">
        <w:rPr>
          <w:rtl w:val="0"/>
        </w:rPr>
        <w:tab/>
        <w:tab/>
        <w:tab/>
        <w:tab/>
        <w:tab/>
        <w:t xml:space="preserve">(</w:t>
      </w:r>
      <w:r w:rsidDel="00000000" w:rsidR="00000000" w:rsidRPr="00000000">
        <w:rPr>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gives us a substantively interpretable quantity: the percentage increase (decrease) in the probability of participation that is attributable to the group-level (generational) effect.  This allows comparison between activities with very different baseline participation rates such as Opera (relatively unpopular) and Art Festival attendance (relatively popular), and for which the absolute generational effect is larger and smaller respectively (DiMaggio and Mukhtar 2004).  This cohort effect index can be interpreted as a deviation </w:t>
      </w:r>
      <w:r w:rsidDel="00000000" w:rsidR="00000000" w:rsidRPr="00000000">
        <w:rPr>
          <w:rtl w:val="0"/>
        </w:rPr>
        <w:t xml:space="preserve">(in percentages) </w:t>
      </w:r>
      <w:r w:rsidDel="00000000" w:rsidR="00000000" w:rsidRPr="00000000">
        <w:rPr>
          <w:rtl w:val="0"/>
        </w:rPr>
        <w:t xml:space="preserve">from the expected likelihood of participation for each individual if we were to ignore the generational influence. Numbers above zero indicate that a member of that cohort is </w:t>
      </w:r>
      <w:r w:rsidDel="00000000" w:rsidR="00000000" w:rsidRPr="00000000">
        <w:rPr>
          <w:rtl w:val="0"/>
        </w:rPr>
        <w:t xml:space="preserve">more</w:t>
      </w:r>
      <w:r w:rsidDel="00000000" w:rsidR="00000000" w:rsidRPr="00000000">
        <w:rPr>
          <w:rtl w:val="0"/>
        </w:rPr>
        <w:t xml:space="preserve"> likely to be culturally active than expected, given that person’s age and the year in which they took the survey. Numbers below zero indicate that membership in the cohort depresses cultural participation in comparison to baseline expectations. Numbers close to zero indicate that members of that cohort participate at close to the expected rate for that age group and in that survey year.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cohort effect estimates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for each activity across all 21 cohort groups and for all eight SPPA core activities are shown in Table 3. Given the fact that the reader is being asked to keep track of 168 quantities, and to facilitate visual inspection of the overall pattern of results, cells in which the </w:t>
      </w:r>
      <w:r w:rsidDel="00000000" w:rsidR="00000000" w:rsidRPr="00000000">
        <w:rPr>
          <w:i w:val="1"/>
          <w:iCs w:val="1"/>
          <w:rtl w:val="0"/>
        </w:rPr>
        <w:t xml:space="preserve">θ</w:t>
      </w:r>
      <w:r w:rsidDel="00000000" w:rsidR="00000000" w:rsidRPr="00000000">
        <w:rPr>
          <w:vertAlign w:val="subscript"/>
          <w:rtl w:val="0"/>
        </w:rPr>
        <w:t xml:space="preserve">j </w:t>
      </w:r>
      <w:r w:rsidDel="00000000" w:rsidR="00000000" w:rsidRPr="00000000">
        <w:rPr>
          <w:rtl w:val="0"/>
        </w:rPr>
        <w:t xml:space="preserve">&gt; 10% are shaded in blue, while cells in which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&lt; 10% are shaded in red. The rest of the cells (e.g.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w:t>
      </w:r>
      <w:r w:rsidDel="00000000" w:rsidR="00000000" w:rsidRPr="00000000">
        <w:rPr>
          <w:rFonts w:ascii="Gungsuh" w:cs="Gungsuh" w:eastAsia="Gungsuh" w:hAnsi="Gungsuh"/>
          <w:sz w:val="16"/>
          <w:szCs w:val="16"/>
          <w:rtl w:val="0"/>
        </w:rPr>
        <w:t xml:space="preserve">≦</w:t>
      </w:r>
      <w:r w:rsidDel="00000000" w:rsidR="00000000" w:rsidRPr="00000000">
        <w:rPr>
          <w:rtl w:val="0"/>
        </w:rPr>
        <w:t xml:space="preserve">|10|) are shaded in gray, we also present a visual representation of these results in Figure 1.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direction and magnitude of the cohort effects across different participation rates reveal a clear pattern of generational clustering. Across putatively distinct arts-participation practices, we find that, with few exceptions, cohorts born between 1930 and 195</w:t>
      </w:r>
      <w:r w:rsidDel="00000000" w:rsidR="00000000" w:rsidRPr="00000000">
        <w:rPr>
          <w:rtl w:val="0"/>
        </w:rPr>
        <w:t xml:space="preserve">0</w:t>
      </w:r>
      <w:r w:rsidDel="00000000" w:rsidR="00000000" w:rsidRPr="00000000">
        <w:rPr>
          <w:rtl w:val="0"/>
        </w:rPr>
        <w:t xml:space="preserve"> have higher positive deviations in expected engagement than their earlier born counterparts. Because the distribution of age becomes truncated as we move to more recently born cohorts (or move</w:t>
      </w:r>
      <w:r w:rsidDel="00000000" w:rsidR="00000000" w:rsidRPr="00000000">
        <w:rPr>
          <w:rtl w:val="0"/>
        </w:rPr>
        <w:t xml:space="preserve"> back</w:t>
      </w:r>
      <w:r w:rsidDel="00000000" w:rsidR="00000000" w:rsidRPr="00000000">
        <w:rPr>
          <w:rtl w:val="0"/>
        </w:rPr>
        <w:t xml:space="preserve">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does sanction the designation of these generations as (comparatively) “</w:t>
      </w:r>
      <w:r w:rsidDel="00000000" w:rsidR="00000000" w:rsidRPr="00000000">
        <w:rPr>
          <w:rtl w:val="0"/>
        </w:rPr>
        <w:t xml:space="preserve">omnivorous</w:t>
      </w:r>
      <w:r w:rsidDel="00000000" w:rsidR="00000000" w:rsidRPr="00000000">
        <w:rPr>
          <w:rtl w:val="0"/>
        </w:rPr>
        <w:t xml:space="preser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a person born between 1940 and 1944 is about 36% more likely than expected to have attended a Jazz concert in the year before they completed the survey, 39% more likely to have attended the </w:t>
      </w:r>
      <w:r w:rsidDel="00000000" w:rsidR="00000000" w:rsidRPr="00000000">
        <w:rPr>
          <w:rtl w:val="0"/>
        </w:rPr>
        <w:t xml:space="preserve">S</w:t>
      </w:r>
      <w:r w:rsidDel="00000000" w:rsidR="00000000" w:rsidRPr="00000000">
        <w:rPr>
          <w:rtl w:val="0"/>
        </w:rPr>
        <w:t xml:space="preserve">ymphony, and 22% more likely to have gone to an Arts Festival. A</w:t>
      </w:r>
      <w:r w:rsidDel="00000000" w:rsidR="00000000" w:rsidRPr="00000000">
        <w:rPr>
          <w:rtl w:val="0"/>
        </w:rPr>
        <w:t xml:space="preserve"> person born between 1945 and 1949 is about 12% more likely than expected to report having attended the Ballet, 26% more likely to have gone to an Art Museum, and 22% more likely to have gone to a Historical Park or Monument</w:t>
      </w:r>
      <w:r w:rsidDel="00000000" w:rsidR="00000000" w:rsidRPr="00000000">
        <w:rPr>
          <w:rtl w:val="0"/>
        </w:rPr>
        <w:t xml:space="preserve">.</w:t>
      </w:r>
      <w:r w:rsidDel="00000000" w:rsidR="00000000" w:rsidRPr="00000000">
        <w:rPr>
          <w:rtl w:val="0"/>
        </w:rPr>
        <w:t xml:space="preserve"> As </w:t>
      </w:r>
      <w:r w:rsidDel="00000000" w:rsidR="00000000" w:rsidRPr="00000000">
        <w:rPr>
          <w:rtl w:val="0"/>
        </w:rPr>
        <w:t xml:space="preserve">indicated </w:t>
      </w:r>
      <w:r w:rsidDel="00000000" w:rsidR="00000000" w:rsidRPr="00000000">
        <w:rPr>
          <w:rtl w:val="0"/>
        </w:rPr>
        <w:t xml:space="preserve">by the red and gray shaded cells surrounding members of the 1930 - 1950 generational cluster, cohorts born before and after are characterized by either a </w:t>
      </w:r>
      <w:r w:rsidDel="00000000" w:rsidR="00000000" w:rsidRPr="00000000">
        <w:rPr>
          <w:rtl w:val="0"/>
        </w:rPr>
        <w:t xml:space="preserve">lower or close to baseline likelihood of participati</w:t>
      </w:r>
      <w:r w:rsidDel="00000000" w:rsidR="00000000" w:rsidRPr="00000000">
        <w:rPr>
          <w:rtl w:val="0"/>
        </w:rPr>
        <w:t xml:space="preserve">ng in each activity.</w:t>
      </w:r>
      <w:r w:rsidDel="00000000" w:rsidR="00000000" w:rsidRPr="00000000">
        <w:rPr>
          <w:color w:val="ff0000"/>
          <w:rtl w:val="0"/>
        </w:rPr>
        <w:t xml:space="preserve"> </w:t>
      </w:r>
      <w:r w:rsidDel="00000000" w:rsidR="00000000" w:rsidRPr="00000000">
        <w:rPr>
          <w:rtl w:val="0"/>
        </w:rPr>
        <w:t xml:space="preserve">This underscores the distinctiveness of the relatively avid participation rates of the omnivorous generation in relation to their predecessors and, to a lesser extent, their immediate </w:t>
      </w:r>
      <w:r w:rsidDel="00000000" w:rsidR="00000000" w:rsidRPr="00000000">
        <w:rPr>
          <w:rtl w:val="0"/>
        </w:rPr>
        <w:t xml:space="preserve">descendants</w:t>
      </w:r>
      <w:r w:rsidDel="00000000" w:rsidR="00000000" w:rsidRPr="00000000">
        <w:rPr>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generational clustering of positive deviations is even more remarkable since, with some small exceptions (e.g.</w:t>
      </w:r>
      <w:r w:rsidDel="00000000" w:rsidR="00000000" w:rsidRPr="00000000">
        <w:rPr>
          <w:rtl w:val="0"/>
        </w:rPr>
        <w:t xml:space="preserve">,</w:t>
      </w:r>
      <w:r w:rsidDel="00000000" w:rsidR="00000000" w:rsidRPr="00000000">
        <w:rPr>
          <w:rtl w:val="0"/>
        </w:rPr>
        <w:t xml:space="preserve"> Ballet for persons born between 1930 and 1934 and Musicals for persons born between 1945 and 1954) it extends across the entire range of forms of arts participation tracked by the SPPA, including those legitimated in the nineteenth century (such as Symphonies and Art Museums), those that were more recently legitimated (</w:t>
      </w:r>
      <w:r w:rsidDel="00000000" w:rsidR="00000000" w:rsidRPr="00000000">
        <w:rPr>
          <w:rtl w:val="0"/>
        </w:rPr>
        <w:t xml:space="preserve">Jazz</w:t>
      </w:r>
      <w:r w:rsidDel="00000000" w:rsidR="00000000" w:rsidRPr="00000000">
        <w:rPr>
          <w:rtl w:val="0"/>
        </w:rPr>
        <w:t xml:space="preserve">), and those that have never been the subject of explicit, elite-led legitimation campaigns (Musicals). In addition, the generational clustering pattern encompasses practices with relatively wide appeal (such as Craft Fairs and Art Festivals), and practices in which only a small minority of the population claims to participation at any one time (see Table 1).</w:t>
      </w:r>
      <w:r w:rsidDel="00000000" w:rsidR="00000000" w:rsidRPr="00000000">
        <w:rPr>
          <w:rtl w:val="0"/>
        </w:rPr>
        <w:t xml:space="preserve"> That the omnivorous generation reports their enjoyment of both old and new culture, and styles that are both dynamic and stable, provides additional support for our argument.</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1 provides a plots the distribution of effects shown in the Table (on the y-axis) across 5-year cohort groups (on the x-axis) for each cultural activity ordered by level of popularity (from top-left to bottom right), providing a visual summary of the overall pattern of results. This </w:t>
      </w:r>
      <w:r w:rsidDel="00000000" w:rsidR="00000000" w:rsidRPr="00000000">
        <w:rPr>
          <w:rtl w:val="0"/>
        </w:rPr>
        <w:t xml:space="preserve">f</w:t>
      </w:r>
      <w:r w:rsidDel="00000000" w:rsidR="00000000" w:rsidRPr="00000000">
        <w:rPr>
          <w:rtl w:val="0"/>
        </w:rPr>
        <w:t xml:space="preserve">igure confirms what we have already seen in Table 2. </w:t>
      </w:r>
      <w:r w:rsidDel="00000000" w:rsidR="00000000" w:rsidRPr="00000000">
        <w:rPr>
          <w:rtl w:val="0"/>
        </w:rPr>
        <w:t xml:space="preserve">Save for a few exceptions (e.g.,attendance at Symphonies for those born between 1910 and 1920), the biggest positive cohort deviations are found among persons born between 1930 and mid-century. </w:t>
      </w:r>
      <w:r w:rsidDel="00000000" w:rsidR="00000000" w:rsidRPr="00000000">
        <w:rPr>
          <w:rtl w:val="0"/>
        </w:rPr>
      </w:r>
    </w:p>
    <w:p w:rsidR="00000000" w:rsidDel="00000000" w:rsidP="00000000" w:rsidRDefault="00000000" w:rsidRPr="00000000" w14:paraId="0000004E">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k53mnovseu" w:id="20"/>
      <w:bookmarkEnd w:id="20"/>
      <w:r w:rsidDel="00000000" w:rsidR="00000000" w:rsidRPr="00000000">
        <w:rPr>
          <w:rtl w:val="0"/>
        </w:rPr>
        <w:t xml:space="preserve">2.6 Summary of Survey-Based Analysis of Cohort Effects in Arts </w:t>
      </w:r>
      <w:r w:rsidDel="00000000" w:rsidR="00000000" w:rsidRPr="00000000">
        <w:rPr>
          <w:rtl w:val="0"/>
        </w:rPr>
        <w:t xml:space="preserve">Participation</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w:t>
      </w:r>
      <w:r w:rsidDel="00000000" w:rsidR="00000000" w:rsidRPr="00000000">
        <w:rPr>
          <w:rtl w:val="0"/>
        </w:rPr>
        <w:t xml:space="preserve"> from random-effects Hierarchical Age-Period-Cohort Models (HAPC) point to the existence of a distinct omnivorous generation, born in the immediate post-Progressive Era, who are more likely to engage in diverse forms of arts participation.</w:t>
      </w:r>
      <w:r w:rsidDel="00000000" w:rsidR="00000000" w:rsidRPr="00000000">
        <w:rPr>
          <w:rtl w:val="0"/>
        </w:rPr>
        <w:t xml:space="preserve"> For</w:t>
      </w:r>
      <w:r w:rsidDel="00000000" w:rsidR="00000000" w:rsidRPr="00000000">
        <w:rPr>
          <w:rtl w:val="0"/>
        </w:rPr>
        <w:t xml:space="preserve">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participation).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detailed in the supplementary analyses reported in the Appendix, these results are robust to alternative (fixed effects) specifications of the HAPC modelling strategy (section 1, figure 4); moreover (section 2, figure 5), the cohort boundaries suggested by the HAPC analysis, especially th</w:t>
      </w:r>
      <w:r w:rsidDel="00000000" w:rsidR="00000000" w:rsidRPr="00000000">
        <w:rPr>
          <w:rtl w:val="0"/>
        </w:rPr>
        <w:t xml:space="preserve">ose</w:t>
      </w:r>
      <w:r w:rsidDel="00000000" w:rsidR="00000000" w:rsidRPr="00000000">
        <w:rPr>
          <w:rtl w:val="0"/>
        </w:rPr>
        <w:t xml:space="preserve"> separating the omnivorous generation from their predecessors, can be corroborated by inspection of simple cohort</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period graphical plots (Reeves 2015; see e.g. Voas and Chaves 2016 for an application of this approach to religiosity trends). Finally (section 3, figure 6), there is suggestive evidence that members of this generational cluster are more likely to report more exposure to the arts when growing than persons born before 1930.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these results strongly suggest that persons born in the three decades immediately following the </w:t>
      </w:r>
      <w:r w:rsidDel="00000000" w:rsidR="00000000" w:rsidRPr="00000000">
        <w:rPr>
          <w:rtl w:val="0"/>
        </w:rPr>
        <w:t xml:space="preserve">P</w:t>
      </w:r>
      <w:r w:rsidDel="00000000" w:rsidR="00000000" w:rsidRPr="00000000">
        <w:rPr>
          <w:rtl w:val="0"/>
        </w:rPr>
        <w:t xml:space="preserve">rogressive </w:t>
      </w:r>
      <w:r w:rsidDel="00000000" w:rsidR="00000000" w:rsidRPr="00000000">
        <w:rPr>
          <w:rtl w:val="0"/>
        </w:rPr>
        <w:t xml:space="preserve">E</w:t>
      </w:r>
      <w:r w:rsidDel="00000000" w:rsidR="00000000" w:rsidRPr="00000000">
        <w:rPr>
          <w:rtl w:val="0"/>
        </w:rPr>
        <w:t xml:space="preserve">ra are distinctive enough in their pattern of cultural engagement to be considered an “omnivorous generation</w:t>
      </w:r>
      <w:r w:rsidDel="00000000" w:rsidR="00000000" w:rsidRPr="00000000">
        <w:rPr>
          <w:rtl w:val="0"/>
        </w:rPr>
        <w:t xml:space="preserve">.” As noted above, it is important</w:t>
      </w:r>
      <w:r w:rsidDel="00000000" w:rsidR="00000000" w:rsidRPr="00000000">
        <w:rPr>
          <w:rtl w:val="0"/>
        </w:rPr>
        <w:t xml:space="preserve"> underscore both the avidity and breadth of cultural engagement of members of this generation. This breadth extends to forms of folk and vernacular culture that were legitimized during the 20th century, including Jazz and--most importantly for our argument--Craft Fairs and Art Festivals. </w:t>
      </w:r>
      <w:r w:rsidDel="00000000" w:rsidR="00000000" w:rsidRPr="00000000">
        <w:rPr>
          <w:rtl w:val="0"/>
        </w:rPr>
        <w:t xml:space="preserve">These results lead us to discard interpretations of omnivorousness as a linear cohort trend</w:t>
      </w:r>
      <w:r w:rsidDel="00000000" w:rsidR="00000000" w:rsidRPr="00000000">
        <w:rPr>
          <w:rtl w:val="0"/>
        </w:rPr>
        <w:t xml:space="preserve"> over time, in favor of a generational specificity argument (Rossman and Peterson 2015; López-Sintas and Katz-Gerro 2005).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A generational clustering pattern of this sort suggests we should find an historically rooted transformation related to artistic classification, dissemination</w:t>
      </w:r>
      <w:r w:rsidDel="00000000" w:rsidR="00000000" w:rsidRPr="00000000">
        <w:rPr>
          <w:rtl w:val="0"/>
        </w:rPr>
        <w:t xml:space="preserve">,</w:t>
      </w:r>
      <w:r w:rsidDel="00000000" w:rsidR="00000000" w:rsidRPr="00000000">
        <w:rPr>
          <w:rtl w:val="0"/>
        </w:rPr>
        <w:t xml:space="preserve"> and production systems (DiMaggio 1987, 2000). We will show that this generational effect can be traced to the expansion and consolidation of elite-led institutional work enacted during the Progressive Era, which consolidated in powerful organizations during the post-war </w:t>
      </w:r>
      <w:r w:rsidDel="00000000" w:rsidR="00000000" w:rsidRPr="00000000">
        <w:rPr>
          <w:rtl w:val="0"/>
        </w:rPr>
        <w:t xml:space="preserve">period</w:t>
      </w:r>
      <w:r w:rsidDel="00000000" w:rsidR="00000000" w:rsidRPr="00000000">
        <w:rPr>
          <w:rtl w:val="0"/>
        </w:rPr>
        <w:t xml:space="preserve">. These left their mark in the “encoding” of individual cultural consumption practices, and made this generation distinct from their predecessors.</w:t>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pcash7u5kwi" w:id="21"/>
      <w:bookmarkEnd w:id="21"/>
      <w:r w:rsidDel="00000000" w:rsidR="00000000" w:rsidRPr="00000000">
        <w:rPr>
          <w:rtl w:val="0"/>
        </w:rPr>
        <w:t xml:space="preserve">3.0 Institutional and Organizational Impacts on Taste Publics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5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wwy1msblpxm" w:id="22"/>
      <w:bookmarkEnd w:id="22"/>
      <w:r w:rsidDel="00000000" w:rsidR="00000000" w:rsidRPr="00000000">
        <w:rPr>
          <w:rtl w:val="0"/>
        </w:rPr>
        <w:t xml:space="preserve">3.1 The Emergence of High Culture as an Exemplar Case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influent</w:t>
      </w:r>
      <w:r w:rsidDel="00000000" w:rsidR="00000000" w:rsidRPr="00000000">
        <w:rPr>
          <w:rtl w:val="0"/>
        </w:rPr>
        <w:t xml:space="preserve">ial article,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w:t>
      </w:r>
      <w:r w:rsidDel="00000000" w:rsidR="00000000" w:rsidRPr="00000000">
        <w:rPr>
          <w:i w:val="1"/>
          <w:iCs w:val="1"/>
          <w:rtl w:val="0"/>
        </w:rPr>
        <w:t xml:space="preserve">aesthetic</w:t>
      </w:r>
      <w:r w:rsidDel="00000000" w:rsidR="00000000" w:rsidRPr="00000000">
        <w:rPr>
          <w:rtl w:val="0"/>
        </w:rPr>
        <w:t xml:space="preserve"> </w:t>
      </w:r>
      <w:r w:rsidDel="00000000" w:rsidR="00000000" w:rsidRPr="00000000">
        <w:rPr>
          <w:i w:val="1"/>
          <w:iCs w:val="1"/>
          <w:rtl w:val="0"/>
        </w:rPr>
        <w:t xml:space="preserve">valorization</w:t>
      </w:r>
      <w:r w:rsidDel="00000000" w:rsidR="00000000" w:rsidRPr="00000000">
        <w:rPr>
          <w:rtl w:val="0"/>
        </w:rPr>
        <w:t xml:space="preserve"> processes leading to the expansion of the artistic canon. Although scholars have proffered some scattered ideas on the link between these two developments, </w:t>
      </w:r>
      <w:r w:rsidDel="00000000" w:rsidR="00000000" w:rsidRPr="00000000">
        <w:rPr>
          <w:rtl w:val="0"/>
        </w:rPr>
        <w:t xml:space="preserve">no single analysis has tried to link the behavioral manifestation with its institutional </w:t>
      </w:r>
      <w:r w:rsidDel="00000000" w:rsidR="00000000" w:rsidRPr="00000000">
        <w:rPr>
          <w:rtl w:val="0"/>
        </w:rPr>
        <w:t xml:space="preserve">antecedents.</w:t>
      </w:r>
    </w:p>
    <w:p w:rsidR="00000000" w:rsidDel="00000000" w:rsidP="00000000" w:rsidRDefault="00000000" w:rsidRPr="00000000" w14:paraId="00000058">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bsebd9m3hx0z" w:id="23"/>
      <w:bookmarkEnd w:id="23"/>
      <w:r w:rsidDel="00000000" w:rsidR="00000000" w:rsidRPr="00000000">
        <w:rPr>
          <w:rtl w:val="0"/>
        </w:rPr>
        <w:t xml:space="preserve">3.2 Artistic Valorization Processes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non-profit organizational form provided elite art patrons dominion over definitions of “art,” they turned their attention toward maintaining the new category’s legitimacy by responding to shifting expectations of the role of art at the national level. Changing political, social, and economic </w:t>
      </w:r>
      <w:r w:rsidDel="00000000" w:rsidR="00000000" w:rsidRPr="00000000">
        <w:rPr>
          <w:rtl w:val="0"/>
        </w:rPr>
        <w:t xml:space="preserve">conditions</w:t>
      </w:r>
      <w:r w:rsidDel="00000000" w:rsidR="00000000" w:rsidRPr="00000000">
        <w:rPr>
          <w:rtl w:val="0"/>
        </w:rPr>
        <w:t xml:space="preserve">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w:t>
      </w:r>
      <w:r w:rsidDel="00000000" w:rsidR="00000000" w:rsidRPr="00000000">
        <w:rPr>
          <w:rtl w:val="0"/>
        </w:rPr>
        <w:t xml:space="preserve">390</w:t>
      </w:r>
      <w:r w:rsidDel="00000000" w:rsidR="00000000" w:rsidRPr="00000000">
        <w:rPr>
          <w:rtl w:val="0"/>
        </w:rPr>
        <w:t xml:space="preserve">). The artistic valorization of vernacular and popular culture--and what Bourdieu (1965) called </w:t>
      </w:r>
      <w:r w:rsidDel="00000000" w:rsidR="00000000" w:rsidRPr="00000000">
        <w:rPr>
          <w:i w:val="1"/>
          <w:iCs w:val="1"/>
          <w:rtl w:val="0"/>
        </w:rPr>
        <w:t xml:space="preserve">les arts </w:t>
      </w:r>
      <w:r w:rsidDel="00000000" w:rsidR="00000000" w:rsidRPr="00000000">
        <w:rPr>
          <w:i w:val="1"/>
          <w:iCs w:val="1"/>
          <w:rtl w:val="0"/>
        </w:rPr>
        <w:t xml:space="preserve">moyennes</w:t>
      </w:r>
      <w:r w:rsidDel="00000000" w:rsidR="00000000" w:rsidRPr="00000000">
        <w:rPr>
          <w:rtl w:val="0"/>
        </w:rPr>
        <w:t xml:space="preserve">--was</w:t>
      </w:r>
      <w:r w:rsidDel="00000000" w:rsidR="00000000" w:rsidRPr="00000000">
        <w:rPr>
          <w:rtl w:val="0"/>
        </w:rPr>
        <w:t xml:space="preserve"> the locus of intense institutional entrepreneurship in the first half of the twentieth century, and is the focus of our interest.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of artistic valorization document transformations in which works are selected for presentation in benchmark organizations, and the consequent legitimation, or “aestheticization,” of the genres into which those works are classified. Notable studies of artistic valorization have been completed on jazz (Lopes 2002; Peterson 2005), rap (Lena and Pachucki 2013), film (Baumann 2001), rock (Regev 2007; </w:t>
      </w:r>
      <w:r w:rsidDel="00000000" w:rsidR="00000000" w:rsidRPr="00000000">
        <w:rPr>
          <w:rtl w:val="0"/>
        </w:rPr>
        <w:t xml:space="preserve">Schmutz 2005</w:t>
      </w:r>
      <w:r w:rsidDel="00000000" w:rsidR="00000000" w:rsidRPr="00000000">
        <w:rPr>
          <w:rtl w:val="0"/>
        </w:rPr>
        <w:t xml:space="preserve">), and cuisine (Ferguson 1998</w:t>
      </w:r>
      <w:r w:rsidDel="00000000" w:rsidR="00000000" w:rsidRPr="00000000">
        <w:rPr>
          <w:rtl w:val="0"/>
        </w:rPr>
        <w:t xml:space="preserve">; Johnston and Baumann 2007</w:t>
      </w:r>
      <w:r w:rsidDel="00000000" w:rsidR="00000000" w:rsidRPr="00000000">
        <w:rPr>
          <w:rtl w:val="0"/>
        </w:rPr>
        <w:t xml:space="preserve">). These studies reveal that artistic valorization is promoted by </w:t>
      </w:r>
      <w:r w:rsidDel="00000000" w:rsidR="00000000" w:rsidRPr="00000000">
        <w:rPr>
          <w:i w:val="1"/>
          <w:iCs w:val="1"/>
          <w:rtl w:val="0"/>
        </w:rPr>
        <w:t xml:space="preserve">cultural capitalists</w:t>
      </w:r>
      <w:r w:rsidDel="00000000" w:rsidR="00000000" w:rsidRPr="00000000">
        <w:rPr>
          <w:rtl w:val="0"/>
        </w:rPr>
        <w:t xml:space="preserve">, institutional entrepreneurs who possess varied forms of symbolic capital that give them the power to re-define artistic classification systems and to situate their tastes in privileged positions (Bourdieu 1987, 1993, 1996). When structural transformations threaten the exclusivity of elite tastes, they can use their familiarity with, and training in, artistic classification to appropriate new works into legitimate categories. Peterson and Kern (1996: 905) argued that as “aesthetic entrepreneurs...propounded avant gardist theories that placed positive value on seeking new and ever more exotic modes of expression…[these] expressions of all sorts from around the world [were] open to aesthetic appropriation.”</w:t>
      </w:r>
    </w:p>
    <w:p w:rsidR="00000000" w:rsidDel="00000000" w:rsidP="00000000" w:rsidRDefault="00000000" w:rsidRPr="00000000" w14:paraId="0000005B">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k91s9ffeor7t" w:id="24"/>
      <w:bookmarkEnd w:id="24"/>
      <w:r w:rsidDel="00000000" w:rsidR="00000000" w:rsidRPr="00000000">
        <w:rPr>
          <w:rtl w:val="0"/>
        </w:rPr>
        <w:t xml:space="preserve">3.3 The Artistic Valorization of Folk Culture in 20th Century America</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feature of the post-Depression years is the striving of cultural capitalists to expand the artistic canon via the aesthetic valorization of vernacular culture. Scholars have identified many societal antecedents for this period of transformation, including the “emergence of an inclusive national culture, linking local economies, identities, and lifestyles” (</w:t>
      </w:r>
      <w:r w:rsidDel="00000000" w:rsidR="00000000" w:rsidRPr="00000000">
        <w:rPr>
          <w:rtl w:val="0"/>
        </w:rPr>
        <w:t xml:space="preserve">Hall</w:t>
      </w:r>
      <w:r w:rsidDel="00000000" w:rsidR="00000000" w:rsidRPr="00000000">
        <w:rPr>
          <w:rtl w:val="0"/>
        </w:rPr>
        <w:t xml:space="preserve"> 1984); the occlusion of </w:t>
      </w:r>
      <w:r w:rsidDel="00000000" w:rsidR="00000000" w:rsidRPr="00000000">
        <w:rPr>
          <w:rtl w:val="0"/>
        </w:rPr>
        <w:t xml:space="preserve">administrative </w:t>
      </w:r>
      <w:r w:rsidDel="00000000" w:rsidR="00000000" w:rsidRPr="00000000">
        <w:rPr>
          <w:rtl w:val="0"/>
        </w:rPr>
        <w:t xml:space="preserve">control</w:t>
      </w:r>
      <w:r w:rsidDel="00000000" w:rsidR="00000000" w:rsidRPr="00000000">
        <w:rPr>
          <w:rtl w:val="0"/>
        </w:rPr>
        <w:t xml:space="preserve"> of the arts</w:t>
      </w:r>
      <w:r w:rsidDel="00000000" w:rsidR="00000000" w:rsidRPr="00000000">
        <w:rPr>
          <w:rtl w:val="0"/>
        </w:rPr>
        <w:t xml:space="preserve"> from an essentially hereditary, urban elite by a large class of upwardly-mobile college graduates (DiMaggio 2000); the subsequent managerial revolution in the arts (Zolberg 1986; Meyer 1979; DiMaggio 1991, 2000); </w:t>
      </w:r>
      <w:r w:rsidDel="00000000" w:rsidR="00000000" w:rsidRPr="00000000">
        <w:rPr>
          <w:rtl w:val="0"/>
        </w:rPr>
        <w:t xml:space="preserve">the expansion of art education, advocacy, and trade union and guild </w:t>
      </w:r>
      <w:r w:rsidDel="00000000" w:rsidR="00000000" w:rsidRPr="00000000">
        <w:rPr>
          <w:rtl w:val="0"/>
        </w:rPr>
        <w:t xml:space="preserve">solidarity</w:t>
      </w:r>
      <w:r w:rsidDel="00000000" w:rsidR="00000000" w:rsidRPr="00000000">
        <w:rPr>
          <w:rtl w:val="0"/>
        </w:rPr>
        <w:t xml:space="preserve"> by artists (McDonald 1969: 345); </w:t>
      </w:r>
      <w:r w:rsidDel="00000000" w:rsidR="00000000" w:rsidRPr="00000000">
        <w:rPr>
          <w:rtl w:val="0"/>
        </w:rPr>
        <w:t xml:space="preserve">and the expansion of public, foundation, and corporate support for the arts (Zolberg 1981, 1986; DiMaggio 2000).</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of these--particularly, federal and state government support for the arts during the New Deal--played a signal role in the artistic valorization of multiple art forms. Under the auspices of the New Deal programs, federal, state, and local government bodies provided subsidies to individual artists and supported new schools of art, visual art spaces, and performing arts events. As a direct commissioning agent, government bodies encouraged the production of works that displayed “the American experience” and its “roots in the folk tradition of the people” (Matthews 1975: 334).</w:t>
      </w:r>
      <w:r w:rsidDel="00000000" w:rsidR="00000000" w:rsidRPr="00000000">
        <w:rPr>
          <w:vertAlign w:val="superscript"/>
        </w:rPr>
        <w:footnoteReference w:customMarkFollows="0" w:id="8"/>
      </w:r>
      <w:r w:rsidDel="00000000" w:rsidR="00000000" w:rsidRPr="00000000">
        <w:rPr>
          <w:rtl w:val="0"/>
        </w:rPr>
        <w:t xml:space="preserve"> Administrators of WPA offices encouraged their artists to develop “a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w:t>
      </w:r>
      <w:r w:rsidDel="00000000" w:rsidR="00000000" w:rsidRPr="00000000">
        <w:rPr>
          <w:rtl w:val="0"/>
        </w:rPr>
        <w:t xml:space="preserve">Depression</w:t>
      </w:r>
      <w:r w:rsidDel="00000000" w:rsidR="00000000" w:rsidRPr="00000000">
        <w:rPr>
          <w:rtl w:val="0"/>
        </w:rPr>
        <w:t xml:space="preserve">” (</w:t>
      </w:r>
      <w:r w:rsidDel="00000000" w:rsidR="00000000" w:rsidRPr="00000000">
        <w:rPr>
          <w:rtl w:val="0"/>
        </w:rPr>
        <w:t xml:space="preserve">Umbach and Hüppauf 2005: 25</w:t>
      </w:r>
      <w:r w:rsidDel="00000000" w:rsidR="00000000" w:rsidRPr="00000000">
        <w:rPr>
          <w:rtl w:val="0"/>
        </w:rPr>
        <w:t xml:space="preserve">). Broad-based transformations in the expectations of the art-consuming public resulted from these measures, and arts administrators, curators, and artistic directors worked expeditiously to make that culture available. In so doing, they valorized some vernacular culture, heralding the rise of what some have called a renaissance of “vernacular </w:t>
      </w:r>
      <w:r w:rsidDel="00000000" w:rsidR="00000000" w:rsidRPr="00000000">
        <w:rPr>
          <w:rtl w:val="0"/>
        </w:rPr>
        <w:t xml:space="preserve">modernism</w:t>
      </w:r>
      <w:r w:rsidDel="00000000" w:rsidR="00000000" w:rsidRPr="00000000">
        <w:rPr>
          <w:rtl w:val="0"/>
        </w:rPr>
        <w:t xml:space="preserve">” (Bacon 2005).</w:t>
      </w:r>
    </w:p>
    <w:p w:rsidR="00000000" w:rsidDel="00000000" w:rsidP="00000000" w:rsidRDefault="00000000" w:rsidRPr="00000000" w14:paraId="0000005E">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of6bdb4nxn9x" w:id="25"/>
      <w:bookmarkEnd w:id="25"/>
      <w:r w:rsidDel="00000000" w:rsidR="00000000" w:rsidRPr="00000000">
        <w:rPr>
          <w:rtl w:val="0"/>
        </w:rPr>
        <w:t xml:space="preserve">3.4 The WPA: Overview of Agencies and </w:t>
      </w: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activities of the New Deal era arts agencies softened elites to the expansion of the American arts to include forms of vernacular or folk culture. The presentation of these works in benchmark arts organizations made it possible for culture consumption publics to treat (some) “lowbrow” cultural forms as legitimate carriers of cultural capital. </w:t>
      </w:r>
      <w:r w:rsidDel="00000000" w:rsidR="00000000" w:rsidRPr="00000000">
        <w:rPr>
          <w:rtl w:val="0"/>
        </w:rPr>
        <w:t xml:space="preserve">In this section, we examine the </w:t>
      </w:r>
      <w:r w:rsidDel="00000000" w:rsidR="00000000" w:rsidRPr="00000000">
        <w:rPr>
          <w:rtl w:val="0"/>
        </w:rPr>
        <w:t xml:space="preserve">practices</w:t>
      </w:r>
      <w:r w:rsidDel="00000000" w:rsidR="00000000" w:rsidRPr="00000000">
        <w:rPr>
          <w:rtl w:val="0"/>
        </w:rPr>
        <w:t xml:space="preserve"> of New Deal arts administrators </w:t>
      </w:r>
      <w:r w:rsidDel="00000000" w:rsidR="00000000" w:rsidRPr="00000000">
        <w:rPr>
          <w:rtl w:val="0"/>
        </w:rPr>
        <w:t xml:space="preserve">paying particular attention to the production of “vernacular modernist” works and their </w:t>
      </w:r>
      <w:r w:rsidDel="00000000" w:rsidR="00000000" w:rsidRPr="00000000">
        <w:rPr>
          <w:rtl w:val="0"/>
        </w:rPr>
        <w:t xml:space="preserve">endorsement</w:t>
      </w:r>
      <w:r w:rsidDel="00000000" w:rsidR="00000000" w:rsidRPr="00000000">
        <w:rPr>
          <w:rtl w:val="0"/>
        </w:rPr>
        <w:t xml:space="preserve"> by cultural capitalists</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heir display and performance in benchmark arts organizations, and subsequent valorization of these works as art, </w:t>
      </w:r>
      <w:r w:rsidDel="00000000" w:rsidR="00000000" w:rsidRPr="00000000">
        <w:rPr>
          <w:rtl w:val="0"/>
        </w:rPr>
        <w:t xml:space="preserve">shaped the historical context within which the most omnivorous generation of American art consumers came of age. </w:t>
      </w:r>
      <w:r w:rsidDel="00000000" w:rsidR="00000000" w:rsidRPr="00000000">
        <w:rPr>
          <w:rtl w:val="0"/>
        </w:rPr>
        <w:t xml:space="preserve">The adoption of these works by elite art advocates, and concurrent and subsequent efforts on behalf of other culture fields (jazz, film), provide the omnivorous generation with organizational and institutional context to support their broad and avid arts participation.</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massive unemployment and poverty, President Franklin Delano Roosevelt established federal agencies charged with employing out-of-work artists and with achieving a “picture of democratic justice and spiritual beauty” (</w:t>
      </w:r>
      <w:r w:rsidDel="00000000" w:rsidR="00000000" w:rsidRPr="00000000">
        <w:rPr>
          <w:rtl w:val="0"/>
        </w:rPr>
        <w:t xml:space="preserve">Biddle 1939: 267-8, quoted in </w:t>
      </w:r>
      <w:r w:rsidDel="00000000" w:rsidR="00000000" w:rsidRPr="00000000">
        <w:rPr>
          <w:rtl w:val="0"/>
        </w:rPr>
        <w:t xml:space="preserve">Mathews 1975).</w:t>
      </w:r>
      <w:r w:rsidDel="00000000" w:rsidR="00000000" w:rsidRPr="00000000">
        <w:rPr>
          <w:vertAlign w:val="superscript"/>
          <w:rtl w:val="0"/>
        </w:rPr>
        <w:t xml:space="preserve"> </w:t>
      </w:r>
      <w:r w:rsidDel="00000000" w:rsidR="00000000" w:rsidRPr="00000000">
        <w:rPr>
          <w:rtl w:val="0"/>
        </w:rPr>
        <w:t xml:space="preserve">This phrase comes from the memoir of lawyer-turned-artist George Biddle, prep school friend of Roosevelt, and the man often credited with suggesting an artist’s work relief program as part of a more comprehensive plan to provide citizens’ assistance in the wake of the Great </w:t>
      </w:r>
      <w:r w:rsidDel="00000000" w:rsidR="00000000" w:rsidRPr="00000000">
        <w:rPr>
          <w:rtl w:val="0"/>
        </w:rPr>
        <w:t xml:space="preserve">Depression</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State-level support for indigent artists began as early as 1931, but the first Federal, non-relief project for artists, the Public Works of Art Project, was initiated in 1933.</w:t>
      </w:r>
      <w:r w:rsidDel="00000000" w:rsidR="00000000" w:rsidRPr="00000000">
        <w:rPr>
          <w:vertAlign w:val="superscript"/>
        </w:rPr>
        <w:footnoteReference w:customMarkFollows="0" w:id="10"/>
      </w:r>
      <w:r w:rsidDel="00000000" w:rsidR="00000000" w:rsidRPr="00000000">
        <w:rPr>
          <w:rtl w:val="0"/>
        </w:rPr>
        <w:t xml:space="preserve"> This program, with the Treasury Relief Art Project (1935-9), awarded commissions to artists for the production of paintings, sculptures, and murals for display in federal buildings across the nation. A more comprehensive work relief program </w:t>
      </w:r>
      <w:r w:rsidDel="00000000" w:rsidR="00000000" w:rsidRPr="00000000">
        <w:rPr>
          <w:rtl w:val="0"/>
        </w:rPr>
        <w:t xml:space="preserve">was announced in August, 1935</w:t>
      </w:r>
      <w:r w:rsidDel="00000000" w:rsidR="00000000" w:rsidRPr="00000000">
        <w:rPr>
          <w:rtl w:val="0"/>
        </w:rPr>
        <w:t xml:space="preserve"> and was known as the Works Progress Administration (WPA). Under the WPA, the four programs referred to as “Federal Project Number One” provided subsidies for the production of visual art, music, theater, and literature</w:t>
      </w:r>
      <w:r w:rsidDel="00000000" w:rsidR="00000000" w:rsidRPr="00000000">
        <w:rPr>
          <w:rtl w:val="0"/>
        </w:rPr>
        <w:t xml:space="preserve"> (and later, the historical records survey)</w:t>
      </w:r>
      <w:r w:rsidDel="00000000" w:rsidR="00000000" w:rsidRPr="00000000">
        <w:rPr>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Artists employed under Federal One produced a great variety of artworks,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output of creative material is nothing short of astonishing: from 1935 to its closure in June 1943, artists created 2,566 murals, 17,744 sculptures, 108,099 paintings, 250,000 prints from 11,285 images, 2 million posters from 35,000 designs, and more than 22,000 design plates (O’Connor 1969: 28-9; Greengard et al 1986: </w:t>
      </w:r>
      <w:r w:rsidDel="00000000" w:rsidR="00000000" w:rsidRPr="00000000">
        <w:rPr>
          <w:rtl w:val="0"/>
        </w:rPr>
        <w:t xml:space="preserve">58-60</w:t>
      </w:r>
      <w:r w:rsidDel="00000000" w:rsidR="00000000" w:rsidRPr="00000000">
        <w:rPr>
          <w:rtl w:val="0"/>
        </w:rPr>
        <w:t xml:space="preserve">).</w:t>
      </w:r>
      <w:r w:rsidDel="00000000" w:rsidR="00000000" w:rsidRPr="00000000">
        <w:rPr>
          <w:vertAlign w:val="superscript"/>
        </w:rPr>
        <w:footnoteReference w:customMarkFollows="0" w:id="11"/>
      </w:r>
      <w:r w:rsidDel="00000000" w:rsidR="00000000" w:rsidRPr="00000000">
        <w:rPr>
          <w:rtl w:val="0"/>
        </w:rPr>
        <w:t xml:space="preserve"> </w:t>
      </w:r>
      <w:r w:rsidDel="00000000" w:rsidR="00000000" w:rsidRPr="00000000">
        <w:rPr>
          <w:rtl w:val="0"/>
        </w:rPr>
        <w:t xml:space="preserve">As one historian opined: “the resulting output of Americana was overwhelming” (Mathews 1975: 334).</w:t>
      </w:r>
      <w:r w:rsidDel="00000000" w:rsidR="00000000" w:rsidRPr="00000000">
        <w:rPr>
          <w:vertAlign w:val="superscript"/>
        </w:rPr>
        <w:footnoteReference w:customMarkFollows="0" w:id="12"/>
      </w:r>
      <w:r w:rsidDel="00000000" w:rsidR="00000000" w:rsidRPr="00000000">
        <w:rPr>
          <w:rtl w:val="0"/>
        </w:rPr>
        <w:t xml:space="preserve"> </w:t>
      </w:r>
      <w:r w:rsidDel="00000000" w:rsidR="00000000" w:rsidRPr="00000000">
        <w:rPr>
          <w:rtl w:val="0"/>
        </w:rPr>
        <w:t xml:space="preserve">The Federal Writers’ Project paid creators of books, poetry, pamphlets, leaflets, and radio scripts including socio-ethnic studies; expositions on industrial, labor, society, and community issues; and documents of American and Native American folklore.</w:t>
      </w:r>
      <w:r w:rsidDel="00000000" w:rsidR="00000000" w:rsidRPr="00000000">
        <w:rPr>
          <w:vertAlign w:val="superscript"/>
        </w:rPr>
        <w:footnoteReference w:customMarkFollows="0" w:id="13"/>
      </w:r>
      <w:r w:rsidDel="00000000" w:rsidR="00000000" w:rsidRPr="00000000">
        <w:rPr>
          <w:rtl w:val="0"/>
        </w:rPr>
        <w:t xml:space="preserve">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w:t>
      </w:r>
      <w:r w:rsidDel="00000000" w:rsidR="00000000" w:rsidRPr="00000000">
        <w:rPr>
          <w:rtl w:val="0"/>
        </w:rPr>
        <w:t xml:space="preserve">opera</w:t>
      </w:r>
      <w:r w:rsidDel="00000000" w:rsidR="00000000" w:rsidRPr="00000000">
        <w:rPr>
          <w:rtl w:val="0"/>
        </w:rPr>
        <w:t xml:space="preserve">, light opera, and chamber opera companies; vocal ensembles and vocal soloists; and dance orchestras, bands, and theater orchestras (Federal Works Agency 1947: 64). Estimates of the total cost of the WPA hover around $35 million.</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New Deal elites like Harry Hopkins, appointed in 1933 to direct monies for actors and musicians, endorsed the vision of a cultural democracy taken up by Roosevelt.</w:t>
      </w:r>
      <w:r w:rsidDel="00000000" w:rsidR="00000000" w:rsidRPr="00000000">
        <w:rPr>
          <w:rtl w:val="0"/>
        </w:rPr>
        <w:t xml:space="preserve"> Hopkins pushed theater directors to depict the deplorable conditions in tenements in the hope that they might encourage a landslide of support for the construction of decent housing for American citizens.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The Farm Security Administration sent writers and photographers into the Dust Bowl states to document the lives of the people there and to demonstrate “the need for government programs and their benefits” (Greengard et al 1986: 58-60).  </w: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This progressive vision of a democratic republic was anchored by a commitment to documenting, preserving, and aestheticizing the cultural production of immigrants, non-whites, and “untrained” creators. </w:t>
      </w:r>
      <w:r w:rsidDel="00000000" w:rsidR="00000000" w:rsidRPr="00000000">
        <w:rPr>
          <w:rtl w:val="0"/>
        </w:rPr>
        <w:t xml:space="preserve">Artist Yasuo Kuniyoshi has argued that </w:t>
      </w:r>
      <w:r w:rsidDel="00000000" w:rsidR="00000000" w:rsidRPr="00000000">
        <w:rPr>
          <w:rtl w:val="0"/>
        </w:rPr>
        <w:t xml:space="preserve">great American art was collected and created by WPA “artists [who] were encouraged to prove the American experience and search for roots in the folk tradition of the people, documenting the values and behavior of a culture in the throes of self-recognition” (Matthews 1975: 334). </w:t>
      </w:r>
      <w:r w:rsidDel="00000000" w:rsidR="00000000" w:rsidRPr="00000000">
        <w:rPr>
          <w:rtl w:val="0"/>
        </w:rPr>
        <w:t xml:space="preserve">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 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i w:val="1"/>
          <w:iCs w:val="1"/>
          <w:rtl w:val="0"/>
        </w:rPr>
        <w:t xml:space="preserve">Time Magazine</w:t>
      </w:r>
      <w:r w:rsidDel="00000000" w:rsidR="00000000" w:rsidRPr="00000000">
        <w:rPr>
          <w:rtl w:val="0"/>
        </w:rPr>
        <w:t xml:space="preserve"> reported that</w:t>
      </w:r>
      <w:r w:rsidDel="00000000" w:rsidR="00000000" w:rsidRPr="00000000">
        <w:rPr>
          <w:rtl w:val="0"/>
        </w:rPr>
        <w:t xml:space="preserve"> Sokoloff’s payroll included a 22-piece “gypsy orchestra” in Pittsburg,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The Writer’s Project sent reporters into every state to collect what Ben Botkin, director of the Folklore division, called “living lore,” including the testimony of European immigrants and former slaves. </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Federal One produced a nearly encyclopedic rendering of vernacular, folk, and “minority” art, and presented it to the public as a manifestation of great American art.</w:t>
      </w:r>
      <w:r w:rsidDel="00000000" w:rsidR="00000000" w:rsidRPr="00000000">
        <w:rPr>
          <w:rtl w:val="0"/>
        </w:rPr>
        <w:t xml:space="preserve"> </w:t>
      </w:r>
      <w:r w:rsidDel="00000000" w:rsidR="00000000" w:rsidRPr="00000000">
        <w:rPr>
          <w:rtl w:val="0"/>
        </w:rPr>
        <w:t xml:space="preserve">The humble origins of much of this cultural material </w:t>
      </w:r>
      <w:r w:rsidDel="00000000" w:rsidR="00000000" w:rsidRPr="00000000">
        <w:rPr>
          <w:rtl w:val="0"/>
        </w:rPr>
        <w:t xml:space="preserve">in some cases </w:t>
      </w:r>
      <w:r w:rsidDel="00000000" w:rsidR="00000000" w:rsidRPr="00000000">
        <w:rPr>
          <w:rtl w:val="0"/>
        </w:rPr>
        <w:t xml:space="preserve">stood in contrast to the pageantry and even glamor of its display. 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w:t>
      </w:r>
      <w:r w:rsidDel="00000000" w:rsidR="00000000" w:rsidRPr="00000000">
        <w:rPr>
          <w:rtl w:val="0"/>
        </w:rPr>
        <w:t xml:space="preserve">arolina Spiritual Singers; and musicologist Alan Lomax, who performed cowboy songs. </w: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Federal One programs hosted programming in elite spaces but the provision of cultural programs in non-urban spaces was more consistent with its mission: “The introduction of urban amenities, both material and cultural, into rural America was one of the basic purposes of the New Deal, and manifested itself in the arts no less than in rural electrification” (McDonald 1969: 185).  Since professionally-trained artists were less likely to live or wish to travel to non-urban spaces, Federal One, like the other relief programs, primarily employed unskilled labor (McDonald 1969). If the ambition for the culture programs was the development of the fine arts--as it certainly was for some administrators--it was tempered by federal requirements for work relief. Unskilled laborers often worked within folk art traditions, having, in many cases, little formal training or interest in the fine arts--and so much of the work produced under Federal One was </w:t>
      </w:r>
      <w:r w:rsidDel="00000000" w:rsidR="00000000" w:rsidRPr="00000000">
        <w:rPr>
          <w:rtl w:val="0"/>
        </w:rPr>
        <w:t xml:space="preserve">produced by amateurs. This commitment to amateur folk culture production was even more profound once the WPA was abolished by Congress in June, 1939, and these projects were transferred to the states (McDonald 1969: 320-1).</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local, state, and federal arts organizations ended up in possession of the works created under Federal One, and they formed the core of their 20</w:t>
      </w:r>
      <w:r w:rsidDel="00000000" w:rsidR="00000000" w:rsidRPr="00000000">
        <w:rPr>
          <w:vertAlign w:val="superscript"/>
          <w:rtl w:val="0"/>
        </w:rPr>
        <w:t xml:space="preserve">th</w:t>
      </w:r>
      <w:r w:rsidDel="00000000" w:rsidR="00000000" w:rsidRPr="00000000">
        <w:rPr>
          <w:rtl w:val="0"/>
        </w:rPr>
        <w:t xml:space="preserve"> century collections. For example, the original 22,000 plates from the Index of American Design are housed at the National Gallery of Art in Washington, DC. Von Groschwitz, Supervisor of the Graphic Art Division of the Federal Art Project in New York, claims that 134 color lithographs made by WPA artists were acquired by museums and remain in their permanent collections to this day. The Newark Museum also has a large number of WPA-sponsored works, including Minna Citron’s painting, “Staten Island Ferry.” Yet, many other works produced in the New Deal era were destroyed, abandoned, or forgotten.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federal offices shifted their commissioning practices to provide ongoing support for working artists; McDonald (1969: 62 f ☨) noted that “one of the immediate and permanent effects of the PWAP was the establishment...of a Painting and Sculpture Section in the Procurement Division of the Treasury. This section was...given charge of the decoration of federal buildings…. Previously, the responsibility of such decoration had been that of the architect who received the commission.”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Administrators of federal repositories of visual artworks facilitated their display around the world, lending them to World’s Fairs, museums, galleries, and consulates. The Smithsonian, and its Traveling Exhibition Series, was particularly active in circulating WPA-produced works, and pursuing the larger goal of presenting American democracy as manifest in vernacular modernism. </w:t>
      </w:r>
      <w:r w:rsidDel="00000000" w:rsidR="00000000" w:rsidRPr="00000000">
        <w:rPr>
          <w:rtl w:val="0"/>
        </w:rPr>
        <w:t xml:space="preserve">They initiated the Festival of American Folklife in 1967, and the estimated million people who attend each year makes it the largest annual cultural event held in the U.S. capitol (</w:t>
      </w:r>
      <w:r w:rsidDel="00000000" w:rsidR="00000000" w:rsidRPr="00000000">
        <w:rPr>
          <w:rtl w:val="0"/>
        </w:rPr>
        <w:t xml:space="preserve">N.A. 2013, “Smithsonian”</w:t>
      </w:r>
      <w:r w:rsidDel="00000000" w:rsidR="00000000" w:rsidRPr="00000000">
        <w:rPr>
          <w:rtl w:val="0"/>
        </w:rPr>
        <w:t xml:space="preserve">). Its programming is a near-mirror of the New Deal art initiatives: combining song, dance, craft, and workshops, the festival is organized to feature nations, states, and regions, and to highlight the vernacular culture of these places. </w:t>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Deal agencies enacted a comprehensive program to produce and support art by ethnic and racial minorities, and the poor. They also provided an opportunity for the public to consume vernacular or folk art as a form of moral engagement with their nation and communities. The omnivorous generation thus came of age at a time when the production and presentation of art was “central” to a federal relief project, and forms of folk art enjoyed such support. </w:t>
      </w:r>
      <w:r w:rsidDel="00000000" w:rsidR="00000000" w:rsidRPr="00000000">
        <w:rPr>
          <w:rtl w:val="0"/>
        </w:rPr>
        <w:t xml:space="preserve">The WPA created opportunities for cultural capitalists to sacralize a new, more diverse group of works as art, and an organizational context within which to do </w:t>
      </w:r>
      <w:r w:rsidDel="00000000" w:rsidR="00000000" w:rsidRPr="00000000">
        <w:rPr>
          <w:rtl w:val="0"/>
        </w:rPr>
        <w:t xml:space="preserve">so</w:t>
      </w:r>
      <w:r w:rsidDel="00000000" w:rsidR="00000000" w:rsidRPr="00000000">
        <w:rPr>
          <w:rtl w:val="0"/>
        </w:rPr>
        <w:t xml:space="preserve">. The omnivorous generation may have carried forward preferences for consuming some of the art that they were exposed to as they came of age, an open disposition to a broad range of cultural forms, or both (see section 2 of the appendix for corroborating evidence for this claim). Former New Deal arts administrators and their peers carried the work of aesthetic valorization forward, securing the transformation of arts organizations and institutions that had begun in the Progressive Era. </w:t>
      </w:r>
      <w:r w:rsidDel="00000000" w:rsidR="00000000" w:rsidRPr="00000000">
        <w:rPr>
          <w:rtl w:val="0"/>
        </w:rPr>
        <w:t xml:space="preserve">As the omnivorous generation aged into adulthood and older age,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create historical continuity between this extraordinary period of institutional transformation and expansion and the present. This is manifested primarily in the enduring proclivity to engage the arts more than members of older generations. Remarkably, the encoded historical memories of the omnivorous generation continue to be forceful even during a period---beginning in the late 1970s---of increasing retraction and devolution of government support for the arts. </w:t>
      </w:r>
    </w:p>
    <w:p w:rsidR="00000000" w:rsidDel="00000000" w:rsidP="00000000" w:rsidRDefault="00000000" w:rsidRPr="00000000" w14:paraId="0000006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uied6uvch1bv" w:id="26"/>
      <w:bookmarkEnd w:id="26"/>
      <w:r w:rsidDel="00000000" w:rsidR="00000000" w:rsidRPr="00000000">
        <w:rPr>
          <w:rtl w:val="0"/>
        </w:rPr>
        <w:t xml:space="preserve">3.5 Aesthetic Entrepreneurship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Deal era arts administrators transformed the institutional practices of benchmark arts organizations so that folk material could be included in their collections and repertoires. Among them was Holger Cahill, Director of the Federal Art Project (FAP) (1935-1943), who influenced the curatorial directions of several institutions including the Newark Museum and MoMA, where he served as interim director for a year (1932-1933). He filled in for his frequent collaborator Alfred H. Barr, the first Director of MoMA (1929-1943), and in this post both were concerned with canonizing material that drew upon the nation’s unique folk traditions, a modernist project for which MoMA would become famous. They were joined by Edith Halpert, an art dealer who co-founded New York City’s first folk art gallery (the American Folk Art Gallery) with Cahill in 1929. All three (Halpert, Cahill, and Barr) had close relationships with Abby Aldrich Rockefeller and worked with her to build her large and influential collection of both modern and folk art (Bacon 2005).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Barr was succeeded as the Director of MoMA by another advocate of folk art and alum of the New Deal arts agencies. Formerly Manager of the WPA’s Indian Arts and Crafts Board, René d'Harnoncourt was an established expert in Mexican, vernacular, and modern American art. During his tenure at MoMA (1949-1968), d’Harnoncourt supervised and curated numerous exhibitions of folk art from the U.S. and elsewhere including displays of “African Negro Sculpture” (1952), American woodcuts (1952), toys (1953), “young American printmakers” (1954), animated cartoons, paintings by “amateurs” (1955), graffiti (1956), film posters (1960), and “Japanese vernacular graphics” (1961). He became a close advisor to Nelson A. Rockefeller, Abby Rockefeller's son, and supported Nelson’s acquisition of an enormous collection of so-called “primitive art” from Africa, Oceania, and the Americas. It was d'Harnoncourt who encouraged the budding philanthropist to establish a museum to display his collection. Rockefeller opened the Museum of Primitive Art in 1957; it housed the nation's most extensive collection of art objects from Africa, Oceania, and the Americas until it closed in 1976. Rockefeller's primitive art collection was then transferred to the Metropolitan Museum of Art (NYC), signaling a shift in the museum’s opinion of these works, and their adoption or recognition of this work as art (LaGamma et al 2014). Equally significant changes were taking place in the performing arts, as cultural capitalists moved benchmark arts organizations toward the goal of preserving and protecting a distinctly American vernacular modernism.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significance of this move toward vernacular modernism, and the expansion of art historical canons to include the works of folk and minority artists, can also be seen in the creation of new organizations and institutions throughout the United States. These include the </w:t>
      </w:r>
      <w:r w:rsidDel="00000000" w:rsidR="00000000" w:rsidRPr="00000000">
        <w:rPr>
          <w:rtl w:val="0"/>
        </w:rPr>
        <w:t xml:space="preserve">American</w:t>
      </w:r>
      <w:r w:rsidDel="00000000" w:rsidR="00000000" w:rsidRPr="00000000">
        <w:rPr>
          <w:rtl w:val="0"/>
        </w:rPr>
        <w:t xml:space="preserve"> Folklife Preservation Act of 1976, the American Folklife Center, the Folk Arts Program at the National Endowment of the Arts, and UNESCO’s 2003 International Convention on the Safeguarding of Intangible Cultural Heritage (Kurin 1989: 18-19).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creative communities have benefited from the expansion of the canon to include folk and vernacular forms of culture. Cinema, jazz and rock music, graffiti, and weaving and textiles (especially quilting) are a few of the many forms of creative expression legitimated in the 20th century, each of which benefited from the institutional and organizational transformations that began in the Progressive Era (McDonald 1969: 343-4). </w:t>
      </w:r>
      <w:r w:rsidDel="00000000" w:rsidR="00000000" w:rsidRPr="00000000">
        <w:rPr>
          <w:rtl w:val="0"/>
        </w:rPr>
        <w:t xml:space="preserve">Thus, we see a plumb line from the WPA arts programs to the present in the role of benchmark arts organizations, the Federal government, and a small group of cultural capitalists in documenting, preserving, and displaying American folk culture. The governors of these organizations and events contributed to the growth of new arts institutions and organizations. </w:t>
      </w:r>
      <w:r w:rsidDel="00000000" w:rsidR="00000000" w:rsidRPr="00000000">
        <w:rPr>
          <w:rtl w:val="0"/>
        </w:rPr>
        <w:t xml:space="preserve">Progressive Era elites</w:t>
      </w:r>
      <w:r w:rsidDel="00000000" w:rsidR="00000000" w:rsidRPr="00000000">
        <w:rPr>
          <w:rtl w:val="0"/>
        </w:rPr>
        <w:t xml:space="preserve"> legitimated </w:t>
      </w:r>
      <w:r w:rsidDel="00000000" w:rsidR="00000000" w:rsidRPr="00000000">
        <w:rPr>
          <w:rtl w:val="0"/>
        </w:rPr>
        <w:t xml:space="preserve">a form</w:t>
      </w:r>
      <w:r w:rsidDel="00000000" w:rsidR="00000000" w:rsidRPr="00000000">
        <w:rPr>
          <w:rtl w:val="0"/>
        </w:rPr>
        <w:t xml:space="preserve"> of folk American </w:t>
      </w:r>
      <w:r w:rsidDel="00000000" w:rsidR="00000000" w:rsidRPr="00000000">
        <w:rPr>
          <w:rtl w:val="0"/>
        </w:rPr>
        <w:t xml:space="preserve">culture</w:t>
      </w:r>
      <w:r w:rsidDel="00000000" w:rsidR="00000000" w:rsidRPr="00000000">
        <w:rPr>
          <w:rtl w:val="0"/>
        </w:rPr>
        <w:t xml:space="preserve">, </w:t>
      </w:r>
      <w:r w:rsidDel="00000000" w:rsidR="00000000" w:rsidRPr="00000000">
        <w:rPr>
          <w:rtl w:val="0"/>
        </w:rPr>
        <w:t xml:space="preserve">and a generation of Americans were exposed to it in public and private spaces across the country.</w:t>
      </w:r>
      <w:r w:rsidDel="00000000" w:rsidR="00000000" w:rsidRPr="00000000">
        <w:rPr>
          <w:rtl w:val="0"/>
        </w:rPr>
        <w:t xml:space="preserve"> </w:t>
      </w:r>
      <w:r w:rsidDel="00000000" w:rsidR="00000000" w:rsidRPr="00000000">
        <w:rPr>
          <w:rtl w:val="0"/>
        </w:rPr>
        <w:t xml:space="preserve">The WPA art projects fostered two tendencies that are critical to our argument: “a greater awareness of art on the part of the American people, and a greater awareness of America on the part of the American artist” (McDonald 1969: 341).</w:t>
      </w:r>
      <w:r w:rsidDel="00000000" w:rsidR="00000000" w:rsidRPr="00000000">
        <w:rPr>
          <w:rtl w:val="0"/>
        </w:rPr>
      </w:r>
    </w:p>
    <w:p w:rsidR="00000000" w:rsidDel="00000000" w:rsidP="00000000" w:rsidRDefault="00000000" w:rsidRPr="00000000" w14:paraId="00000071">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qlltc0m93znf" w:id="27"/>
      <w:bookmarkEnd w:id="27"/>
      <w:r w:rsidDel="00000000" w:rsidR="00000000" w:rsidRPr="00000000">
        <w:rPr>
          <w:rtl w:val="0"/>
        </w:rPr>
        <w:t xml:space="preserve">3.6 Supplementary Analysis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our argument, it is instructive to compare generational differences across consumption domains that differ both by (a) levels of differentiation  across social strata and (b) the likelihood of being an institutional conduit for the aesthetic valorization of American </w:t>
      </w:r>
      <w:r w:rsidDel="00000000" w:rsidR="00000000" w:rsidRPr="00000000">
        <w:rPr>
          <w:rtl w:val="0"/>
        </w:rPr>
        <w:t xml:space="preserve">folk culture. Out of the eight SPPA core participation activities, attendance at </w:t>
      </w:r>
      <w:r w:rsidDel="00000000" w:rsidR="00000000" w:rsidRPr="00000000">
        <w:rPr>
          <w:rtl w:val="0"/>
        </w:rPr>
        <w:t xml:space="preserve">Art Museums and Craft Fairs and Art Festivals</w:t>
      </w:r>
      <w:r w:rsidDel="00000000" w:rsidR="00000000" w:rsidRPr="00000000">
        <w:rPr>
          <w:rtl w:val="0"/>
        </w:rPr>
        <w:t xml:space="preserve"> provide such a substantively motivated contrast (DiMaggio and Mukhtar 2004; López-Sintas and Katz-Gerro 2005). If our argument is on the right track, we should find sharper cohort </w:t>
      </w:r>
      <w:r w:rsidDel="00000000" w:rsidR="00000000" w:rsidRPr="00000000">
        <w:rPr>
          <w:rtl w:val="0"/>
        </w:rPr>
        <w:t xml:space="preserve">differentiation patterns </w:t>
      </w:r>
      <w:r w:rsidDel="00000000" w:rsidR="00000000" w:rsidRPr="00000000">
        <w:rPr>
          <w:rtl w:val="0"/>
        </w:rPr>
        <w:t xml:space="preserve">setting apart the omnivorous generation from other cohorts for Craft Fair and Art Festival attendance, since the latter was a locus of state-led institutional investment and a conduit of aesthetic valorization practices. In addition, we should find a relative lack of differentiation between persons who have garnered elite markers of status (e.g. a college degree) and those without in the generational effect for Craft Fairs and Art Festivals in comparison to Art Museum attendance.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2 About Here]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3 About Here]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Figures 2 and 3 show the results of cohort-specific participation likelihood estimates obtained from separate random-effects HAPC models estimated for persons without and with a college education (or </w:t>
      </w:r>
      <w:r w:rsidDel="00000000" w:rsidR="00000000" w:rsidRPr="00000000">
        <w:rPr>
          <w:rtl w:val="0"/>
        </w:rPr>
        <w:t xml:space="preserve">more</w:t>
      </w:r>
      <w:r w:rsidDel="00000000" w:rsidR="00000000" w:rsidRPr="00000000">
        <w:rPr>
          <w:rtl w:val="0"/>
        </w:rPr>
        <w:t xml:space="preserve">) for both participation in Art Festivals/Craft Fairs and Art Museum attendance (respectively). As before, the cohort effect is the deviation in the expected probability of participation in comparison to the cohort and group 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 non-college educated than college educated people born during those years have in relation to their </w:t>
      </w:r>
      <w:r w:rsidDel="00000000" w:rsidR="00000000" w:rsidRPr="00000000">
        <w:rPr>
          <w:i w:val="1"/>
          <w:iCs w:val="1"/>
          <w:rtl w:val="0"/>
        </w:rPr>
        <w:t xml:space="preserve">own</w:t>
      </w:r>
      <w:r w:rsidDel="00000000" w:rsidR="00000000" w:rsidRPr="00000000">
        <w:rPr>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 </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of this analysis show the omnivorous generation effect crosses the 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college educated persons born between 1930 and 1950. However, the difference within this cohort between those with college educations and those without is larger for Art </w:t>
      </w:r>
      <w:r w:rsidDel="00000000" w:rsidR="00000000" w:rsidRPr="00000000">
        <w:rPr>
          <w:rtl w:val="0"/>
        </w:rPr>
        <w:t xml:space="preserve">Museums</w:t>
      </w:r>
      <w:r w:rsidDel="00000000" w:rsidR="00000000" w:rsidRPr="00000000">
        <w:rPr>
          <w:rtl w:val="0"/>
        </w:rPr>
        <w:t xml:space="preserve">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w:t>
      </w:r>
      <w:r w:rsidDel="00000000" w:rsidR="00000000" w:rsidRPr="00000000">
        <w:rPr>
          <w:rtl w:val="0"/>
        </w:rPr>
        <w:t xml:space="preserve">did not depend</w:t>
      </w:r>
      <w:r w:rsidDel="00000000" w:rsidR="00000000" w:rsidRPr="00000000">
        <w:rPr>
          <w:rtl w:val="0"/>
        </w:rPr>
        <w:t xml:space="preserve">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w:t>
      </w:r>
      <w:r w:rsidDel="00000000" w:rsidR="00000000" w:rsidRPr="00000000">
        <w:rPr>
          <w:rtl w:val="0"/>
        </w:rPr>
        <w:t xml:space="preserve">museums</w:t>
      </w:r>
      <w:r w:rsidDel="00000000" w:rsidR="00000000" w:rsidRPr="00000000">
        <w:rPr>
          <w:rtl w:val="0"/>
        </w:rPr>
        <w:t xml:space="preserve">, as shown by the positive cohort effects on this outcome for non-college educated individuals born during the Progressive Era (Figure 3).</w:t>
      </w:r>
      <w:r w:rsidDel="00000000" w:rsidR="00000000" w:rsidRPr="00000000">
        <w:rPr>
          <w:vertAlign w:val="superscript"/>
        </w:rPr>
        <w:footnoteReference w:customMarkFollows="0" w:id="15"/>
      </w:r>
      <w:r w:rsidDel="00000000" w:rsidR="00000000" w:rsidRPr="00000000">
        <w:rPr>
          <w:rtl w:val="0"/>
        </w:rPr>
        <w:t xml:space="preserve"> </w:t>
      </w:r>
    </w:p>
    <w:p w:rsidR="00000000" w:rsidDel="00000000" w:rsidP="00000000" w:rsidRDefault="00000000" w:rsidRPr="00000000" w14:paraId="0000007B">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3vdxr1tubkb2" w:id="28"/>
      <w:bookmarkEnd w:id="28"/>
      <w:r w:rsidDel="00000000" w:rsidR="00000000" w:rsidRPr="00000000">
        <w:rPr>
          <w:rtl w:val="0"/>
        </w:rPr>
        <w:t xml:space="preserve">4.0 Discussion and Concluding Remarks</w:t>
      </w:r>
    </w:p>
    <w:p w:rsidR="00000000" w:rsidDel="00000000" w:rsidP="00000000" w:rsidRDefault="00000000" w:rsidRPr="00000000" w14:paraId="0000007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4zkxdswleydh" w:id="29"/>
      <w:bookmarkEnd w:id="29"/>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r w:rsidDel="00000000" w:rsidR="00000000" w:rsidRPr="00000000">
        <w:rPr>
          <w:rtl w:val="0"/>
        </w:rPr>
        <w:t xml:space="preserve">e have examined the consequences for cultural consumption of a </w:t>
      </w:r>
      <w:r w:rsidDel="00000000" w:rsidR="00000000" w:rsidRPr="00000000">
        <w:rPr>
          <w:rtl w:val="0"/>
        </w:rPr>
        <w:t xml:space="preserve">transformation in the artistic classification system.</w:t>
      </w:r>
      <w:r w:rsidDel="00000000" w:rsidR="00000000" w:rsidRPr="00000000">
        <w:rPr>
          <w:rtl w:val="0"/>
        </w:rPr>
        <w:t xml:space="preserve">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w:t>
      </w:r>
      <w:r w:rsidDel="00000000" w:rsidR="00000000" w:rsidRPr="00000000">
        <w:rPr>
          <w:rtl w:val="0"/>
        </w:rPr>
        <w:t xml:space="preserve"> (DiMaggio and Mukhtar 2004; López-Sintas and Katz-Gerro 2005; Garcia-Alvarez, López-Sintas and Katz-Gerro 2007; Johnston and Baumann </w:t>
      </w:r>
      <w:r w:rsidDel="00000000" w:rsidR="00000000" w:rsidRPr="00000000">
        <w:rPr>
          <w:rtl w:val="0"/>
        </w:rPr>
        <w:t xml:space="preserve">2007</w:t>
      </w:r>
      <w:r w:rsidDel="00000000" w:rsidR="00000000" w:rsidRPr="00000000">
        <w:rPr>
          <w:rtl w:val="0"/>
        </w:rPr>
        <w:t xml:space="preserve">; Rossman and Peterson 2015). </w:t>
      </w:r>
      <w:r w:rsidDel="00000000" w:rsidR="00000000" w:rsidRPr="00000000">
        <w:rPr>
          <w:rtl w:val="0"/>
        </w:rPr>
        <w:t xml:space="preserve">Our analysis advances the literature in demonstrating the analytic payoff of taking temporality seriously for the purpose of elucidating the mechanisms that generate cultural tastes (Reeves 2015). </w:t>
      </w:r>
      <w:r w:rsidDel="00000000" w:rsidR="00000000" w:rsidRPr="00000000">
        <w:rPr>
          <w:rtl w:val="0"/>
        </w:rPr>
        <w:t xml:space="preserve">Unlike our peers, we focus on omnivorousness as a group-level phenomenon, </w:t>
      </w:r>
      <w:r w:rsidDel="00000000" w:rsidR="00000000" w:rsidRPr="00000000">
        <w:rPr>
          <w:rtl w:val="0"/>
        </w:rPr>
        <w:t xml:space="preserve"> demonstrating how the uptake of cultural goods previously marked as popular, vernacular, folk, or primitive culture by art publics is conditioned by historically specific processes of institutional change, institution building, and cultural expansion. In this way, our argument addresses a key issue raised by a small but growing chorus of voices clamoring to situate the omnivore taste phenomenon in a more encompassing macro-historical </w:t>
      </w:r>
      <w:r w:rsidDel="00000000" w:rsidR="00000000" w:rsidRPr="00000000">
        <w:rPr>
          <w:rtl w:val="0"/>
        </w:rPr>
        <w:t xml:space="preserve">context</w:t>
      </w:r>
      <w:r w:rsidDel="00000000" w:rsidR="00000000" w:rsidRPr="00000000">
        <w:rPr>
          <w:rtl w:val="0"/>
        </w:rPr>
        <w:t xml:space="preserve">, one attentive to case-specific historical trajectories (Johnston and Baumann 2007; Fishman and Lizardo 2013; </w:t>
      </w:r>
      <w:r w:rsidDel="00000000" w:rsidR="00000000" w:rsidRPr="00000000">
        <w:rPr>
          <w:rtl w:val="0"/>
        </w:rPr>
        <w:t xml:space="preserve">Hanquinet, Roose and Savage 2014</w:t>
      </w:r>
      <w:r w:rsidDel="00000000" w:rsidR="00000000" w:rsidRPr="00000000">
        <w:rPr>
          <w:rtl w:val="0"/>
        </w:rPr>
        <w:t xml:space="preserve">; </w:t>
      </w:r>
      <w:r w:rsidDel="00000000" w:rsidR="00000000" w:rsidRPr="00000000">
        <w:rPr>
          <w:rtl w:val="0"/>
        </w:rPr>
        <w:t xml:space="preserve">Prieur and Savage 2013</w:t>
      </w:r>
      <w:r w:rsidDel="00000000" w:rsidR="00000000" w:rsidRPr="00000000">
        <w:rPr>
          <w:rtl w:val="0"/>
        </w:rPr>
        <w:t xml:space="preserve">; Lizardo 2008; Wright 2011).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scholars have suggested that </w:t>
      </w:r>
      <w:r w:rsidDel="00000000" w:rsidR="00000000" w:rsidRPr="00000000">
        <w:rPr>
          <w:rtl w:val="0"/>
        </w:rPr>
        <w:t xml:space="preserve">omnivorousness</w:t>
      </w:r>
      <w:r w:rsidDel="00000000" w:rsidR="00000000" w:rsidRPr="00000000">
        <w:rPr>
          <w:rtl w:val="0"/>
        </w:rPr>
        <w:t xml:space="preserve"> is an irreversible epochal shift toward more inclusive tastes--either only among elites, or as a broad cultural transformation toward cosmopolitanism (Regev 2007; Saito 2011; Prieur and Savage 2013). </w:t>
      </w:r>
      <w:r w:rsidDel="00000000" w:rsidR="00000000" w:rsidRPr="00000000">
        <w:rPr>
          <w:rtl w:val="0"/>
        </w:rPr>
        <w:t xml:space="preserve">Some of these scholars intimate that this transformation can be traced to pervasive and powerful media presentations of global culture (Appadurai 1996; Kuipers and de Kloet 2009; Wright, Purhonen and Heikkilä 2013), the exhaustion of modernist aesthetic as a cultural force and the subsequent hegemony of consumer culture (Wright 2011; Hanquinet, Roose and Savage 2014), or increasing social and geographic </w:t>
      </w:r>
      <w:r w:rsidDel="00000000" w:rsidR="00000000" w:rsidRPr="00000000">
        <w:rPr>
          <w:rtl w:val="0"/>
        </w:rPr>
        <w:t xml:space="preserve">mobility</w:t>
      </w:r>
      <w:r w:rsidDel="00000000" w:rsidR="00000000" w:rsidRPr="00000000">
        <w:rPr>
          <w:rtl w:val="0"/>
        </w:rPr>
        <w:t xml:space="preserve"> (Peterson and Kern 1996; Van Eijck 2001; Daenekindt and Roose 2014; Emmison 2003). </w:t>
      </w:r>
      <w:r w:rsidDel="00000000" w:rsidR="00000000" w:rsidRPr="00000000">
        <w:rPr>
          <w:rtl w:val="0"/>
        </w:rPr>
        <w:t xml:space="preserve">Yet these scholars have not investigated the possibility that omnivorousness can function as a </w:t>
      </w:r>
      <w:r w:rsidDel="00000000" w:rsidR="00000000" w:rsidRPr="00000000">
        <w:rPr>
          <w:i w:val="1"/>
          <w:iCs w:val="1"/>
          <w:rtl w:val="0"/>
        </w:rPr>
        <w:t xml:space="preserve">generational </w:t>
      </w:r>
      <w:r w:rsidDel="00000000" w:rsidR="00000000" w:rsidRPr="00000000">
        <w:rPr>
          <w:rtl w:val="0"/>
        </w:rPr>
        <w:t xml:space="preserve">trait, even though group-level measurement of the phenomenon would be the ideal method to adjudicate these hypotheses.</w:t>
      </w:r>
      <w:r w:rsidDel="00000000" w:rsidR="00000000" w:rsidRPr="00000000">
        <w:rPr>
          <w:vertAlign w:val="superscript"/>
        </w:rPr>
        <w:footnoteReference w:customMarkFollows="0" w:id="16"/>
      </w:r>
      <w:r w:rsidDel="00000000" w:rsidR="00000000" w:rsidRPr="00000000">
        <w:rPr>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shown </w:t>
      </w:r>
      <w:r w:rsidDel="00000000" w:rsidR="00000000" w:rsidRPr="00000000">
        <w:rPr>
          <w:rtl w:val="0"/>
        </w:rPr>
        <w:t xml:space="preserve">that historically rooted institutional processes constituted a </w:t>
      </w:r>
      <w:r w:rsidDel="00000000" w:rsidR="00000000" w:rsidRPr="00000000">
        <w:rPr>
          <w:rtl w:val="0"/>
        </w:rPr>
        <w:t xml:space="preserve">generation</w:t>
      </w:r>
      <w:r w:rsidDel="00000000" w:rsidR="00000000" w:rsidRPr="00000000">
        <w:rPr>
          <w:rtl w:val="0"/>
        </w:rPr>
        <w:t xml:space="preserve">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w:t>
      </w:r>
      <w:r w:rsidDel="00000000" w:rsidR="00000000" w:rsidRPr="00000000">
        <w:rPr>
          <w:rtl w:val="0"/>
        </w:rPr>
        <w:t xml:space="preserve">middlebrow</w:t>
      </w:r>
      <w:r w:rsidDel="00000000" w:rsidR="00000000" w:rsidRPr="00000000">
        <w:rPr>
          <w:rtl w:val="0"/>
        </w:rPr>
        <w:t xml:space="preserve">” fare, particularly after the mid-century. </w:t>
      </w:r>
      <w:r w:rsidDel="00000000" w:rsidR="00000000" w:rsidRPr="00000000">
        <w:rPr>
          <w:rFonts w:ascii="Arial" w:cs="Arial" w:eastAsia="Arial" w:hAnsi="Arial"/>
          <w:color w:val="333333"/>
          <w:sz w:val="20"/>
          <w:szCs w:val="20"/>
          <w:shd w:fill="f5f5f5" w:val="clear"/>
          <w:rtl w:val="0"/>
        </w:rPr>
        <w:t xml:space="preserve">.</w:t>
      </w:r>
      <w:r w:rsidDel="00000000" w:rsidR="00000000" w:rsidRPr="00000000">
        <w:rPr>
          <w:rtl w:val="0"/>
        </w:rPr>
        <w:t xml:space="preserve">Importantly, this implies that speaking of omnivorousness in terms that do not take into account the specific historical conditions under which clusters of individuals come of age has its limitations. </w:t>
      </w:r>
      <w:r w:rsidDel="00000000" w:rsidR="00000000" w:rsidRPr="00000000">
        <w:rPr>
          <w:rtl w:val="0"/>
        </w:rPr>
        <w:t xml:space="preserve">Simply put, future research needs to consider the possibility that the current focus on individual-level omnivorousness masks variegated, partially overlapping institutional processes of artistic valorization, whose outcomes ripple through distinct generations of art </w:t>
      </w:r>
      <w:r w:rsidDel="00000000" w:rsidR="00000000" w:rsidRPr="00000000">
        <w:rPr>
          <w:rtl w:val="0"/>
        </w:rPr>
        <w:t xml:space="preserve">consumers</w:t>
      </w:r>
      <w:r w:rsidDel="00000000" w:rsidR="00000000" w:rsidRPr="00000000">
        <w:rPr>
          <w:rtl w:val="0"/>
        </w:rPr>
        <w:t xml:space="preserve">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does suggest that while attention to institutional, organizational, and state-led projects geared towards the expansion of the aesthetic canon </w:t>
      </w:r>
      <w:r w:rsidDel="00000000" w:rsidR="00000000" w:rsidRPr="00000000">
        <w:rPr>
          <w:rtl w:val="0"/>
        </w:rPr>
        <w:t xml:space="preserve">is</w:t>
      </w:r>
      <w:r w:rsidDel="00000000" w:rsidR="00000000" w:rsidRPr="00000000">
        <w:rPr>
          <w:rtl w:val="0"/>
        </w:rPr>
        <w:t xml:space="preserve"> important, ultimately the “historicality” produced by these factors must ultimately be encoded in individuals to be causally </w:t>
      </w:r>
      <w:r w:rsidDel="00000000" w:rsidR="00000000" w:rsidRPr="00000000">
        <w:rPr>
          <w:rtl w:val="0"/>
        </w:rPr>
        <w:t xml:space="preserve">effective</w:t>
      </w:r>
      <w:r w:rsidDel="00000000" w:rsidR="00000000" w:rsidRPr="00000000">
        <w:rPr>
          <w:rtl w:val="0"/>
        </w:rPr>
        <w:t xml:space="preserve"> (Abbott 2016). In addition, because individuals carry these encodings forward </w:t>
      </w:r>
      <w:r w:rsidDel="00000000" w:rsidR="00000000" w:rsidRPr="00000000">
        <w:rPr>
          <w:rtl w:val="0"/>
        </w:rPr>
        <w:t xml:space="preserve">over</w:t>
      </w:r>
      <w:r w:rsidDel="00000000" w:rsidR="00000000" w:rsidRPr="00000000">
        <w:rPr>
          <w:rtl w:val="0"/>
        </w:rPr>
        <w:t xml:space="preserve">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w:t>
      </w:r>
      <w:r w:rsidDel="00000000" w:rsidR="00000000" w:rsidRPr="00000000">
        <w:rPr>
          <w:rtl w:val="0"/>
        </w:rPr>
        <w:t xml:space="preserve">)</w:t>
      </w:r>
      <w:r w:rsidDel="00000000" w:rsidR="00000000" w:rsidRPr="00000000">
        <w:rPr>
          <w:rtl w:val="0"/>
        </w:rPr>
        <w:t xml:space="preserve">.  Most </w:t>
      </w:r>
      <w:r w:rsidDel="00000000" w:rsidR="00000000" w:rsidRPr="00000000">
        <w:rPr>
          <w:rtl w:val="0"/>
        </w:rPr>
        <w:t xml:space="preserve">research </w:t>
      </w:r>
      <w:r w:rsidDel="00000000" w:rsidR="00000000" w:rsidRPr="00000000">
        <w:rPr>
          <w:rtl w:val="0"/>
        </w:rPr>
        <w:t xml:space="preserve">in the field focuses on individual level stratification </w:t>
      </w:r>
      <w:r w:rsidDel="00000000" w:rsidR="00000000" w:rsidRPr="00000000">
        <w:rPr>
          <w:rtl w:val="0"/>
        </w:rPr>
        <w:t xml:space="preserve">within</w:t>
      </w:r>
      <w:r w:rsidDel="00000000" w:rsidR="00000000" w:rsidRPr="00000000">
        <w:rPr>
          <w:rtl w:val="0"/>
        </w:rPr>
        <w:t xml:space="preserve"> generations, traceable to class, gender, or </w:t>
      </w:r>
      <w:r w:rsidDel="00000000" w:rsidR="00000000" w:rsidRPr="00000000">
        <w:rPr>
          <w:rtl w:val="0"/>
        </w:rPr>
        <w:t xml:space="preserve">race</w:t>
      </w:r>
      <w:r w:rsidDel="00000000" w:rsidR="00000000" w:rsidRPr="00000000">
        <w:rPr>
          <w:rtl w:val="0"/>
        </w:rPr>
        <w:t xml:space="preserve">.</w:t>
      </w:r>
      <w:r w:rsidDel="00000000" w:rsidR="00000000" w:rsidRPr="00000000">
        <w:rPr>
          <w:vertAlign w:val="superscript"/>
        </w:rPr>
        <w:footnoteReference w:customMarkFollows="0" w:id="17"/>
      </w:r>
      <w:r w:rsidDel="00000000" w:rsidR="00000000" w:rsidRPr="00000000">
        <w:rPr>
          <w:rtl w:val="0"/>
        </w:rPr>
        <w:t xml:space="preserve"> We argue that the existence of a generationally specific forms of avid engagement in the arts cannot be accounted for without understanding major institutional and organizational transformations during the Progressive Era. We may enhance our explanations of</w:t>
      </w:r>
      <w:r w:rsidDel="00000000" w:rsidR="00000000" w:rsidRPr="00000000">
        <w:rPr>
          <w:rtl w:val="0"/>
        </w:rPr>
        <w:t xml:space="preserve"> heterogeneity</w:t>
      </w:r>
      <w:r w:rsidDel="00000000" w:rsidR="00000000" w:rsidRPr="00000000">
        <w:rPr>
          <w:rtl w:val="0"/>
        </w:rPr>
        <w:t xml:space="preserve"> in cultural engagement (in the U.S., abroad, or cross-nationally)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8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gmh7e581y4v" w:id="30"/>
      <w:bookmarkEnd w:id="30"/>
      <w:r w:rsidDel="00000000" w:rsidR="00000000" w:rsidRPr="00000000">
        <w:rPr>
          <w:rtl w:val="0"/>
        </w:rPr>
        <w:t xml:space="preserve">4.2 Contributions to Studies of Organizational and Institutional Change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r w:rsidDel="00000000" w:rsidR="00000000" w:rsidRPr="00000000">
        <w:rPr>
          <w:rtl w:val="0"/>
        </w:rPr>
        <w:t xml:space="preserve"> have argued that one cluster of influences on cultural participation can be found in the government programs that employed artists during the New Deal, the consequent expansion of benchmark arts canons that followed, and the artistic valorization of these folk </w:t>
      </w:r>
      <w:r w:rsidDel="00000000" w:rsidR="00000000" w:rsidRPr="00000000">
        <w:rPr>
          <w:rtl w:val="0"/>
        </w:rPr>
        <w:t xml:space="preserve">idioms</w:t>
      </w:r>
      <w:r w:rsidDel="00000000" w:rsidR="00000000" w:rsidRPr="00000000">
        <w:rPr>
          <w:rtl w:val="0"/>
        </w:rPr>
        <w:t xml:space="preserve">. These institutional changes contributed to the creation of a distinct generation of art consumers in the last quarter of the 20</w:t>
      </w:r>
      <w:r w:rsidDel="00000000" w:rsidR="00000000" w:rsidRPr="00000000">
        <w:rPr>
          <w:vertAlign w:val="superscript"/>
          <w:rtl w:val="0"/>
        </w:rPr>
        <w:t xml:space="preserve">th</w:t>
      </w:r>
      <w:r w:rsidDel="00000000" w:rsidR="00000000" w:rsidRPr="00000000">
        <w:rPr>
          <w:rtl w:val="0"/>
        </w:rPr>
        <w:t xml:space="preserve"> century, one that displays intensive patterns of arts participation to this day. In this way, the present research adds to our understanding of the organizational and institutional foundations of the rise of taste publics. Our analysis shows that this sort of “institutional work” can have wide-ranging consequences, including the formation of enduring cultural dispositions among an entire generation of art </w:t>
      </w:r>
      <w:r w:rsidDel="00000000" w:rsidR="00000000" w:rsidRPr="00000000">
        <w:rPr>
          <w:rtl w:val="0"/>
        </w:rPr>
        <w:t xml:space="preserve">consumers</w:t>
      </w:r>
      <w:r w:rsidDel="00000000" w:rsidR="00000000" w:rsidRPr="00000000">
        <w:rPr>
          <w:rtl w:val="0"/>
        </w:rPr>
        <w:t xml:space="preserve"> (DiMaggio 2000). </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While we have not focused here on the contrast between the omnivorous generation and younger cohorts, we do speculate that the long-run impact of these organizational and institutional changes on subsequent generations was uneven. While most additions to the canon remained, and the basic classification schema remained in place, the end of the New Deal heralded the gradual decline of other resources. Art schools closed, murals were over-painted, and federal cultural policy gradually turned toward providing relatively meagre levels of support for individual professional artists (and later, primarily organizations).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constellation of factors that produced the omnivorous generation were only partially (and sometimes only weakly) present for their children. However, Americans born in the 1980s or thereafter may not yet have reached their peak years of cultural engagement and could, in thirty years time, reveal themselves to be members of a second omnivorous generation. There are other forms of cultural consumption which, if cross-sectional data were available, could permit us to identify a strong generational effect for younger Americans (e.g., comic books, music videos). In short, we can neither negate the power of these organizational and institutional changes to produce a generational effect among younger cohorts in subsequent waves of the SPPA, nor can we dismiss the possibility that other cultural items would reveal a generational pattern that is different from the one we have identified above.</w:t>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Scholars have identified patterns of omnivorousness among individuals in many nations, and we recommend the application of our model to those data. </w:t>
      </w:r>
      <w:r w:rsidDel="00000000" w:rsidR="00000000" w:rsidRPr="00000000">
        <w:rPr>
          <w:rtl w:val="0"/>
        </w:rPr>
        <w:t xml:space="preserve">The exogenous factors that gave birth to an omnivorous generation (e.g., economic depression, state and educational expansion) were felt </w:t>
      </w:r>
      <w:r w:rsidDel="00000000" w:rsidR="00000000" w:rsidRPr="00000000">
        <w:rPr>
          <w:rtl w:val="0"/>
        </w:rPr>
        <w:t xml:space="preserve">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It is also possible that organizational and institutional transformations abroad could have resulted from isomorphic pressures exerted by changes in the U.S., without having grounding in any domestic work relief program.</w:t>
      </w:r>
      <w:r w:rsidDel="00000000" w:rsidR="00000000" w:rsidRPr="00000000">
        <w:rPr>
          <w:rtl w:val="0"/>
        </w:rPr>
        <w:t xml:space="preserve">. Whether there are broad cross-national commonalities or synchronicities in the emergence and generational location of omnivorous expression should be left as an empirical question to be answered in each national setting.</w:t>
      </w:r>
      <w:r w:rsidDel="00000000" w:rsidR="00000000" w:rsidRPr="00000000">
        <w:rPr>
          <w:rtl w:val="0"/>
        </w:rPr>
      </w:r>
    </w:p>
    <w:p w:rsidR="00000000" w:rsidDel="00000000" w:rsidP="00000000" w:rsidRDefault="00000000" w:rsidRPr="00000000" w14:paraId="0000008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fbdt4xzi94pe" w:id="31"/>
      <w:bookmarkEnd w:id="31"/>
      <w:r w:rsidDel="00000000" w:rsidR="00000000" w:rsidRPr="00000000">
        <w:rPr>
          <w:rtl w:val="0"/>
        </w:rPr>
        <w:t xml:space="preserve">4.4 Contributions to Comparative Cultural Policy </w:t>
      </w:r>
      <w:r w:rsidDel="00000000" w:rsidR="00000000" w:rsidRPr="00000000">
        <w:rPr>
          <w:rtl w:val="0"/>
        </w:rPr>
        <w:t xml:space="preserve">Studies</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an omnivorous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w:t>
      </w:r>
      <w:r w:rsidDel="00000000" w:rsidR="00000000" w:rsidRPr="00000000">
        <w:rPr>
          <w:rtl w:val="0"/>
        </w:rPr>
        <w:t xml:space="preserve">. </w:t>
      </w:r>
    </w:p>
    <w:p w:rsidR="00000000" w:rsidDel="00000000" w:rsidP="00000000" w:rsidRDefault="00000000" w:rsidRPr="00000000" w14:paraId="0000008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wtg6dx6sw7r" w:id="32"/>
      <w:bookmarkEnd w:id="32"/>
      <w:r w:rsidDel="00000000" w:rsidR="00000000" w:rsidRPr="00000000">
        <w:br w:type="page"/>
      </w:r>
      <w:r w:rsidDel="00000000" w:rsidR="00000000" w:rsidRPr="00000000">
        <w:rPr>
          <w:rtl w:val="0"/>
        </w:rPr>
        <w:t xml:space="preserve">Appendix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age-period-cohort problem is ultimately one of perfect collinearity between three pieces of information, and there are no assumption-free ways of resolving that collinearity.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rsidR="00000000" w:rsidDel="00000000" w:rsidP="00000000" w:rsidRDefault="00000000" w:rsidRPr="00000000" w14:paraId="0000008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fhk0vpz8v0o" w:id="33"/>
      <w:bookmarkEnd w:id="33"/>
      <w:r w:rsidDel="00000000" w:rsidR="00000000" w:rsidRPr="00000000">
        <w:rPr>
          <w:rtl w:val="0"/>
        </w:rPr>
        <w:t xml:space="preserve">1.0 Fixed Effects HAPC Estimator</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way to check the robustness of the results is to examine their resilience when we relax a key assumption of the HAPC strategy: that the cohort and period “group” effects can be parsimoniously modelled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that certain results (e.g. large positive deviations for the 1930 to 1955 generations) may be produced by over-smoothing </w:t>
      </w:r>
      <w:r w:rsidDel="00000000" w:rsidR="00000000" w:rsidRPr="00000000">
        <w:rPr>
          <w:rtl w:val="0"/>
        </w:rPr>
        <w:t xml:space="preserve">underlying</w:t>
      </w:r>
      <w:r w:rsidDel="00000000" w:rsidR="00000000" w:rsidRPr="00000000">
        <w:rPr>
          <w:rtl w:val="0"/>
        </w:rPr>
        <w:t xml:space="preserve"> non-linear cohort trends. Yang and Land (2008) thus recommend checking results from the two estimation strategies for consistency.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4  About Here]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Estimates of cohort-specific levels of engagement </w:t>
      </w:r>
      <w:r w:rsidDel="00000000" w:rsidR="00000000" w:rsidRPr="00000000">
        <w:rPr>
          <w:rtl w:val="0"/>
        </w:rPr>
        <w:t xml:space="preserve">(at 5-year intervals) </w:t>
      </w:r>
      <w:r w:rsidDel="00000000" w:rsidR="00000000" w:rsidRPr="00000000">
        <w:rPr>
          <w:rtl w:val="0"/>
        </w:rPr>
        <w:t xml:space="preserve">estimated from the random-effects and fixed-effects estimation approaches are shown in </w:t>
      </w:r>
      <w:r w:rsidDel="00000000" w:rsidR="00000000" w:rsidRPr="00000000">
        <w:rPr>
          <w:rtl w:val="0"/>
        </w:rPr>
        <w:t xml:space="preserve">F</w:t>
      </w:r>
      <w:r w:rsidDel="00000000" w:rsidR="00000000" w:rsidRPr="00000000">
        <w:rPr>
          <w:rtl w:val="0"/>
        </w:rPr>
        <w:t xml:space="preserve">igure 3. As the </w:t>
      </w:r>
      <w:r w:rsidDel="00000000" w:rsidR="00000000" w:rsidRPr="00000000">
        <w:rPr>
          <w:rtl w:val="0"/>
        </w:rPr>
        <w:t xml:space="preserve">F</w:t>
      </w:r>
      <w:r w:rsidDel="00000000" w:rsidR="00000000" w:rsidRPr="00000000">
        <w:rPr>
          <w:rtl w:val="0"/>
        </w:rPr>
        <w:t xml:space="preserve">igure shows, both estimation strategies reveal a reverse “U” shaped cohort trend peaking between </w:t>
      </w:r>
      <w:r w:rsidDel="00000000" w:rsidR="00000000" w:rsidRPr="00000000">
        <w:rPr>
          <w:rtl w:val="0"/>
        </w:rPr>
        <w:t xml:space="preserve">1930 and </w:t>
      </w:r>
      <w:r w:rsidDel="00000000" w:rsidR="00000000" w:rsidRPr="00000000">
        <w:rPr>
          <w:rtl w:val="0"/>
        </w:rPr>
        <w:t xml:space="preserve">1950 for all eight core SPPA activities. </w:t>
      </w:r>
      <w:r w:rsidDel="00000000" w:rsidR="00000000" w:rsidRPr="00000000">
        <w:rPr>
          <w:rtl w:val="0"/>
        </w:rPr>
        <w:t xml:space="preserve">Significantly, this analysis demonstrates that</w:t>
      </w:r>
      <w:r w:rsidDel="00000000" w:rsidR="00000000" w:rsidRPr="00000000">
        <w:rPr>
          <w:rtl w:val="0"/>
        </w:rPr>
        <w:t xml:space="preserve"> the HAPC approach actually </w:t>
      </w:r>
      <w:r w:rsidDel="00000000" w:rsidR="00000000" w:rsidRPr="00000000">
        <w:rPr>
          <w:i w:val="1"/>
          <w:iCs w:val="1"/>
          <w:rtl w:val="0"/>
        </w:rPr>
        <w:t xml:space="preserve">underestimates </w:t>
      </w:r>
      <w:r w:rsidDel="00000000" w:rsidR="00000000" w:rsidRPr="00000000">
        <w:rPr>
          <w:rtl w:val="0"/>
        </w:rPr>
        <w:t xml:space="preserve">the differences between the </w:t>
      </w:r>
      <w:r w:rsidDel="00000000" w:rsidR="00000000" w:rsidRPr="00000000">
        <w:rPr>
          <w:rtl w:val="0"/>
        </w:rPr>
        <w:t xml:space="preserve">cohorts born between </w:t>
      </w:r>
      <w:r w:rsidDel="00000000" w:rsidR="00000000" w:rsidRPr="00000000">
        <w:rPr>
          <w:rtl w:val="0"/>
        </w:rPr>
        <w:t xml:space="preserve">1930 </w:t>
      </w:r>
      <w:r w:rsidDel="00000000" w:rsidR="00000000" w:rsidRPr="00000000">
        <w:rPr>
          <w:rtl w:val="0"/>
        </w:rPr>
        <w:t xml:space="preserve">and</w:t>
      </w:r>
      <w:r w:rsidDel="00000000" w:rsidR="00000000" w:rsidRPr="00000000">
        <w:rPr>
          <w:rtl w:val="0"/>
        </w:rPr>
        <w:t xml:space="preserve"> 1950 especially when it comes to the key contrast with their </w:t>
      </w:r>
      <w:r w:rsidDel="00000000" w:rsidR="00000000" w:rsidRPr="00000000">
        <w:rPr>
          <w:rtl w:val="0"/>
        </w:rPr>
        <w:t xml:space="preserve">older</w:t>
      </w:r>
      <w:r w:rsidDel="00000000" w:rsidR="00000000" w:rsidRPr="00000000">
        <w:rPr>
          <w:i w:val="1"/>
          <w:iCs w:val="1"/>
          <w:rtl w:val="0"/>
        </w:rPr>
        <w:t xml:space="preserve"> </w:t>
      </w:r>
      <w:r w:rsidDel="00000000" w:rsidR="00000000" w:rsidRPr="00000000">
        <w:rPr>
          <w:rtl w:val="0"/>
        </w:rPr>
        <w:t xml:space="preserve">counterparts (successors). This is true</w:t>
      </w:r>
      <w:r w:rsidDel="00000000" w:rsidR="00000000" w:rsidRPr="00000000">
        <w:rPr>
          <w:rtl w:val="0"/>
        </w:rPr>
        <w:t xml:space="preserve"> for all activities except Jazz and Classical music concerts. This is indicated by the more pronounced “peak” in the fixed-effect, cohort-specific estimates in comparison to the random-effects estimates</w:t>
      </w:r>
      <w:r w:rsidDel="00000000" w:rsidR="00000000" w:rsidRPr="00000000">
        <w:rPr>
          <w:rtl w:val="0"/>
        </w:rPr>
        <w:t xml:space="preserve"> of culture consumption activity and the much lower fixed-effects predictions for those born before 1930</w:t>
      </w:r>
      <w:r w:rsidDel="00000000" w:rsidR="00000000" w:rsidRPr="00000000">
        <w:rPr>
          <w:rtl w:val="0"/>
        </w:rPr>
        <w:t xml:space="preserve">. These differences are more pronounced for Musicals, Art Museums, Art Festivals, and Historic Monuments. As such, it is safe to say that the random-effects HAPC models revealed the presence of an omnivorous generation in spite of the fact that, in this particular application, </w:t>
      </w:r>
      <w:r w:rsidDel="00000000" w:rsidR="00000000" w:rsidRPr="00000000">
        <w:rPr>
          <w:rtl w:val="0"/>
        </w:rPr>
        <w:t xml:space="preserve">they</w:t>
      </w:r>
      <w:r w:rsidDel="00000000" w:rsidR="00000000" w:rsidRPr="00000000">
        <w:rPr>
          <w:rtl w:val="0"/>
        </w:rPr>
        <w:t xml:space="preserve"> turned out to be a more conservative estimation </w:t>
      </w:r>
      <w:r w:rsidDel="00000000" w:rsidR="00000000" w:rsidRPr="00000000">
        <w:rPr>
          <w:rtl w:val="0"/>
        </w:rPr>
        <w:t xml:space="preserve">strategy</w:t>
      </w:r>
      <w:r w:rsidDel="00000000" w:rsidR="00000000" w:rsidRPr="00000000">
        <w:rPr>
          <w:rtl w:val="0"/>
        </w:rPr>
        <w:t xml:space="preserve"> especially in “smoothing” the differences between the omnivorous generation and their immediate predecessors.</w:t>
      </w:r>
    </w:p>
    <w:p w:rsidR="00000000" w:rsidDel="00000000" w:rsidP="00000000" w:rsidRDefault="00000000" w:rsidRPr="00000000" w14:paraId="0000009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tk70z4idr3" w:id="34"/>
      <w:bookmarkEnd w:id="34"/>
      <w:r w:rsidDel="00000000" w:rsidR="00000000" w:rsidRPr="00000000">
        <w:rPr>
          <w:rtl w:val="0"/>
        </w:rPr>
        <w:t xml:space="preserve">2.0 Corroborating Omnivorous Generation Boundaries via the Graphical Method</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 data) strategy is the “graphical” approach for disaggregating period and cohort effects advocated by Reeves (2015) in the context of arts participation data. This is an approach Voas and Chaves (2016) </w:t>
      </w:r>
      <w:r w:rsidDel="00000000" w:rsidR="00000000" w:rsidRPr="00000000">
        <w:rPr>
          <w:rtl w:val="0"/>
        </w:rPr>
        <w:t xml:space="preserve">follow when </w:t>
      </w:r>
      <w:r w:rsidDel="00000000" w:rsidR="00000000" w:rsidRPr="00000000">
        <w:rPr>
          <w:rtl w:val="0"/>
        </w:rPr>
        <w:t xml:space="preserve">identifying cohort changes in </w:t>
      </w:r>
      <w:r w:rsidDel="00000000" w:rsidR="00000000" w:rsidRPr="00000000">
        <w:rPr>
          <w:rtl w:val="0"/>
        </w:rPr>
        <w:t xml:space="preserve">religious </w:t>
      </w:r>
      <w:r w:rsidDel="00000000" w:rsidR="00000000" w:rsidRPr="00000000">
        <w:rPr>
          <w:rtl w:val="0"/>
        </w:rPr>
        <w:t xml:space="preserve">participation in the U.S. Here</w:t>
      </w:r>
      <w:r w:rsidDel="00000000" w:rsidR="00000000" w:rsidRPr="00000000">
        <w:rPr>
          <w:rtl w:val="0"/>
        </w:rPr>
        <w:t xml:space="preserve">,</w:t>
      </w:r>
      <w:r w:rsidDel="00000000" w:rsidR="00000000" w:rsidRPr="00000000">
        <w:rPr>
          <w:rtl w:val="0"/>
        </w:rPr>
        <w:t xml:space="preserve"> we use it to validate the criterion validity of the cohort boundaries delimiting the omnivorous generation.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r w:rsidDel="00000000" w:rsidR="00000000" w:rsidRPr="00000000">
        <w:rPr>
          <w:rtl w:val="0"/>
        </w:rPr>
        <w:t xml:space="preserve">he graphical approach consists of the visual inspection of plots with survey year on the x-axis and a given outcome on the y-axis, with separate lines (either theoretically or empirically determined) </w:t>
      </w:r>
      <w:r w:rsidDel="00000000" w:rsidR="00000000" w:rsidRPr="00000000">
        <w:rPr>
          <w:rtl w:val="0"/>
        </w:rPr>
        <w:t xml:space="preserve">for </w:t>
      </w:r>
      <w:r w:rsidDel="00000000" w:rsidR="00000000" w:rsidRPr="00000000">
        <w:rPr>
          <w:rtl w:val="0"/>
        </w:rPr>
        <w:t xml:space="preserve">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w:t>
      </w:r>
      <w:r w:rsidDel="00000000" w:rsidR="00000000" w:rsidRPr="00000000">
        <w:rPr>
          <w:rtl w:val="0"/>
        </w:rPr>
        <w:t xml:space="preserve">,</w:t>
      </w:r>
      <w:r w:rsidDel="00000000" w:rsidR="00000000" w:rsidRPr="00000000">
        <w:rPr>
          <w:rtl w:val="0"/>
        </w:rPr>
        <w:t xml:space="preserve">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5 About Here]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w:t>
      </w:r>
      <w:r w:rsidDel="00000000" w:rsidR="00000000" w:rsidRPr="00000000">
        <w:rPr>
          <w:rtl w:val="0"/>
        </w:rPr>
        <w:t xml:space="preserve">se</w:t>
      </w:r>
      <w:r w:rsidDel="00000000" w:rsidR="00000000" w:rsidRPr="00000000">
        <w:rPr>
          <w:rtl w:val="0"/>
        </w:rPr>
        <w:t xml:space="preserve"> results provide strong support for the claim that there is a significant break in culture consumption behavior separating people born before 1930 from those born between 1930 and 1955. Across all eight core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w:t>
      </w:r>
      <w:r w:rsidDel="00000000" w:rsidR="00000000" w:rsidRPr="00000000">
        <w:rPr>
          <w:rtl w:val="0"/>
        </w:rPr>
        <w:t xml:space="preserve">Members of the omnivorous generation display higher levels of engagement with</w:t>
      </w:r>
      <w:r w:rsidDel="00000000" w:rsidR="00000000" w:rsidRPr="00000000">
        <w:rPr>
          <w:rtl w:val="0"/>
        </w:rPr>
        <w:t xml:space="preserve">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w:t>
      </w:r>
      <w:r w:rsidDel="00000000" w:rsidR="00000000" w:rsidRPr="00000000">
        <w:rPr>
          <w:rtl w:val="0"/>
        </w:rPr>
        <w:t xml:space="preserve">is the only field for which members of the omnivorous generation report comparable levels of engagement with other cohorts. </w:t>
      </w:r>
      <w:r w:rsidDel="00000000" w:rsidR="00000000" w:rsidRPr="00000000">
        <w:rPr>
          <w:rtl w:val="0"/>
        </w:rPr>
        <w:t xml:space="preserve">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r w:rsidDel="00000000" w:rsidR="00000000" w:rsidRPr="00000000">
        <w:rPr>
          <w:rtl w:val="0"/>
        </w:rPr>
        <w:t xml:space="preserve">.</w:t>
      </w:r>
    </w:p>
    <w:p w:rsidR="00000000" w:rsidDel="00000000" w:rsidP="00000000" w:rsidRDefault="00000000" w:rsidRPr="00000000" w14:paraId="0000009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ordjztft53d" w:id="35"/>
      <w:bookmarkEnd w:id="35"/>
      <w:r w:rsidDel="00000000" w:rsidR="00000000" w:rsidRPr="00000000">
        <w:rPr>
          <w:rtl w:val="0"/>
        </w:rPr>
        <w:t xml:space="preserve">3.0 Was the Omnivorous Generation More Likely to Have Higher Levels of Early Exposure to the Arts?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8"/>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9"/>
      </w:r>
      <w:r w:rsidDel="00000000" w:rsidR="00000000" w:rsidRPr="00000000">
        <w:rPr>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Respondents were asked:</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6  About Here]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Figure 6 shows, our results provide strong support for the contention that members of the omnivorousness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predecessors.</w:t>
      </w:r>
      <w:r w:rsidDel="00000000" w:rsidR="00000000" w:rsidRPr="00000000">
        <w:rPr>
          <w:vertAlign w:val="superscript"/>
        </w:rPr>
        <w:footnoteReference w:customMarkFollows="0" w:id="20"/>
      </w:r>
      <w:r w:rsidDel="00000000" w:rsidR="00000000" w:rsidRPr="00000000">
        <w:rPr>
          <w:rtl w:val="0"/>
        </w:rPr>
        <w:t xml:space="preserve"> In all, these results provide strong corroborating information for the underlying mechanisms suggested by the historical analysis presented </w:t>
      </w:r>
      <w:r w:rsidDel="00000000" w:rsidR="00000000" w:rsidRPr="00000000">
        <w:rPr>
          <w:rtl w:val="0"/>
        </w:rPr>
        <w:t xml:space="preserve">above</w:t>
      </w:r>
      <w:r w:rsidDel="00000000" w:rsidR="00000000" w:rsidRPr="00000000">
        <w:rPr>
          <w:rtl w:val="0"/>
        </w:rPr>
        <w:t xml:space="preserve">. </w:t>
      </w:r>
    </w:p>
    <w:p w:rsidR="00000000" w:rsidDel="00000000" w:rsidP="00000000" w:rsidRDefault="00000000" w:rsidRPr="00000000" w14:paraId="000000A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n44izamu562" w:id="36"/>
      <w:bookmarkEnd w:id="36"/>
      <w:r w:rsidDel="00000000" w:rsidR="00000000" w:rsidRPr="00000000">
        <w:rPr>
          <w:rtl w:val="0"/>
        </w:rPr>
      </w:r>
    </w:p>
    <w:p w:rsidR="00000000" w:rsidDel="00000000" w:rsidP="00000000" w:rsidRDefault="00000000" w:rsidRPr="00000000" w14:paraId="000000A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kitfk5wvcrh" w:id="37"/>
      <w:bookmarkEnd w:id="37"/>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d5vn1v2l8di" w:id="38"/>
      <w:bookmarkEnd w:id="38"/>
      <w:r w:rsidDel="00000000" w:rsidR="00000000" w:rsidRPr="00000000">
        <w:rPr>
          <w:rtl w:val="0"/>
        </w:rPr>
        <w:t xml:space="preserve">References</w:t>
      </w:r>
    </w:p>
    <w:p w:rsidR="00000000" w:rsidDel="00000000" w:rsidP="00000000" w:rsidRDefault="00000000" w:rsidRPr="00000000" w14:paraId="000000A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bpuzz74il3z" w:id="39"/>
      <w:bookmarkEnd w:id="39"/>
      <w:r w:rsidDel="00000000" w:rsidR="00000000" w:rsidRPr="00000000">
        <w:rPr>
          <w:rtl w:val="0"/>
        </w:rPr>
        <w:t xml:space="preserve">Abbott, Andrew. 2016. “The Historicality of Individuals.” Pp. 3-15 in </w:t>
      </w:r>
      <w:r w:rsidDel="00000000" w:rsidR="00000000" w:rsidRPr="00000000">
        <w:rPr>
          <w:i w:val="1"/>
          <w:iCs w:val="1"/>
          <w:rtl w:val="0"/>
        </w:rPr>
        <w:t xml:space="preserve">Processual Sociology.</w:t>
      </w:r>
      <w:r w:rsidDel="00000000" w:rsidR="00000000" w:rsidRPr="00000000">
        <w:rPr>
          <w:rtl w:val="0"/>
        </w:rPr>
        <w:t xml:space="preserve"> University of Chicago Press.</w:t>
      </w:r>
    </w:p>
    <w:p w:rsidR="00000000" w:rsidDel="00000000" w:rsidP="00000000" w:rsidRDefault="00000000" w:rsidRPr="00000000" w14:paraId="000000A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eq8b562saho" w:id="40"/>
      <w:bookmarkEnd w:id="40"/>
      <w:r w:rsidDel="00000000" w:rsidR="00000000" w:rsidRPr="00000000">
        <w:rPr>
          <w:rtl w:val="0"/>
        </w:rPr>
        <w:t xml:space="preserve">Alexander, Victoria D. </w:t>
      </w:r>
      <w:r w:rsidDel="00000000" w:rsidR="00000000" w:rsidRPr="00000000">
        <w:rPr>
          <w:rtl w:val="0"/>
        </w:rPr>
        <w:t xml:space="preserve">1996. “Pictures at an Exhibition: Conflicting Pressures in Museums and the Display of Art.” </w:t>
      </w:r>
      <w:r w:rsidDel="00000000" w:rsidR="00000000" w:rsidRPr="00000000">
        <w:rPr>
          <w:i w:val="1"/>
          <w:iCs w:val="1"/>
          <w:rtl w:val="0"/>
        </w:rPr>
        <w:t xml:space="preserve">American Journal of Sociology</w:t>
      </w:r>
      <w:r w:rsidDel="00000000" w:rsidR="00000000" w:rsidRPr="00000000">
        <w:rPr>
          <w:rtl w:val="0"/>
        </w:rPr>
        <w:t xml:space="preserve">. Vol. 101 (4): 797-839.</w:t>
      </w:r>
    </w:p>
    <w:p w:rsidR="00000000" w:rsidDel="00000000" w:rsidP="00000000" w:rsidRDefault="00000000" w:rsidRPr="00000000" w14:paraId="000000A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8itulb4f2v6" w:id="41"/>
      <w:bookmarkEnd w:id="41"/>
      <w:r w:rsidDel="00000000" w:rsidR="00000000" w:rsidRPr="00000000">
        <w:rPr>
          <w:rtl w:val="0"/>
        </w:rPr>
        <w:t xml:space="preserve">Alexander, Victoria D. 2008. “Cultural organizations and the state: art and state support in contemporary Britain.”</w:t>
      </w:r>
      <w:r w:rsidDel="00000000" w:rsidR="00000000" w:rsidRPr="00000000">
        <w:rPr>
          <w:i w:val="1"/>
          <w:iCs w:val="1"/>
          <w:rtl w:val="0"/>
        </w:rPr>
        <w:t xml:space="preserve"> Sociology Compass</w:t>
      </w:r>
      <w:r w:rsidDel="00000000" w:rsidR="00000000" w:rsidRPr="00000000">
        <w:rPr>
          <w:rtl w:val="0"/>
        </w:rPr>
        <w:t xml:space="preserve"> 2(5): 1416-1430.</w:t>
      </w:r>
      <w:r w:rsidDel="00000000" w:rsidR="00000000" w:rsidRPr="00000000">
        <w:rPr>
          <w:rtl w:val="0"/>
        </w:rPr>
      </w:r>
    </w:p>
    <w:p w:rsidR="00000000" w:rsidDel="00000000" w:rsidP="00000000" w:rsidRDefault="00000000" w:rsidRPr="00000000" w14:paraId="000000A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fev8ogzieuwx" w:id="42"/>
      <w:bookmarkEnd w:id="42"/>
      <w:r w:rsidDel="00000000" w:rsidR="00000000" w:rsidRPr="00000000">
        <w:rPr>
          <w:rtl w:val="0"/>
        </w:rPr>
        <w:t xml:space="preserve">Alexander, Victoria D. and Marilyn Rueschemeyer 2005. </w:t>
      </w:r>
      <w:r w:rsidDel="00000000" w:rsidR="00000000" w:rsidRPr="00000000">
        <w:rPr>
          <w:i w:val="1"/>
          <w:iCs w:val="1"/>
          <w:rtl w:val="0"/>
        </w:rPr>
        <w:t xml:space="preserve">Art and the State: The Visual Arts in Comparative Perspective</w:t>
      </w:r>
      <w:r w:rsidDel="00000000" w:rsidR="00000000" w:rsidRPr="00000000">
        <w:rPr>
          <w:rtl w:val="0"/>
        </w:rPr>
        <w:t xml:space="preserve">. London: Palgrave Macmillan.</w:t>
      </w:r>
    </w:p>
    <w:p w:rsidR="00000000" w:rsidDel="00000000" w:rsidP="00000000" w:rsidRDefault="00000000" w:rsidRPr="00000000" w14:paraId="000000A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n31b6dxbhhd" w:id="43"/>
      <w:bookmarkEnd w:id="43"/>
      <w:r w:rsidDel="00000000" w:rsidR="00000000" w:rsidRPr="00000000">
        <w:rPr>
          <w:rtl w:val="0"/>
        </w:rPr>
        <w:t xml:space="preserve">Allen, Michael Patrick, and Anne E Lincoln. 2004. “Critical Discourse and the Cultural Consecration of American Films.” </w:t>
      </w:r>
      <w:r w:rsidDel="00000000" w:rsidR="00000000" w:rsidRPr="00000000">
        <w:rPr>
          <w:i w:val="1"/>
          <w:iCs w:val="1"/>
          <w:rtl w:val="0"/>
        </w:rPr>
        <w:t xml:space="preserve">Social Forces</w:t>
      </w:r>
      <w:r w:rsidDel="00000000" w:rsidR="00000000" w:rsidRPr="00000000">
        <w:rPr>
          <w:rtl w:val="0"/>
        </w:rPr>
        <w:t xml:space="preserve"> 82: 871-894.</w:t>
      </w:r>
    </w:p>
    <w:p w:rsidR="00000000" w:rsidDel="00000000" w:rsidP="00000000" w:rsidRDefault="00000000" w:rsidRPr="00000000" w14:paraId="000000A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Appadurai, Arjun. 1996.</w:t>
      </w:r>
      <w:r w:rsidDel="00000000" w:rsidR="00000000" w:rsidRPr="00000000">
        <w:rPr>
          <w:i w:val="1"/>
          <w:iCs w:val="1"/>
          <w:rtl w:val="0"/>
        </w:rPr>
        <w:t xml:space="preserve"> Modernity at Large: Cultural Dimensions of Globalization</w:t>
      </w:r>
      <w:r w:rsidDel="00000000" w:rsidR="00000000" w:rsidRPr="00000000">
        <w:rPr>
          <w:rtl w:val="0"/>
        </w:rPr>
        <w:t xml:space="preserve">. University of Minnesota Press.</w:t>
      </w:r>
    </w:p>
    <w:p w:rsidR="00000000" w:rsidDel="00000000" w:rsidP="00000000" w:rsidRDefault="00000000" w:rsidRPr="00000000" w14:paraId="000000B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Bacon, Mardges. 2005. “Modernism and the Vernacular at the Museum of Modern Art, New York.” Pp. 25-52 in </w:t>
      </w:r>
      <w:r w:rsidDel="00000000" w:rsidR="00000000" w:rsidRPr="00000000">
        <w:rPr>
          <w:i w:val="1"/>
          <w:iCs w:val="1"/>
          <w:rtl w:val="0"/>
        </w:rPr>
        <w:t xml:space="preserve">Vernacular Modernism: Heimat, Globalization, and the Built Environment</w:t>
      </w:r>
      <w:r w:rsidDel="00000000" w:rsidR="00000000" w:rsidRPr="00000000">
        <w:rPr>
          <w:rtl w:val="0"/>
        </w:rPr>
        <w:t xml:space="preserve">, Umbach, Maiken and Bernd Hüppauf (eds.). Stanford: Stanford UP. </w:t>
      </w:r>
    </w:p>
    <w:p w:rsidR="00000000" w:rsidDel="00000000" w:rsidP="00000000" w:rsidRDefault="00000000" w:rsidRPr="00000000" w14:paraId="000000B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Baumann, Shyon. 2001. “Intellectualization and Art World Development: Film in the United States.” </w:t>
      </w:r>
      <w:r w:rsidDel="00000000" w:rsidR="00000000" w:rsidRPr="00000000">
        <w:rPr>
          <w:i w:val="1"/>
          <w:iCs w:val="1"/>
          <w:rtl w:val="0"/>
        </w:rPr>
        <w:t xml:space="preserve">American Sociological Review</w:t>
      </w:r>
      <w:r w:rsidDel="00000000" w:rsidR="00000000" w:rsidRPr="00000000">
        <w:rPr>
          <w:rtl w:val="0"/>
        </w:rPr>
        <w:t xml:space="preserve">. Vol. 66: 404-426.</w:t>
      </w:r>
      <w:r w:rsidDel="00000000" w:rsidR="00000000" w:rsidRPr="00000000">
        <w:rPr>
          <w:rtl w:val="0"/>
        </w:rPr>
      </w:r>
    </w:p>
    <w:p w:rsidR="00000000" w:rsidDel="00000000" w:rsidP="00000000" w:rsidRDefault="00000000" w:rsidRPr="00000000" w14:paraId="000000B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ahy467no9r0" w:id="45"/>
      <w:bookmarkEnd w:id="45"/>
      <w:r w:rsidDel="00000000" w:rsidR="00000000" w:rsidRPr="00000000">
        <w:rPr>
          <w:rtl w:val="0"/>
        </w:rPr>
        <w:t xml:space="preserve">Biddle, George. 1939. </w:t>
      </w:r>
      <w:r w:rsidDel="00000000" w:rsidR="00000000" w:rsidRPr="00000000">
        <w:rPr>
          <w:i w:val="1"/>
          <w:iCs w:val="1"/>
          <w:rtl w:val="0"/>
        </w:rPr>
        <w:t xml:space="preserve">An American Artist’s Story. </w:t>
      </w:r>
      <w:r w:rsidDel="00000000" w:rsidR="00000000" w:rsidRPr="00000000">
        <w:rPr>
          <w:rtl w:val="0"/>
        </w:rPr>
        <w:t xml:space="preserve">Little, Brown &amp; Co. Boston.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B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Bourdieu, Pierre. 1987. </w:t>
      </w:r>
      <w:r w:rsidDel="00000000" w:rsidR="00000000" w:rsidRPr="00000000">
        <w:rPr>
          <w:i w:val="1"/>
          <w:iCs w:val="1"/>
          <w:rtl w:val="0"/>
        </w:rPr>
        <w:t xml:space="preserve">Distinction: A Social Critique of the Judgement of Taste</w:t>
      </w:r>
      <w:r w:rsidDel="00000000" w:rsidR="00000000" w:rsidRPr="00000000">
        <w:rPr>
          <w:rtl w:val="0"/>
        </w:rPr>
        <w:t xml:space="preserve">. Cambridge: Harvard UP.</w:t>
      </w:r>
    </w:p>
    <w:p w:rsidR="00000000" w:rsidDel="00000000" w:rsidP="00000000" w:rsidRDefault="00000000" w:rsidRPr="00000000" w14:paraId="000000B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Bourdieu, Pierre. 1993. </w:t>
      </w:r>
      <w:r w:rsidDel="00000000" w:rsidR="00000000" w:rsidRPr="00000000">
        <w:rPr>
          <w:i w:val="1"/>
          <w:iCs w:val="1"/>
          <w:rtl w:val="0"/>
        </w:rPr>
        <w:t xml:space="preserve">The Field of Cultural Production</w:t>
      </w:r>
      <w:r w:rsidDel="00000000" w:rsidR="00000000" w:rsidRPr="00000000">
        <w:rPr>
          <w:rtl w:val="0"/>
        </w:rPr>
        <w:t xml:space="preserve">. New York: Columbia University Press. </w:t>
      </w:r>
    </w:p>
    <w:p w:rsidR="00000000" w:rsidDel="00000000" w:rsidP="00000000" w:rsidRDefault="00000000" w:rsidRPr="00000000" w14:paraId="000000B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Bourdieu, Pierre. 1996. </w:t>
      </w:r>
      <w:r w:rsidDel="00000000" w:rsidR="00000000" w:rsidRPr="00000000">
        <w:rPr>
          <w:i w:val="1"/>
          <w:iCs w:val="1"/>
          <w:rtl w:val="0"/>
        </w:rPr>
        <w:t xml:space="preserve">The Rules of Art: Genesis and Structure of the Literary Field</w:t>
      </w:r>
      <w:r w:rsidDel="00000000" w:rsidR="00000000" w:rsidRPr="00000000">
        <w:rPr>
          <w:rtl w:val="0"/>
        </w:rPr>
        <w:t xml:space="preserve">. Polity Press, Cambridge, UK.</w:t>
      </w:r>
    </w:p>
    <w:p w:rsidR="00000000" w:rsidDel="00000000" w:rsidP="00000000" w:rsidRDefault="00000000" w:rsidRPr="00000000" w14:paraId="000000B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shnk89d7vcx5" w:id="46"/>
      <w:bookmarkEnd w:id="46"/>
      <w:r w:rsidDel="00000000" w:rsidR="00000000" w:rsidRPr="00000000">
        <w:rPr>
          <w:rtl w:val="0"/>
        </w:rPr>
        <w:t xml:space="preserve">Clemens, Elisabeth S, and James M Cook. 1999. “Politics and institutionalism: Explaining durability and change.” </w:t>
      </w:r>
      <w:r w:rsidDel="00000000" w:rsidR="00000000" w:rsidRPr="00000000">
        <w:rPr>
          <w:i w:val="1"/>
          <w:iCs w:val="1"/>
          <w:rtl w:val="0"/>
        </w:rPr>
        <w:t xml:space="preserve">Annual Review of Sociology</w:t>
      </w:r>
      <w:r w:rsidDel="00000000" w:rsidR="00000000" w:rsidRPr="00000000">
        <w:rPr>
          <w:rtl w:val="0"/>
        </w:rPr>
        <w:t xml:space="preserve"> 25: 441-466.</w:t>
      </w:r>
    </w:p>
    <w:p w:rsidR="00000000" w:rsidDel="00000000" w:rsidP="00000000" w:rsidRDefault="00000000" w:rsidRPr="00000000" w14:paraId="000000B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qjg6u98ivd61" w:id="47"/>
      <w:bookmarkEnd w:id="47"/>
      <w:r w:rsidDel="00000000" w:rsidR="00000000" w:rsidRPr="00000000">
        <w:rPr>
          <w:rtl w:val="0"/>
        </w:rPr>
        <w:t xml:space="preserve">Conner, Lynne. 2008 “In and Out of the Dark: A Theory about Audience Behavior from Sophocles to Spoken Word.” Pp. 103-124 in </w:t>
      </w:r>
      <w:r w:rsidDel="00000000" w:rsidR="00000000" w:rsidRPr="00000000">
        <w:rPr>
          <w:i w:val="1"/>
          <w:iCs w:val="1"/>
          <w:rtl w:val="0"/>
        </w:rPr>
        <w:t xml:space="preserve">Engaging Art: The Next Great Transformation of America’s Cultural Life</w:t>
      </w:r>
      <w:r w:rsidDel="00000000" w:rsidR="00000000" w:rsidRPr="00000000">
        <w:rPr>
          <w:rtl w:val="0"/>
        </w:rPr>
        <w:t xml:space="preserve">, edited by S. J. Tepper and B. Ivey. New York: Routledge.</w:t>
      </w:r>
    </w:p>
    <w:p w:rsidR="00000000" w:rsidDel="00000000" w:rsidP="00000000" w:rsidRDefault="00000000" w:rsidRPr="00000000" w14:paraId="000000B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ustm8yvqr4cy" w:id="48"/>
      <w:bookmarkEnd w:id="48"/>
      <w:r w:rsidDel="00000000" w:rsidR="00000000" w:rsidRPr="00000000">
        <w:rPr>
          <w:rtl w:val="0"/>
        </w:rPr>
        <w:t xml:space="preserve">Crane, Diana. 1989. </w:t>
      </w:r>
      <w:r w:rsidDel="00000000" w:rsidR="00000000" w:rsidRPr="00000000">
        <w:rPr>
          <w:i w:val="1"/>
          <w:iCs w:val="1"/>
          <w:rtl w:val="0"/>
        </w:rPr>
        <w:t xml:space="preserve">The Transformation of the Avant-Garde: The New York Art World, 1940-1985</w:t>
      </w:r>
      <w:r w:rsidDel="00000000" w:rsidR="00000000" w:rsidRPr="00000000">
        <w:rPr>
          <w:rtl w:val="0"/>
        </w:rPr>
        <w:t xml:space="preserve">. University of Chicago Press.</w:t>
      </w:r>
    </w:p>
    <w:p w:rsidR="00000000" w:rsidDel="00000000" w:rsidP="00000000" w:rsidRDefault="00000000" w:rsidRPr="00000000" w14:paraId="000000B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4pv4nsgtajo" w:id="49"/>
      <w:bookmarkEnd w:id="49"/>
      <w:r w:rsidDel="00000000" w:rsidR="00000000" w:rsidRPr="00000000">
        <w:rPr>
          <w:rtl w:val="0"/>
        </w:rPr>
        <w:t xml:space="preserve">Daenekindt, Stijn and Henk Roose. 2014. “Social Mobility and Cultural Dissonance.” </w:t>
      </w:r>
      <w:r w:rsidDel="00000000" w:rsidR="00000000" w:rsidRPr="00000000">
        <w:rPr>
          <w:i w:val="1"/>
          <w:iCs w:val="1"/>
          <w:rtl w:val="0"/>
        </w:rPr>
        <w:t xml:space="preserve">Poetics</w:t>
      </w:r>
      <w:r w:rsidDel="00000000" w:rsidR="00000000" w:rsidRPr="00000000">
        <w:rPr>
          <w:rtl w:val="0"/>
        </w:rPr>
        <w:t xml:space="preserve"> 42: 82-97.</w:t>
      </w:r>
    </w:p>
    <w:p w:rsidR="00000000" w:rsidDel="00000000" w:rsidP="00000000" w:rsidRDefault="00000000" w:rsidRPr="00000000" w14:paraId="000000B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DiMaggio, Paul. 1982. “Cultural Entrepreneurship in 19th Century Boston.”  I &amp; II, </w:t>
      </w:r>
      <w:r w:rsidDel="00000000" w:rsidR="00000000" w:rsidRPr="00000000">
        <w:rPr>
          <w:i w:val="1"/>
          <w:iCs w:val="1"/>
          <w:rtl w:val="0"/>
        </w:rPr>
        <w:t xml:space="preserve">Media Culture and Society</w:t>
      </w:r>
      <w:r w:rsidDel="00000000" w:rsidR="00000000" w:rsidRPr="00000000">
        <w:rPr>
          <w:rtl w:val="0"/>
        </w:rPr>
        <w:t xml:space="preserve">.  4: 33-50, 303-322.</w:t>
      </w:r>
    </w:p>
    <w:p w:rsidR="00000000" w:rsidDel="00000000" w:rsidP="00000000" w:rsidRDefault="00000000" w:rsidRPr="00000000" w14:paraId="000000B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yzut8hy6y30" w:id="50"/>
      <w:bookmarkEnd w:id="50"/>
      <w:r w:rsidDel="00000000" w:rsidR="00000000" w:rsidRPr="00000000">
        <w:rPr>
          <w:rtl w:val="0"/>
        </w:rPr>
        <w:t xml:space="preserve">DiMaggio, Paul. 1987. “Classification in Art.” </w:t>
      </w:r>
      <w:r w:rsidDel="00000000" w:rsidR="00000000" w:rsidRPr="00000000">
        <w:rPr>
          <w:i w:val="1"/>
          <w:iCs w:val="1"/>
          <w:rtl w:val="0"/>
        </w:rPr>
        <w:t xml:space="preserve">American Sociological Review.</w:t>
      </w:r>
      <w:r w:rsidDel="00000000" w:rsidR="00000000" w:rsidRPr="00000000">
        <w:rPr>
          <w:rtl w:val="0"/>
        </w:rPr>
        <w:t xml:space="preserve"> 52: 440-55. </w:t>
      </w:r>
    </w:p>
    <w:p w:rsidR="00000000" w:rsidDel="00000000" w:rsidP="00000000" w:rsidRDefault="00000000" w:rsidRPr="00000000" w14:paraId="000000B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rjl4mfn258h2" w:id="51"/>
      <w:bookmarkEnd w:id="51"/>
      <w:r w:rsidDel="00000000" w:rsidR="00000000" w:rsidRPr="00000000">
        <w:rPr>
          <w:rtl w:val="0"/>
        </w:rPr>
        <w:t xml:space="preserve">DiMaggio, Paul. 1991. Constructing an Organizational Field as a Professional Project: U.s. Art Museums, 1920-1940. Pp. 267-292 in Walter W. Powell and Paul J. DiMaggio (eds.), </w:t>
      </w:r>
      <w:r w:rsidDel="00000000" w:rsidR="00000000" w:rsidRPr="00000000">
        <w:rPr>
          <w:i w:val="1"/>
          <w:iCs w:val="1"/>
          <w:rtl w:val="0"/>
        </w:rPr>
        <w:t xml:space="preserve">The New Institutionalism in Organizational Analysis</w:t>
      </w:r>
      <w:r w:rsidDel="00000000" w:rsidR="00000000" w:rsidRPr="00000000">
        <w:rPr>
          <w:rtl w:val="0"/>
        </w:rPr>
        <w:t xml:space="preserve">. Chicago, IL: University of Chicago Press.</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C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s95zpulbb3" w:id="52"/>
      <w:bookmarkEnd w:id="52"/>
      <w:r w:rsidDel="00000000" w:rsidR="00000000" w:rsidRPr="00000000">
        <w:rPr>
          <w:rtl w:val="0"/>
        </w:rPr>
        <w:t xml:space="preserve">DiMaggio, Paul and Toqir Mukhtar. 2004. “Arts Participation as Cultural Capital in the United States, 1982-2002: Signs of Decline?” </w:t>
      </w:r>
      <w:r w:rsidDel="00000000" w:rsidR="00000000" w:rsidRPr="00000000">
        <w:rPr>
          <w:i w:val="1"/>
          <w:iCs w:val="1"/>
          <w:rtl w:val="0"/>
        </w:rPr>
        <w:t xml:space="preserve">Poetics</w:t>
      </w:r>
      <w:r w:rsidDel="00000000" w:rsidR="00000000" w:rsidRPr="00000000">
        <w:rPr>
          <w:rtl w:val="0"/>
        </w:rPr>
        <w:t xml:space="preserve">. 32: 169-194.</w:t>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C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Federal Works Agency. 1947. </w:t>
      </w:r>
      <w:r w:rsidDel="00000000" w:rsidR="00000000" w:rsidRPr="00000000">
        <w:rPr>
          <w:i w:val="1"/>
          <w:iCs w:val="1"/>
          <w:rtl w:val="0"/>
        </w:rPr>
        <w:t xml:space="preserve">Final report on the WPA program, 1935-43</w:t>
      </w:r>
      <w:r w:rsidDel="00000000" w:rsidR="00000000" w:rsidRPr="00000000">
        <w:rPr>
          <w:rtl w:val="0"/>
        </w:rPr>
        <w:t xml:space="preserve">.  U.S. Government Printing Office. Washington, D.C. United States. </w:t>
      </w:r>
    </w:p>
    <w:p w:rsidR="00000000" w:rsidDel="00000000" w:rsidP="00000000" w:rsidRDefault="00000000" w:rsidRPr="00000000" w14:paraId="000000C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Ferguson, Priscilla. 1998. “A Cultural Field in the Making: Gastronomy in 19</w:t>
      </w:r>
      <w:r w:rsidDel="00000000" w:rsidR="00000000" w:rsidRPr="00000000">
        <w:rPr>
          <w:vertAlign w:val="superscript"/>
          <w:rtl w:val="0"/>
        </w:rPr>
        <w:t xml:space="preserve">th</w:t>
      </w:r>
      <w:r w:rsidDel="00000000" w:rsidR="00000000" w:rsidRPr="00000000">
        <w:rPr>
          <w:rtl w:val="0"/>
        </w:rPr>
        <w:t xml:space="preserve">-Century France.” </w:t>
      </w:r>
      <w:r w:rsidDel="00000000" w:rsidR="00000000" w:rsidRPr="00000000">
        <w:rPr>
          <w:i w:val="1"/>
          <w:iCs w:val="1"/>
          <w:rtl w:val="0"/>
        </w:rPr>
        <w:t xml:space="preserve">American Journal of Sociology</w:t>
      </w:r>
      <w:r w:rsidDel="00000000" w:rsidR="00000000" w:rsidRPr="00000000">
        <w:rPr>
          <w:rtl w:val="0"/>
        </w:rPr>
        <w:t xml:space="preserve">. Vol. 104: 597-641.</w:t>
      </w:r>
    </w:p>
    <w:p w:rsidR="00000000" w:rsidDel="00000000" w:rsidP="00000000" w:rsidRDefault="00000000" w:rsidRPr="00000000" w14:paraId="000000C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7i4xybw9nja" w:id="53"/>
      <w:bookmarkEnd w:id="53"/>
      <w:r w:rsidDel="00000000" w:rsidR="00000000" w:rsidRPr="00000000">
        <w:rPr>
          <w:rtl w:val="0"/>
        </w:rPr>
        <w:t xml:space="preserve">Fishman, Robert M, and Omar Lizardo. 2013. “How Macro-Historical Change Shapes Cultural Taste Legacies of Democratization in Spain and Portugal.” </w:t>
      </w:r>
      <w:r w:rsidDel="00000000" w:rsidR="00000000" w:rsidRPr="00000000">
        <w:rPr>
          <w:i w:val="1"/>
          <w:iCs w:val="1"/>
          <w:rtl w:val="0"/>
        </w:rPr>
        <w:t xml:space="preserve">American Sociological Review</w:t>
      </w:r>
      <w:r w:rsidDel="00000000" w:rsidR="00000000" w:rsidRPr="00000000">
        <w:rPr>
          <w:rtl w:val="0"/>
        </w:rPr>
        <w:t xml:space="preserve"> 78: 213-239.</w:t>
      </w:r>
    </w:p>
    <w:p w:rsidR="00000000" w:rsidDel="00000000" w:rsidP="00000000" w:rsidRDefault="00000000" w:rsidRPr="00000000" w14:paraId="000000C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9syfy2cpkbj" w:id="54"/>
      <w:bookmarkEnd w:id="54"/>
      <w:r w:rsidDel="00000000" w:rsidR="00000000" w:rsidRPr="00000000">
        <w:rPr>
          <w:rtl w:val="0"/>
        </w:rPr>
        <w:t xml:space="preserve">Gans, Herbert J. 1999. </w:t>
      </w:r>
      <w:r w:rsidDel="00000000" w:rsidR="00000000" w:rsidRPr="00000000">
        <w:rPr>
          <w:i w:val="1"/>
          <w:iCs w:val="1"/>
          <w:rtl w:val="0"/>
        </w:rPr>
        <w:t xml:space="preserve">Popular Culture and High Culture: An Analysis and Evaluation of Taste.</w:t>
      </w:r>
      <w:r w:rsidDel="00000000" w:rsidR="00000000" w:rsidRPr="00000000">
        <w:rPr>
          <w:rtl w:val="0"/>
        </w:rPr>
        <w:t xml:space="preserve"> New York: Basic Books.</w:t>
      </w:r>
      <w:r w:rsidDel="00000000" w:rsidR="00000000" w:rsidRPr="00000000">
        <w:rPr>
          <w:rtl w:val="0"/>
        </w:rPr>
      </w:r>
    </w:p>
    <w:p w:rsidR="00000000" w:rsidDel="00000000" w:rsidP="00000000" w:rsidRDefault="00000000" w:rsidRPr="00000000" w14:paraId="000000C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25qb35hmg1l5" w:id="55"/>
      <w:bookmarkEnd w:id="55"/>
      <w:r w:rsidDel="00000000" w:rsidR="00000000" w:rsidRPr="00000000">
        <w:rPr>
          <w:rtl w:val="0"/>
        </w:rPr>
        <w:t xml:space="preserve">García-Álvarez, Ercilia, Tally Katz-Gerro, and Jordi López-Sintas. 2007. “Deconstructing Cultural Omnivorousness 1982–2002: Heterology in Americans’ Musical Preferences.” </w:t>
      </w:r>
      <w:r w:rsidDel="00000000" w:rsidR="00000000" w:rsidRPr="00000000">
        <w:rPr>
          <w:i w:val="1"/>
          <w:iCs w:val="1"/>
          <w:rtl w:val="0"/>
        </w:rPr>
        <w:t xml:space="preserve">Social Forces</w:t>
      </w:r>
      <w:r w:rsidDel="00000000" w:rsidR="00000000" w:rsidRPr="00000000">
        <w:rPr>
          <w:rtl w:val="0"/>
        </w:rPr>
        <w:t xml:space="preserve"> 86: 417-443.</w:t>
      </w:r>
    </w:p>
    <w:p w:rsidR="00000000" w:rsidDel="00000000" w:rsidP="00000000" w:rsidRDefault="00000000" w:rsidRPr="00000000" w14:paraId="000000C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i w:val="1"/>
          <w:iCs w:val="1"/>
          <w:rtl w:val="0"/>
        </w:rPr>
        <w:t xml:space="preserve">The Journal of Decorative and Propaganda Arts</w:t>
      </w:r>
      <w:r w:rsidDel="00000000" w:rsidR="00000000" w:rsidRPr="00000000">
        <w:rPr>
          <w:rtl w:val="0"/>
        </w:rPr>
        <w:t xml:space="preserve">. Vol. 1: 40-61.</w:t>
      </w:r>
    </w:p>
    <w:p w:rsidR="00000000" w:rsidDel="00000000" w:rsidP="00000000" w:rsidRDefault="00000000" w:rsidRPr="00000000" w14:paraId="000000C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biy95lvep8g" w:id="56"/>
      <w:bookmarkEnd w:id="56"/>
      <w:r w:rsidDel="00000000" w:rsidR="00000000" w:rsidRPr="00000000">
        <w:rPr>
          <w:rtl w:val="0"/>
        </w:rPr>
        <w:t xml:space="preserve">Greve, Henrich R and Hayagreeva Rao. 2014. “History and the present: Institutional legacies in communities of organizations.” </w:t>
      </w:r>
      <w:r w:rsidDel="00000000" w:rsidR="00000000" w:rsidRPr="00000000">
        <w:rPr>
          <w:i w:val="1"/>
          <w:iCs w:val="1"/>
          <w:rtl w:val="0"/>
        </w:rPr>
        <w:t xml:space="preserve">Research in Organizational Behavior</w:t>
      </w:r>
      <w:r w:rsidDel="00000000" w:rsidR="00000000" w:rsidRPr="00000000">
        <w:rPr>
          <w:rtl w:val="0"/>
        </w:rPr>
        <w:t xml:space="preserve"> 34: 27-41.</w:t>
      </w:r>
    </w:p>
    <w:p w:rsidR="00000000" w:rsidDel="00000000" w:rsidP="00000000" w:rsidRDefault="00000000" w:rsidRPr="00000000" w14:paraId="000000C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x7om8l1t1tf" w:id="57"/>
      <w:bookmarkEnd w:id="57"/>
      <w:r w:rsidDel="00000000" w:rsidR="00000000" w:rsidRPr="00000000">
        <w:rPr>
          <w:rtl w:val="0"/>
        </w:rPr>
        <w:t xml:space="preserve">Hall, Peter D. 1984. </w:t>
      </w:r>
      <w:r w:rsidDel="00000000" w:rsidR="00000000" w:rsidRPr="00000000">
        <w:rPr>
          <w:i w:val="1"/>
          <w:iCs w:val="1"/>
          <w:rtl w:val="0"/>
        </w:rPr>
        <w:t xml:space="preserve">The Organization of American Culture</w:t>
      </w:r>
      <w:r w:rsidDel="00000000" w:rsidR="00000000" w:rsidRPr="00000000">
        <w:rPr>
          <w:rtl w:val="0"/>
        </w:rPr>
        <w:t xml:space="preserve">. New York University Press.</w:t>
      </w:r>
    </w:p>
    <w:p w:rsidR="00000000" w:rsidDel="00000000" w:rsidP="00000000" w:rsidRDefault="00000000" w:rsidRPr="00000000" w14:paraId="000000C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itf0iivm0mf" w:id="58"/>
      <w:bookmarkEnd w:id="58"/>
      <w:r w:rsidDel="00000000" w:rsidR="00000000" w:rsidRPr="00000000">
        <w:rPr>
          <w:rtl w:val="0"/>
        </w:rPr>
        <w:t xml:space="preserve">Hanquinet, Laurie, Henk Roose, and Mike Savage. 2014. “The eyes of the beholder: Aesthetic preferences and the remaking of cultural capital.” </w:t>
      </w:r>
      <w:r w:rsidDel="00000000" w:rsidR="00000000" w:rsidRPr="00000000">
        <w:rPr>
          <w:i w:val="1"/>
          <w:iCs w:val="1"/>
          <w:rtl w:val="0"/>
        </w:rPr>
        <w:t xml:space="preserve">Sociology</w:t>
      </w:r>
      <w:r w:rsidDel="00000000" w:rsidR="00000000" w:rsidRPr="00000000">
        <w:rPr>
          <w:rtl w:val="0"/>
        </w:rPr>
        <w:t xml:space="preserve"> 48: 111-132.</w:t>
      </w:r>
    </w:p>
    <w:p w:rsidR="00000000" w:rsidDel="00000000" w:rsidP="00000000" w:rsidRDefault="00000000" w:rsidRPr="00000000" w14:paraId="000000C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Johnston, Josee and Shyon Baumann. 2007. “Democracy versus Distinction: A Study of Omnivorousness in Gourmet Food Writing.” </w:t>
      </w:r>
      <w:r w:rsidDel="00000000" w:rsidR="00000000" w:rsidRPr="00000000">
        <w:rPr>
          <w:i w:val="1"/>
          <w:iCs w:val="1"/>
          <w:rtl w:val="0"/>
        </w:rPr>
        <w:t xml:space="preserve">American Journal of Sociology</w:t>
      </w:r>
      <w:r w:rsidDel="00000000" w:rsidR="00000000" w:rsidRPr="00000000">
        <w:rPr>
          <w:rtl w:val="0"/>
        </w:rPr>
        <w:t xml:space="preserve">. 113(1): 165-204.</w:t>
      </w:r>
    </w:p>
    <w:p w:rsidR="00000000" w:rsidDel="00000000" w:rsidP="00000000" w:rsidRDefault="00000000" w:rsidRPr="00000000" w14:paraId="000000C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gqvyecsdni8" w:id="59"/>
      <w:bookmarkEnd w:id="59"/>
      <w:r w:rsidDel="00000000" w:rsidR="00000000" w:rsidRPr="00000000">
        <w:rPr>
          <w:rtl w:val="0"/>
        </w:rPr>
        <w:t xml:space="preserve">Katz-Gerro, Tally. 2002. “Highbrow Cultural Consumption and Class Distinction in Italy, West Germany, Sweden, and the United States.” </w:t>
      </w:r>
      <w:r w:rsidDel="00000000" w:rsidR="00000000" w:rsidRPr="00000000">
        <w:rPr>
          <w:i w:val="1"/>
          <w:iCs w:val="1"/>
          <w:rtl w:val="0"/>
        </w:rPr>
        <w:t xml:space="preserve">Social Forces</w:t>
      </w:r>
      <w:r w:rsidDel="00000000" w:rsidR="00000000" w:rsidRPr="00000000">
        <w:rPr>
          <w:rtl w:val="0"/>
        </w:rPr>
        <w:t xml:space="preserve">. 81: 207-229. </w:t>
      </w:r>
    </w:p>
    <w:p w:rsidR="00000000" w:rsidDel="00000000" w:rsidP="00000000" w:rsidRDefault="00000000" w:rsidRPr="00000000" w14:paraId="000000CD">
      <w:pPr>
        <w:pStyle w:val="Heading6"/>
        <w:pageBreakBefore w:val="0"/>
        <w:pBdr>
          <w:top w:space="0" w:sz="0" w:val="nil"/>
          <w:left w:space="0" w:sz="0" w:val="nil"/>
          <w:bottom w:space="0" w:sz="0" w:val="nil"/>
          <w:right w:space="0" w:sz="0" w:val="nil"/>
          <w:between w:space="0" w:sz="0" w:val="nil"/>
        </w:pBdr>
        <w:shd w:fill="auto" w:val="clear"/>
        <w:ind w:firstLine="0"/>
        <w:rPr/>
      </w:pPr>
      <w:bookmarkStart w:colFirst="0" w:colLast="0" w:name="_v0q25k5rswb1" w:id="60"/>
      <w:bookmarkEnd w:id="60"/>
      <w:r w:rsidDel="00000000" w:rsidR="00000000" w:rsidRPr="00000000">
        <w:rPr>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C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41tax7haa3el" w:id="61"/>
      <w:bookmarkEnd w:id="61"/>
      <w:r w:rsidDel="00000000" w:rsidR="00000000" w:rsidRPr="00000000">
        <w:rPr>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i w:val="1"/>
          <w:iCs w:val="1"/>
          <w:rtl w:val="0"/>
        </w:rPr>
        <w:t xml:space="preserve">Social Science Research</w:t>
      </w:r>
      <w:r w:rsidDel="00000000" w:rsidR="00000000" w:rsidRPr="00000000">
        <w:rPr>
          <w:rtl w:val="0"/>
        </w:rPr>
        <w:t xml:space="preserve">. 29: 92-122. </w:t>
      </w:r>
    </w:p>
    <w:p w:rsidR="00000000" w:rsidDel="00000000" w:rsidP="00000000" w:rsidRDefault="00000000" w:rsidRPr="00000000" w14:paraId="000000C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zb24xeyhjhl" w:id="62"/>
      <w:bookmarkEnd w:id="62"/>
      <w:r w:rsidDel="00000000" w:rsidR="00000000" w:rsidRPr="00000000">
        <w:rPr>
          <w:rtl w:val="0"/>
        </w:rPr>
        <w:t xml:space="preserve">Kuipers, Giselinde, and Jeroen de Kloet. 2009. “Banal Cosmopolitanism and The Lord of the Rings: The Limited Role of National Differences in Global Media Consumption.” </w:t>
      </w:r>
      <w:r w:rsidDel="00000000" w:rsidR="00000000" w:rsidRPr="00000000">
        <w:rPr>
          <w:i w:val="1"/>
          <w:iCs w:val="1"/>
          <w:rtl w:val="0"/>
        </w:rPr>
        <w:t xml:space="preserve">Poetics</w:t>
      </w:r>
      <w:r w:rsidDel="00000000" w:rsidR="00000000" w:rsidRPr="00000000">
        <w:rPr>
          <w:rtl w:val="0"/>
        </w:rPr>
        <w:t xml:space="preserve"> 37(2): 99–118.</w:t>
      </w:r>
    </w:p>
    <w:p w:rsidR="00000000" w:rsidDel="00000000" w:rsidP="00000000" w:rsidRDefault="00000000" w:rsidRPr="00000000" w14:paraId="000000D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3mu4i9pq3k0" w:id="63"/>
      <w:bookmarkEnd w:id="63"/>
      <w:r w:rsidDel="00000000" w:rsidR="00000000" w:rsidRPr="00000000">
        <w:rPr>
          <w:rFonts w:ascii="Cardo" w:cs="Cardo" w:eastAsia="Cardo" w:hAnsi="Cardo"/>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color w:val="333333"/>
          <w:highlight w:val="white"/>
          <w:rtl w:val="0"/>
        </w:rPr>
        <w:t xml:space="preserve">Lamont, Michele, 1992. Money, Morals, and Manners: The Culture of the French and the American Upper-Middle Class. Chicago: University of Chicago Press.</w:t>
      </w:r>
      <w:r w:rsidDel="00000000" w:rsidR="00000000" w:rsidRPr="00000000">
        <w:rPr>
          <w:rtl w:val="0"/>
        </w:rPr>
      </w:r>
    </w:p>
    <w:p w:rsidR="00000000" w:rsidDel="00000000" w:rsidP="00000000" w:rsidRDefault="00000000" w:rsidRPr="00000000" w14:paraId="000000D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4gs7leo7ypn" w:id="64"/>
      <w:bookmarkEnd w:id="64"/>
      <w:r w:rsidDel="00000000" w:rsidR="00000000" w:rsidRPr="00000000">
        <w:rPr>
          <w:rtl w:val="0"/>
        </w:rPr>
        <w:t xml:space="preserve">LaGamma, Alisa, Joanne Pillsbury, Eric Kjellgren, and Yaelle Biro. 2014. “The Nelson A. Rockefeller Vision: Arts of Africa, Oceania, and the Americas.” </w:t>
      </w:r>
      <w:r w:rsidDel="00000000" w:rsidR="00000000" w:rsidRPr="00000000">
        <w:rPr>
          <w:i w:val="1"/>
          <w:iCs w:val="1"/>
          <w:rtl w:val="0"/>
        </w:rPr>
        <w:t xml:space="preserve">The Metropolitan Museum of Art Bulletin</w:t>
      </w:r>
      <w:r w:rsidDel="00000000" w:rsidR="00000000" w:rsidRPr="00000000">
        <w:rPr>
          <w:rtl w:val="0"/>
        </w:rPr>
        <w:t xml:space="preserve">, LXXII(1). New York: The Metropolitan Museum of Art.</w:t>
      </w:r>
    </w:p>
    <w:p w:rsidR="00000000" w:rsidDel="00000000" w:rsidP="00000000" w:rsidRDefault="00000000" w:rsidRPr="00000000" w14:paraId="000000D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3lw6pw9rr2y" w:id="65"/>
      <w:bookmarkEnd w:id="65"/>
      <w:r w:rsidDel="00000000" w:rsidR="00000000" w:rsidRPr="00000000">
        <w:rPr>
          <w:rtl w:val="0"/>
        </w:rPr>
        <w:t xml:space="preserve">Lena, Jennifer C. 2012. </w:t>
      </w:r>
      <w:r w:rsidDel="00000000" w:rsidR="00000000" w:rsidRPr="00000000">
        <w:rPr>
          <w:i w:val="1"/>
          <w:iCs w:val="1"/>
          <w:rtl w:val="0"/>
        </w:rPr>
        <w:t xml:space="preserve">Banding Together: How Communities Create Genres in Popular Culture</w:t>
      </w:r>
      <w:r w:rsidDel="00000000" w:rsidR="00000000" w:rsidRPr="00000000">
        <w:rPr>
          <w:rtl w:val="0"/>
        </w:rPr>
        <w:t xml:space="preserve">. Princeton University Press.</w:t>
      </w:r>
      <w:r w:rsidDel="00000000" w:rsidR="00000000" w:rsidRPr="00000000">
        <w:rPr>
          <w:rtl w:val="0"/>
        </w:rPr>
      </w:r>
    </w:p>
    <w:p w:rsidR="00000000" w:rsidDel="00000000" w:rsidP="00000000" w:rsidRDefault="00000000" w:rsidRPr="00000000" w14:paraId="000000D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Lena, Jennifer C. and Mark Pachucki. 2013. “The Sincerest Form of Flattery: Innovation, Repetition, and Status in an Art Movement.” </w:t>
      </w:r>
      <w:r w:rsidDel="00000000" w:rsidR="00000000" w:rsidRPr="00000000">
        <w:rPr>
          <w:i w:val="1"/>
          <w:iCs w:val="1"/>
          <w:rtl w:val="0"/>
        </w:rPr>
        <w:t xml:space="preserve">Poetics</w:t>
      </w:r>
      <w:r w:rsidDel="00000000" w:rsidR="00000000" w:rsidRPr="00000000">
        <w:rPr>
          <w:rtl w:val="0"/>
        </w:rPr>
        <w:t xml:space="preserve">. Vol. 41: 236-264.</w:t>
      </w:r>
    </w:p>
    <w:p w:rsidR="00000000" w:rsidDel="00000000" w:rsidP="00000000" w:rsidRDefault="00000000" w:rsidRPr="00000000" w14:paraId="000000D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jyy0vhxrvzrp" w:id="66"/>
      <w:bookmarkEnd w:id="66"/>
      <w:r w:rsidDel="00000000" w:rsidR="00000000" w:rsidRPr="00000000">
        <w:rPr>
          <w:rtl w:val="0"/>
        </w:rPr>
        <w:t xml:space="preserve">Levine, Lawrence W. 1988. </w:t>
      </w:r>
      <w:r w:rsidDel="00000000" w:rsidR="00000000" w:rsidRPr="00000000">
        <w:rPr>
          <w:i w:val="1"/>
          <w:iCs w:val="1"/>
          <w:rtl w:val="0"/>
        </w:rPr>
        <w:t xml:space="preserve">Highbrow/Lowbrow</w:t>
      </w:r>
      <w:r w:rsidDel="00000000" w:rsidR="00000000" w:rsidRPr="00000000">
        <w:rPr>
          <w:rtl w:val="0"/>
        </w:rPr>
        <w:t xml:space="preserve">. Cambridge: Harvard University Press.</w:t>
      </w:r>
    </w:p>
    <w:p w:rsidR="00000000" w:rsidDel="00000000" w:rsidP="00000000" w:rsidRDefault="00000000" w:rsidRPr="00000000" w14:paraId="000000D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z3q0uo2vidmw" w:id="67"/>
      <w:bookmarkEnd w:id="67"/>
      <w:r w:rsidDel="00000000" w:rsidR="00000000" w:rsidRPr="00000000">
        <w:rPr>
          <w:rtl w:val="0"/>
        </w:rPr>
        <w:t xml:space="preserve">Lizardo, Omar. 2008. “The Question of Culture Consumption and Stratification Revisited.” </w:t>
      </w:r>
      <w:r w:rsidDel="00000000" w:rsidR="00000000" w:rsidRPr="00000000">
        <w:rPr>
          <w:i w:val="1"/>
          <w:iCs w:val="1"/>
          <w:rtl w:val="0"/>
        </w:rPr>
        <w:t xml:space="preserve">Sociologica</w:t>
      </w:r>
      <w:r w:rsidDel="00000000" w:rsidR="00000000" w:rsidRPr="00000000">
        <w:rPr>
          <w:rtl w:val="0"/>
        </w:rPr>
        <w:t xml:space="preserve"> 2(2): 0-0.</w:t>
      </w:r>
    </w:p>
    <w:p w:rsidR="00000000" w:rsidDel="00000000" w:rsidP="00000000" w:rsidRDefault="00000000" w:rsidRPr="00000000" w14:paraId="000000D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Lizardo, Omar and Sara Skiles. 2009. “Highbrow omnivorousness on the Small Screen? Cultural Industry Systems and Patterns of Cultural Choice in Europe.” </w:t>
      </w:r>
      <w:r w:rsidDel="00000000" w:rsidR="00000000" w:rsidRPr="00000000">
        <w:rPr>
          <w:i w:val="1"/>
          <w:iCs w:val="1"/>
          <w:rtl w:val="0"/>
        </w:rPr>
        <w:t xml:space="preserve">Poetics</w:t>
      </w:r>
      <w:r w:rsidDel="00000000" w:rsidR="00000000" w:rsidRPr="00000000">
        <w:rPr>
          <w:rtl w:val="0"/>
        </w:rPr>
        <w:t xml:space="preserve">. 37: 1-23.</w:t>
      </w:r>
    </w:p>
    <w:p w:rsidR="00000000" w:rsidDel="00000000" w:rsidP="00000000" w:rsidRDefault="00000000" w:rsidRPr="00000000" w14:paraId="000000D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snl6a5ejvfb8" w:id="68"/>
      <w:bookmarkEnd w:id="68"/>
      <w:r w:rsidDel="00000000" w:rsidR="00000000" w:rsidRPr="00000000">
        <w:rPr>
          <w:rtl w:val="0"/>
        </w:rPr>
        <w:t xml:space="preserve">Lizardo, Omar and Sara Skiles. 2012. “Reconceptualizing and Theorizing ‘Omnivorousness:’ Genetic and Relational Mechanisms.” </w:t>
      </w:r>
      <w:r w:rsidDel="00000000" w:rsidR="00000000" w:rsidRPr="00000000">
        <w:rPr>
          <w:i w:val="1"/>
          <w:iCs w:val="1"/>
          <w:rtl w:val="0"/>
        </w:rPr>
        <w:t xml:space="preserve">Sociological Theory</w:t>
      </w:r>
      <w:r w:rsidDel="00000000" w:rsidR="00000000" w:rsidRPr="00000000">
        <w:rPr>
          <w:rtl w:val="0"/>
        </w:rPr>
        <w:t xml:space="preserve">. Vol. 30: 263-282.</w:t>
      </w:r>
    </w:p>
    <w:p w:rsidR="00000000" w:rsidDel="00000000" w:rsidP="00000000" w:rsidRDefault="00000000" w:rsidRPr="00000000" w14:paraId="000000D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Lopes, Paul. 2002. </w:t>
      </w:r>
      <w:r w:rsidDel="00000000" w:rsidR="00000000" w:rsidRPr="00000000">
        <w:rPr>
          <w:i w:val="1"/>
          <w:iCs w:val="1"/>
          <w:rtl w:val="0"/>
        </w:rPr>
        <w:t xml:space="preserve">The Rise of a Jazz Art World.</w:t>
      </w:r>
      <w:r w:rsidDel="00000000" w:rsidR="00000000" w:rsidRPr="00000000">
        <w:rPr>
          <w:rtl w:val="0"/>
        </w:rPr>
        <w:t xml:space="preserve"> Cambridge University Press.</w:t>
      </w:r>
    </w:p>
    <w:p w:rsidR="00000000" w:rsidDel="00000000" w:rsidP="00000000" w:rsidRDefault="00000000" w:rsidRPr="00000000" w14:paraId="000000D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e95kt8k5h0ga" w:id="69"/>
      <w:bookmarkEnd w:id="69"/>
      <w:r w:rsidDel="00000000" w:rsidR="00000000" w:rsidRPr="00000000">
        <w:rPr>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i w:val="1"/>
          <w:iCs w:val="1"/>
          <w:rtl w:val="0"/>
        </w:rPr>
        <w:t xml:space="preserve">Poetics</w:t>
      </w:r>
      <w:r w:rsidDel="00000000" w:rsidR="00000000" w:rsidRPr="00000000">
        <w:rPr>
          <w:rtl w:val="0"/>
        </w:rPr>
        <w:t xml:space="preserve">. 33: 299-319.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333333"/>
          <w:highlight w:val="white"/>
          <w:rtl w:val="0"/>
        </w:rPr>
        <w:t xml:space="preserve">Lynes, Russell, 1954. </w:t>
      </w:r>
      <w:r w:rsidDel="00000000" w:rsidR="00000000" w:rsidRPr="00000000">
        <w:rPr>
          <w:i w:val="1"/>
          <w:iCs w:val="1"/>
          <w:color w:val="333333"/>
          <w:highlight w:val="white"/>
          <w:rtl w:val="0"/>
        </w:rPr>
        <w:t xml:space="preserve">The Tastemakers</w:t>
      </w:r>
      <w:r w:rsidDel="00000000" w:rsidR="00000000" w:rsidRPr="00000000">
        <w:rPr>
          <w:color w:val="333333"/>
          <w:highlight w:val="white"/>
          <w:rtl w:val="0"/>
        </w:rPr>
        <w:t xml:space="preserve">. Harper, New York.</w:t>
      </w:r>
      <w:r w:rsidDel="00000000" w:rsidR="00000000" w:rsidRPr="00000000">
        <w:rPr>
          <w:rtl w:val="0"/>
        </w:rPr>
      </w:r>
    </w:p>
    <w:p w:rsidR="00000000" w:rsidDel="00000000" w:rsidP="00000000" w:rsidRDefault="00000000" w:rsidRPr="00000000" w14:paraId="000000D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Umbach, Maiken and Bernd Hüppauf, (eds). 2005. V</w:t>
      </w:r>
      <w:r w:rsidDel="00000000" w:rsidR="00000000" w:rsidRPr="00000000">
        <w:rPr>
          <w:i w:val="1"/>
          <w:iCs w:val="1"/>
          <w:rtl w:val="0"/>
        </w:rPr>
        <w:t xml:space="preserve">ernacular Modernism: Heimat, Globalization, and the Built Environment</w:t>
      </w:r>
      <w:r w:rsidDel="00000000" w:rsidR="00000000" w:rsidRPr="00000000">
        <w:rPr>
          <w:rtl w:val="0"/>
        </w:rPr>
        <w:t xml:space="preserve">. Stanford University Press.</w:t>
      </w:r>
    </w:p>
    <w:p w:rsidR="00000000" w:rsidDel="00000000" w:rsidP="00000000" w:rsidRDefault="00000000" w:rsidRPr="00000000" w14:paraId="000000D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uztpe8q0m9o" w:id="70"/>
      <w:bookmarkEnd w:id="70"/>
      <w:r w:rsidDel="00000000" w:rsidR="00000000" w:rsidRPr="00000000">
        <w:rPr>
          <w:rtl w:val="0"/>
        </w:rPr>
        <w:t xml:space="preserve">Mannheim, Karl. 1952. “The Problems of Generations.” In Karl Mannheim, </w:t>
      </w:r>
      <w:r w:rsidDel="00000000" w:rsidR="00000000" w:rsidRPr="00000000">
        <w:rPr>
          <w:i w:val="1"/>
          <w:iCs w:val="1"/>
          <w:rtl w:val="0"/>
        </w:rPr>
        <w:t xml:space="preserve">Essays in the Sociology of Knowledge</w:t>
      </w:r>
      <w:r w:rsidDel="00000000" w:rsidR="00000000" w:rsidRPr="00000000">
        <w:rPr>
          <w:rtl w:val="0"/>
        </w:rPr>
        <w:t xml:space="preserve">, Pp. 276-322. London, England: Routledge and Kegan Paul.</w:t>
      </w:r>
    </w:p>
    <w:p w:rsidR="00000000" w:rsidDel="00000000" w:rsidP="00000000" w:rsidRDefault="00000000" w:rsidRPr="00000000" w14:paraId="000000D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x9nb561xdp0" w:id="71"/>
      <w:bookmarkEnd w:id="71"/>
      <w:r w:rsidDel="00000000" w:rsidR="00000000" w:rsidRPr="00000000">
        <w:rPr>
          <w:rtl w:val="0"/>
        </w:rPr>
        <w:t xml:space="preserve">Matthews, Jane De Hart. 1975. “Arts and the People: The New Deal Quest for a Cultural Democracy.” </w:t>
      </w:r>
      <w:r w:rsidDel="00000000" w:rsidR="00000000" w:rsidRPr="00000000">
        <w:rPr>
          <w:i w:val="1"/>
          <w:iCs w:val="1"/>
          <w:rtl w:val="0"/>
        </w:rPr>
        <w:t xml:space="preserve">The Journal of American History</w:t>
      </w:r>
      <w:r w:rsidDel="00000000" w:rsidR="00000000" w:rsidRPr="00000000">
        <w:rPr>
          <w:rtl w:val="0"/>
        </w:rPr>
        <w:t xml:space="preserve">. Vol. 62 (2): 316-339. </w:t>
      </w:r>
      <w:r w:rsidDel="00000000" w:rsidR="00000000" w:rsidRPr="00000000">
        <w:rPr>
          <w:rtl w:val="0"/>
        </w:rPr>
      </w:r>
    </w:p>
    <w:p w:rsidR="00000000" w:rsidDel="00000000" w:rsidP="00000000" w:rsidRDefault="00000000" w:rsidRPr="00000000" w14:paraId="000000D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9neiu1irg1i" w:id="72"/>
      <w:bookmarkEnd w:id="72"/>
      <w:r w:rsidDel="00000000" w:rsidR="00000000" w:rsidRPr="00000000">
        <w:rPr>
          <w:rtl w:val="0"/>
        </w:rPr>
        <w:t xml:space="preserve">McDonald, William F. 1969. </w:t>
      </w:r>
      <w:r w:rsidDel="00000000" w:rsidR="00000000" w:rsidRPr="00000000">
        <w:rPr>
          <w:i w:val="1"/>
          <w:iCs w:val="1"/>
          <w:rtl w:val="0"/>
        </w:rPr>
        <w:t xml:space="preserve">Federal Relief Administration and the Arts</w:t>
      </w:r>
      <w:r w:rsidDel="00000000" w:rsidR="00000000" w:rsidRPr="00000000">
        <w:rPr>
          <w:rtl w:val="0"/>
        </w:rPr>
        <w:t xml:space="preserve">. Ohio State University Press.</w:t>
      </w:r>
      <w:r w:rsidDel="00000000" w:rsidR="00000000" w:rsidRPr="00000000">
        <w:rPr>
          <w:rtl w:val="0"/>
        </w:rPr>
      </w:r>
    </w:p>
    <w:p w:rsidR="00000000" w:rsidDel="00000000" w:rsidP="00000000" w:rsidRDefault="00000000" w:rsidRPr="00000000" w14:paraId="000000E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yc444f52mc28" w:id="73"/>
      <w:bookmarkEnd w:id="73"/>
      <w:r w:rsidDel="00000000" w:rsidR="00000000" w:rsidRPr="00000000">
        <w:rPr>
          <w:rtl w:val="0"/>
        </w:rPr>
        <w:t xml:space="preserve">Mears, Ashley. 2011. </w:t>
      </w:r>
      <w:r w:rsidDel="00000000" w:rsidR="00000000" w:rsidRPr="00000000">
        <w:rPr>
          <w:i w:val="1"/>
          <w:iCs w:val="1"/>
          <w:rtl w:val="0"/>
        </w:rPr>
        <w:t xml:space="preserve">Pricing Beauty: The Making of a Fashion Model</w:t>
      </w:r>
      <w:r w:rsidDel="00000000" w:rsidR="00000000" w:rsidRPr="00000000">
        <w:rPr>
          <w:rtl w:val="0"/>
        </w:rPr>
        <w:t xml:space="preserve">. Berkeley: University of California Press.</w:t>
      </w:r>
    </w:p>
    <w:p w:rsidR="00000000" w:rsidDel="00000000" w:rsidP="00000000" w:rsidRDefault="00000000" w:rsidRPr="00000000" w14:paraId="000000E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Meyer, Karl E. 1979. </w:t>
      </w:r>
      <w:r w:rsidDel="00000000" w:rsidR="00000000" w:rsidRPr="00000000">
        <w:rPr>
          <w:i w:val="1"/>
          <w:iCs w:val="1"/>
          <w:rtl w:val="0"/>
        </w:rPr>
        <w:t xml:space="preserve">The Art Museum: Power, Money, Ethics</w:t>
      </w:r>
      <w:r w:rsidDel="00000000" w:rsidR="00000000" w:rsidRPr="00000000">
        <w:rPr>
          <w:rtl w:val="0"/>
        </w:rPr>
        <w:t xml:space="preserve">. New York: William Morrow.</w:t>
      </w:r>
    </w:p>
    <w:p w:rsidR="00000000" w:rsidDel="00000000" w:rsidP="00000000" w:rsidRDefault="00000000" w:rsidRPr="00000000" w14:paraId="000000E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nstsafhqaol" w:id="74"/>
      <w:bookmarkEnd w:id="74"/>
      <w:r w:rsidDel="00000000" w:rsidR="00000000" w:rsidRPr="00000000">
        <w:rPr>
          <w:rtl w:val="0"/>
        </w:rPr>
        <w:t xml:space="preserve">N.A. 1936. “Art: Government Inspiration.” </w:t>
      </w:r>
      <w:r w:rsidDel="00000000" w:rsidR="00000000" w:rsidRPr="00000000">
        <w:rPr>
          <w:i w:val="1"/>
          <w:iCs w:val="1"/>
          <w:rtl w:val="0"/>
        </w:rPr>
        <w:t xml:space="preserve">Time Magazine</w:t>
      </w:r>
      <w:r w:rsidDel="00000000" w:rsidR="00000000" w:rsidRPr="00000000">
        <w:rPr>
          <w:rtl w:val="0"/>
        </w:rPr>
        <w:t xml:space="preserve">. March 2. </w:t>
      </w:r>
    </w:p>
    <w:p w:rsidR="00000000" w:rsidDel="00000000" w:rsidP="00000000" w:rsidRDefault="00000000" w:rsidRPr="00000000" w14:paraId="000000E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xv8b5n93qbp1" w:id="75"/>
      <w:bookmarkEnd w:id="75"/>
      <w:r w:rsidDel="00000000" w:rsidR="00000000" w:rsidRPr="00000000">
        <w:rPr>
          <w:rtl w:val="0"/>
        </w:rPr>
        <w:t xml:space="preserve">N.A. 1936. “Music: Relief Melodies.” </w:t>
      </w:r>
      <w:r w:rsidDel="00000000" w:rsidR="00000000" w:rsidRPr="00000000">
        <w:rPr>
          <w:i w:val="1"/>
          <w:iCs w:val="1"/>
          <w:rtl w:val="0"/>
        </w:rPr>
        <w:t xml:space="preserve">Time Magazine</w:t>
      </w:r>
      <w:r w:rsidDel="00000000" w:rsidR="00000000" w:rsidRPr="00000000">
        <w:rPr>
          <w:rtl w:val="0"/>
        </w:rPr>
        <w:t xml:space="preserve">. April 13. </w:t>
      </w:r>
    </w:p>
    <w:p w:rsidR="00000000" w:rsidDel="00000000" w:rsidP="00000000" w:rsidRDefault="00000000" w:rsidRPr="00000000" w14:paraId="000000E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poziaz3l16g1" w:id="76"/>
      <w:bookmarkEnd w:id="76"/>
      <w:r w:rsidDel="00000000" w:rsidR="00000000" w:rsidRPr="00000000">
        <w:rPr>
          <w:rtl w:val="0"/>
        </w:rPr>
        <w:t xml:space="preserve">N.A. 1963. </w:t>
      </w:r>
      <w:r w:rsidDel="00000000" w:rsidR="00000000" w:rsidRPr="00000000">
        <w:rPr>
          <w:sz w:val="24"/>
          <w:szCs w:val="24"/>
          <w:rtl w:val="0"/>
        </w:rPr>
        <w:t xml:space="preserve">“Background Information on Museum of Primitive Art,”</w:t>
      </w:r>
      <w:r w:rsidDel="00000000" w:rsidR="00000000" w:rsidRPr="00000000">
        <w:rPr>
          <w:rtl w:val="0"/>
        </w:rPr>
        <w:t xml:space="preserve"> Spring 1963, </w:t>
      </w:r>
      <w:r w:rsidDel="00000000" w:rsidR="00000000" w:rsidRPr="00000000">
        <w:rPr>
          <w:sz w:val="24"/>
          <w:szCs w:val="24"/>
          <w:rtl w:val="0"/>
        </w:rPr>
        <w:t xml:space="preserve">Official Business</w:t>
      </w:r>
      <w:r w:rsidDel="00000000" w:rsidR="00000000" w:rsidRPr="00000000">
        <w:rPr>
          <w:rtl w:val="0"/>
        </w:rPr>
        <w:t xml:space="preserve">,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py8mofieig9h" w:id="77"/>
      <w:bookmarkEnd w:id="77"/>
      <w:r w:rsidDel="00000000" w:rsidR="00000000" w:rsidRPr="00000000">
        <w:rPr>
          <w:rtl w:val="0"/>
        </w:rPr>
        <w:t xml:space="preserve">N.A. 2013. “Smithsonian Folklife Festival: Mission and History.” </w:t>
      </w:r>
      <w:hyperlink r:id="rId14">
        <w:r w:rsidDel="00000000" w:rsidR="00000000" w:rsidRPr="00000000">
          <w:rPr>
            <w:color w:val="1155cc"/>
            <w:u w:val="single"/>
            <w:rtl w:val="0"/>
          </w:rPr>
          <w:t xml:space="preserve">http://www.festival.si.edu/about-us/mission-and-history/smithsonian</w:t>
        </w:r>
      </w:hyperlink>
      <w:r w:rsidDel="00000000" w:rsidR="00000000" w:rsidRPr="00000000">
        <w:rPr>
          <w:rtl w:val="0"/>
        </w:rPr>
        <w:t xml:space="preserve">. Accessed March 30, 2016.</w:t>
      </w:r>
      <w:r w:rsidDel="00000000" w:rsidR="00000000" w:rsidRPr="00000000">
        <w:rPr>
          <w:rtl w:val="0"/>
        </w:rPr>
      </w:r>
    </w:p>
    <w:p w:rsidR="00000000" w:rsidDel="00000000" w:rsidP="00000000" w:rsidRDefault="00000000" w:rsidRPr="00000000" w14:paraId="000000E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qywflf3snq3" w:id="78"/>
      <w:bookmarkEnd w:id="78"/>
      <w:r w:rsidDel="00000000" w:rsidR="00000000" w:rsidRPr="00000000">
        <w:rPr>
          <w:rtl w:val="0"/>
        </w:rPr>
        <w:t xml:space="preserve">The National Research Center of the Arts. </w:t>
      </w:r>
      <w:r w:rsidDel="00000000" w:rsidR="00000000" w:rsidRPr="00000000">
        <w:rPr>
          <w:i w:val="1"/>
          <w:iCs w:val="1"/>
          <w:rtl w:val="0"/>
        </w:rPr>
        <w:t xml:space="preserve">Americans and the Arts.</w:t>
      </w:r>
      <w:r w:rsidDel="00000000" w:rsidR="00000000" w:rsidRPr="00000000">
        <w:rPr>
          <w:rtl w:val="0"/>
        </w:rPr>
        <w:t xml:space="preserve"> 1973. ICPSR35575-v1. Ann Arbor, MI: Inter-university Consortium for Political and Social Research [distributor], 2015-03-19. </w:t>
      </w:r>
      <w:hyperlink r:id="rId15">
        <w:r w:rsidDel="00000000" w:rsidR="00000000" w:rsidRPr="00000000">
          <w:rPr>
            <w:color w:val="1155cc"/>
            <w:u w:val="single"/>
            <w:rtl w:val="0"/>
          </w:rPr>
          <w:t xml:space="preserve">http://doi.org/10.3886/ICPSR35575.v1</w:t>
        </w:r>
      </w:hyperlink>
      <w:r w:rsidDel="00000000" w:rsidR="00000000" w:rsidRPr="00000000">
        <w:rPr>
          <w:rtl w:val="0"/>
        </w:rPr>
      </w:r>
    </w:p>
    <w:p w:rsidR="00000000" w:rsidDel="00000000" w:rsidP="00000000" w:rsidRDefault="00000000" w:rsidRPr="00000000" w14:paraId="000000E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O’Connor, Francis. 1969. </w:t>
      </w:r>
      <w:r w:rsidDel="00000000" w:rsidR="00000000" w:rsidRPr="00000000">
        <w:rPr>
          <w:i w:val="1"/>
          <w:iCs w:val="1"/>
          <w:rtl w:val="0"/>
        </w:rPr>
        <w:t xml:space="preserve">Federal Support for the Visual Arts: The New Deal and the Now</w:t>
      </w:r>
      <w:r w:rsidDel="00000000" w:rsidR="00000000" w:rsidRPr="00000000">
        <w:rPr>
          <w:rtl w:val="0"/>
        </w:rPr>
        <w:t xml:space="preserve">. Greenwich, CT: New York Graphic Society.</w:t>
      </w:r>
    </w:p>
    <w:p w:rsidR="00000000" w:rsidDel="00000000" w:rsidP="00000000" w:rsidRDefault="00000000" w:rsidRPr="00000000" w14:paraId="000000E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e6f7ulcklcjz" w:id="79"/>
      <w:bookmarkEnd w:id="79"/>
      <w:r w:rsidDel="00000000" w:rsidR="00000000" w:rsidRPr="00000000">
        <w:rPr>
          <w:rtl w:val="0"/>
        </w:rPr>
        <w:t xml:space="preserve">Ocejo, Richard E. 2014. “Show the Animal: Constructing and Communicating New Elite Food Tastes at Upscale Butcher Shops.” </w:t>
      </w:r>
      <w:r w:rsidDel="00000000" w:rsidR="00000000" w:rsidRPr="00000000">
        <w:rPr>
          <w:i w:val="1"/>
          <w:iCs w:val="1"/>
          <w:rtl w:val="0"/>
        </w:rPr>
        <w:t xml:space="preserve">Poetics</w:t>
      </w:r>
      <w:r w:rsidDel="00000000" w:rsidR="00000000" w:rsidRPr="00000000">
        <w:rPr>
          <w:rtl w:val="0"/>
        </w:rPr>
        <w:t xml:space="preserve"> (in press). </w:t>
      </w:r>
    </w:p>
    <w:p w:rsidR="00000000" w:rsidDel="00000000" w:rsidP="00000000" w:rsidRDefault="00000000" w:rsidRPr="00000000" w14:paraId="000000E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d7o0jgrdsgu" w:id="80"/>
      <w:bookmarkEnd w:id="80"/>
      <w:r w:rsidDel="00000000" w:rsidR="00000000" w:rsidRPr="00000000">
        <w:rPr>
          <w:rtl w:val="0"/>
        </w:rPr>
        <w:t xml:space="preserve">Peterson, Richard A. 2005. “Problems in Comparative Research: The Example of Omnnivorousness.” </w:t>
      </w:r>
      <w:r w:rsidDel="00000000" w:rsidR="00000000" w:rsidRPr="00000000">
        <w:rPr>
          <w:i w:val="1"/>
          <w:iCs w:val="1"/>
          <w:rtl w:val="0"/>
        </w:rPr>
        <w:t xml:space="preserve">Poetics</w:t>
      </w:r>
      <w:r w:rsidDel="00000000" w:rsidR="00000000" w:rsidRPr="00000000">
        <w:rPr>
          <w:rtl w:val="0"/>
        </w:rPr>
        <w:t xml:space="preserve">. 33:257-282.</w:t>
      </w:r>
    </w:p>
    <w:p w:rsidR="00000000" w:rsidDel="00000000" w:rsidP="00000000" w:rsidRDefault="00000000" w:rsidRPr="00000000" w14:paraId="000000E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maj7zg8n0pj" w:id="81"/>
      <w:bookmarkEnd w:id="81"/>
      <w:r w:rsidDel="00000000" w:rsidR="00000000" w:rsidRPr="00000000">
        <w:rPr>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p>
    <w:p w:rsidR="00000000" w:rsidDel="00000000" w:rsidP="00000000" w:rsidRDefault="00000000" w:rsidRPr="00000000" w14:paraId="000000E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17pqamx1v5i3" w:id="82"/>
      <w:bookmarkEnd w:id="82"/>
      <w:r w:rsidDel="00000000" w:rsidR="00000000" w:rsidRPr="00000000">
        <w:rPr>
          <w:rtl w:val="0"/>
        </w:rPr>
        <w:t xml:space="preserve">Peterson, Richard A. and Roger M. Kern. 1996. “Changing Highbrow Taste: From Snob to Omnivore.” </w:t>
      </w:r>
      <w:r w:rsidDel="00000000" w:rsidR="00000000" w:rsidRPr="00000000">
        <w:rPr>
          <w:i w:val="1"/>
          <w:iCs w:val="1"/>
          <w:rtl w:val="0"/>
        </w:rPr>
        <w:t xml:space="preserve">American Sociological Review</w:t>
      </w:r>
      <w:r w:rsidDel="00000000" w:rsidR="00000000" w:rsidRPr="00000000">
        <w:rPr>
          <w:rtl w:val="0"/>
        </w:rPr>
        <w:t xml:space="preserve">. Vol. 61: 900-907.</w:t>
      </w:r>
      <w:r w:rsidDel="00000000" w:rsidR="00000000" w:rsidRPr="00000000">
        <w:rPr>
          <w:rtl w:val="0"/>
        </w:rPr>
      </w:r>
    </w:p>
    <w:p w:rsidR="00000000" w:rsidDel="00000000" w:rsidP="00000000" w:rsidRDefault="00000000" w:rsidRPr="00000000" w14:paraId="000000E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Peterson, Richard A. and Gabriel Rossman. 2008. “Changing Arts Audiences: Capitalizing on Omnivorousness.” </w:t>
      </w:r>
      <w:r w:rsidDel="00000000" w:rsidR="00000000" w:rsidRPr="00000000">
        <w:rPr>
          <w:rtl w:val="0"/>
        </w:rPr>
        <w:t xml:space="preserve">Pp. 307-342 in </w:t>
      </w:r>
      <w:r w:rsidDel="00000000" w:rsidR="00000000" w:rsidRPr="00000000">
        <w:rPr>
          <w:rtl w:val="0"/>
        </w:rPr>
        <w:t xml:space="preserve">Steven Tepper and Bill Ivey (eds). </w:t>
      </w:r>
      <w:r w:rsidDel="00000000" w:rsidR="00000000" w:rsidRPr="00000000">
        <w:rPr>
          <w:i w:val="1"/>
          <w:iCs w:val="1"/>
          <w:rtl w:val="0"/>
        </w:rPr>
        <w:t xml:space="preserve">Engaging Art: The Next Great Transformation of Americans</w:t>
      </w:r>
      <w:r w:rsidDel="00000000" w:rsidR="00000000" w:rsidRPr="00000000">
        <w:rPr>
          <w:i w:val="1"/>
          <w:iCs w:val="1"/>
          <w:rtl w:val="0"/>
        </w:rPr>
        <w:t xml:space="preserve">’</w:t>
      </w:r>
      <w:r w:rsidDel="00000000" w:rsidR="00000000" w:rsidRPr="00000000">
        <w:rPr>
          <w:i w:val="1"/>
          <w:iCs w:val="1"/>
          <w:rtl w:val="0"/>
        </w:rPr>
        <w:t xml:space="preserve"> Cultural Life</w:t>
      </w:r>
      <w:r w:rsidDel="00000000" w:rsidR="00000000" w:rsidRPr="00000000">
        <w:rPr>
          <w:rtl w:val="0"/>
        </w:rPr>
        <w:t xml:space="preserve">. New York: Routledge. </w:t>
      </w:r>
    </w:p>
    <w:p w:rsidR="00000000" w:rsidDel="00000000" w:rsidP="00000000" w:rsidRDefault="00000000" w:rsidRPr="00000000" w14:paraId="000000E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nk9b5mi32fmd" w:id="83"/>
      <w:bookmarkEnd w:id="83"/>
      <w:r w:rsidDel="00000000" w:rsidR="00000000" w:rsidRPr="00000000">
        <w:rPr>
          <w:rtl w:val="0"/>
        </w:rPr>
        <w:t xml:space="preserve">Prieur, Annick, and Mike Savage. 2013. “Emerging forms of cultural capital.” </w:t>
      </w:r>
      <w:r w:rsidDel="00000000" w:rsidR="00000000" w:rsidRPr="00000000">
        <w:rPr>
          <w:i w:val="1"/>
          <w:iCs w:val="1"/>
          <w:rtl w:val="0"/>
        </w:rPr>
        <w:t xml:space="preserve">European Societies</w:t>
      </w:r>
      <w:r w:rsidDel="00000000" w:rsidR="00000000" w:rsidRPr="00000000">
        <w:rPr>
          <w:rtl w:val="0"/>
        </w:rPr>
        <w:t xml:space="preserve"> 15: 246-267.</w:t>
      </w:r>
    </w:p>
    <w:p w:rsidR="00000000" w:rsidDel="00000000" w:rsidP="00000000" w:rsidRDefault="00000000" w:rsidRPr="00000000" w14:paraId="000000E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nytbgg483ao0" w:id="84"/>
      <w:bookmarkEnd w:id="84"/>
      <w:r w:rsidDel="00000000" w:rsidR="00000000" w:rsidRPr="00000000">
        <w:rPr>
          <w:rtl w:val="0"/>
        </w:rPr>
        <w:t xml:space="preserve">Rabe-Hesketh, Sophia and Anders Skrondal. 2008. </w:t>
      </w:r>
      <w:r w:rsidDel="00000000" w:rsidR="00000000" w:rsidRPr="00000000">
        <w:rPr>
          <w:i w:val="1"/>
          <w:iCs w:val="1"/>
          <w:rtl w:val="0"/>
        </w:rPr>
        <w:t xml:space="preserve">Multilevel and longitudinal modeling using Stata</w:t>
      </w:r>
      <w:r w:rsidDel="00000000" w:rsidR="00000000" w:rsidRPr="00000000">
        <w:rPr>
          <w:rtl w:val="0"/>
        </w:rPr>
        <w:t xml:space="preserve">. Stata Press.</w:t>
      </w:r>
    </w:p>
    <w:p w:rsidR="00000000" w:rsidDel="00000000" w:rsidP="00000000" w:rsidRDefault="00000000" w:rsidRPr="00000000" w14:paraId="000000E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Regev, Motti. 2007. “Cultural Uniqueness and Aesthetic Cosmopolitanism.” </w:t>
      </w:r>
      <w:r w:rsidDel="00000000" w:rsidR="00000000" w:rsidRPr="00000000">
        <w:rPr>
          <w:i w:val="1"/>
          <w:iCs w:val="1"/>
          <w:rtl w:val="0"/>
        </w:rPr>
        <w:t xml:space="preserve">European Journal of Social Theory</w:t>
      </w:r>
      <w:r w:rsidDel="00000000" w:rsidR="00000000" w:rsidRPr="00000000">
        <w:rPr>
          <w:rtl w:val="0"/>
        </w:rPr>
        <w:t xml:space="preserve"> 10(1): 123–38.</w:t>
      </w:r>
    </w:p>
    <w:p w:rsidR="00000000" w:rsidDel="00000000" w:rsidP="00000000" w:rsidRDefault="00000000" w:rsidRPr="00000000" w14:paraId="000000F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hfzkj1qfs0g" w:id="85"/>
      <w:bookmarkEnd w:id="85"/>
      <w:r w:rsidDel="00000000" w:rsidR="00000000" w:rsidRPr="00000000">
        <w:rPr>
          <w:rtl w:val="0"/>
        </w:rPr>
        <w:t xml:space="preserve">Reeves, Aaron. 2015. “Age-period-cohort and cultural engagement.” Pp. 116-131 in L. Hanquinet and M. Savage (Eds). </w:t>
      </w:r>
      <w:r w:rsidDel="00000000" w:rsidR="00000000" w:rsidRPr="00000000">
        <w:rPr>
          <w:i w:val="1"/>
          <w:iCs w:val="1"/>
          <w:rtl w:val="0"/>
        </w:rPr>
        <w:t xml:space="preserve">Routledge International Handbook of the Sociology of Art and Culture. </w:t>
      </w:r>
      <w:r w:rsidDel="00000000" w:rsidR="00000000" w:rsidRPr="00000000">
        <w:rPr>
          <w:rtl w:val="0"/>
        </w:rPr>
        <w:t xml:space="preserve">London: Routledge. </w:t>
      </w:r>
    </w:p>
    <w:p w:rsidR="00000000" w:rsidDel="00000000" w:rsidP="00000000" w:rsidRDefault="00000000" w:rsidRPr="00000000" w14:paraId="000000F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4"/>
      <w:bookmarkEnd w:id="44"/>
      <w:r w:rsidDel="00000000" w:rsidR="00000000" w:rsidRPr="00000000">
        <w:rPr>
          <w:rtl w:val="0"/>
        </w:rPr>
        <w:t xml:space="preserve">Rossman, Gabriel. 2012 </w:t>
      </w:r>
      <w:r w:rsidDel="00000000" w:rsidR="00000000" w:rsidRPr="00000000">
        <w:rPr>
          <w:i w:val="1"/>
          <w:iCs w:val="1"/>
          <w:rtl w:val="0"/>
        </w:rPr>
        <w:t xml:space="preserve">Climbing The Charts: What Radio Airplay Tells Us About The D</w:t>
      </w:r>
      <w:r w:rsidDel="00000000" w:rsidR="00000000" w:rsidRPr="00000000">
        <w:rPr>
          <w:i w:val="1"/>
          <w:iCs w:val="1"/>
          <w:rtl w:val="0"/>
        </w:rPr>
        <w:t xml:space="preserve">iffusion of Innovation</w:t>
      </w:r>
      <w:r w:rsidDel="00000000" w:rsidR="00000000" w:rsidRPr="00000000">
        <w:rPr>
          <w:rtl w:val="0"/>
        </w:rPr>
        <w:t xml:space="preserve">. Princeton University Press..</w:t>
      </w:r>
      <w:r w:rsidDel="00000000" w:rsidR="00000000" w:rsidRPr="00000000">
        <w:rPr>
          <w:rtl w:val="0"/>
        </w:rPr>
      </w:r>
    </w:p>
    <w:p w:rsidR="00000000" w:rsidDel="00000000" w:rsidP="00000000" w:rsidRDefault="00000000" w:rsidRPr="00000000" w14:paraId="000000F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xnmtraci6va" w:id="86"/>
      <w:bookmarkEnd w:id="86"/>
      <w:r w:rsidDel="00000000" w:rsidR="00000000" w:rsidRPr="00000000">
        <w:rPr>
          <w:rtl w:val="0"/>
        </w:rPr>
        <w:t xml:space="preserve">Rossman, Gabriel and Richard A. Peterson. 2015. “The Instability of Omnivorous Cultural Taste Over Time.” </w:t>
      </w:r>
      <w:r w:rsidDel="00000000" w:rsidR="00000000" w:rsidRPr="00000000">
        <w:rPr>
          <w:i w:val="1"/>
          <w:iCs w:val="1"/>
          <w:rtl w:val="0"/>
        </w:rPr>
        <w:t xml:space="preserve">Poetics </w:t>
      </w:r>
      <w:r w:rsidDel="00000000" w:rsidR="00000000" w:rsidRPr="00000000">
        <w:rPr>
          <w:rtl w:val="0"/>
        </w:rPr>
        <w:t xml:space="preserve">52</w:t>
      </w:r>
      <w:r w:rsidDel="00000000" w:rsidR="00000000" w:rsidRPr="00000000">
        <w:rPr>
          <w:rtl w:val="0"/>
        </w:rPr>
        <w:t xml:space="preserve">: 139-153.</w:t>
      </w:r>
      <w:r w:rsidDel="00000000" w:rsidR="00000000" w:rsidRPr="00000000">
        <w:rPr>
          <w:rtl w:val="0"/>
        </w:rPr>
      </w:r>
    </w:p>
    <w:p w:rsidR="00000000" w:rsidDel="00000000" w:rsidP="00000000" w:rsidRDefault="00000000" w:rsidRPr="00000000" w14:paraId="000000F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bize2zkrdm1v" w:id="87"/>
      <w:bookmarkEnd w:id="87"/>
      <w:r w:rsidDel="00000000" w:rsidR="00000000" w:rsidRPr="00000000">
        <w:rPr>
          <w:rtl w:val="0"/>
        </w:rPr>
        <w:t xml:space="preserve">Ryder, Norman B. 1965. “The cohort as a Concept in the Study of Social Change.” </w:t>
      </w:r>
      <w:r w:rsidDel="00000000" w:rsidR="00000000" w:rsidRPr="00000000">
        <w:rPr>
          <w:i w:val="1"/>
          <w:iCs w:val="1"/>
          <w:rtl w:val="0"/>
        </w:rPr>
        <w:t xml:space="preserve">American Sociological Review</w:t>
      </w:r>
      <w:r w:rsidDel="00000000" w:rsidR="00000000" w:rsidRPr="00000000">
        <w:rPr>
          <w:rtl w:val="0"/>
        </w:rPr>
        <w:t xml:space="preserve"> 30 (6): 843-861.</w:t>
      </w:r>
    </w:p>
    <w:p w:rsidR="00000000" w:rsidDel="00000000" w:rsidP="00000000" w:rsidRDefault="00000000" w:rsidRPr="00000000" w14:paraId="000000F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lmond96c3ke8" w:id="88"/>
      <w:bookmarkEnd w:id="88"/>
      <w:r w:rsidDel="00000000" w:rsidR="00000000" w:rsidRPr="00000000">
        <w:rPr>
          <w:rtl w:val="0"/>
        </w:rPr>
        <w:t xml:space="preserve">Saito, Hiro. 2011. “An Actor-Network Theory of Cosmopolitanism.” </w:t>
      </w:r>
      <w:r w:rsidDel="00000000" w:rsidR="00000000" w:rsidRPr="00000000">
        <w:rPr>
          <w:i w:val="1"/>
          <w:iCs w:val="1"/>
          <w:rtl w:val="0"/>
        </w:rPr>
        <w:t xml:space="preserve">Sociological Theory</w:t>
      </w:r>
      <w:r w:rsidDel="00000000" w:rsidR="00000000" w:rsidRPr="00000000">
        <w:rPr>
          <w:rtl w:val="0"/>
        </w:rPr>
        <w:t xml:space="preserve"> 29(2): 124-149.</w:t>
      </w:r>
    </w:p>
    <w:p w:rsidR="00000000" w:rsidDel="00000000" w:rsidP="00000000" w:rsidRDefault="00000000" w:rsidRPr="00000000" w14:paraId="000000F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8kbv1m4zwrcf" w:id="89"/>
      <w:bookmarkEnd w:id="89"/>
      <w:r w:rsidDel="00000000" w:rsidR="00000000" w:rsidRPr="00000000">
        <w:rPr>
          <w:rtl w:val="0"/>
        </w:rPr>
        <w:t xml:space="preserve">Schuman, Howard, and Cheryl Rieger. 1992. “Historical analogies, generational effects, and attitudes toward war.” </w:t>
      </w:r>
      <w:r w:rsidDel="00000000" w:rsidR="00000000" w:rsidRPr="00000000">
        <w:rPr>
          <w:i w:val="1"/>
          <w:iCs w:val="1"/>
          <w:rtl w:val="0"/>
        </w:rPr>
        <w:t xml:space="preserve">American Sociological Review</w:t>
      </w:r>
      <w:r w:rsidDel="00000000" w:rsidR="00000000" w:rsidRPr="00000000">
        <w:rPr>
          <w:rtl w:val="0"/>
        </w:rPr>
        <w:t xml:space="preserve"> 57: 315-326.</w:t>
      </w:r>
    </w:p>
    <w:p w:rsidR="00000000" w:rsidDel="00000000" w:rsidP="00000000" w:rsidRDefault="00000000" w:rsidRPr="00000000" w14:paraId="000000F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cuwdzsmrt5er" w:id="90"/>
      <w:bookmarkEnd w:id="90"/>
      <w:r w:rsidDel="00000000" w:rsidR="00000000" w:rsidRPr="00000000">
        <w:rPr>
          <w:rtl w:val="0"/>
        </w:rPr>
        <w:t xml:space="preserve">Schuman, Howard, and Amy D Corning. 2000. “</w:t>
      </w:r>
      <w:r w:rsidDel="00000000" w:rsidR="00000000" w:rsidRPr="00000000">
        <w:rPr>
          <w:rtl w:val="0"/>
        </w:rPr>
        <w:t xml:space="preserve">Collective Knowledge of Public Events: The </w:t>
      </w:r>
      <w:r w:rsidDel="00000000" w:rsidR="00000000" w:rsidRPr="00000000">
        <w:rPr>
          <w:rtl w:val="0"/>
        </w:rPr>
        <w:t xml:space="preserve">Soviet Era From The Great Purge to Glasnost.” </w:t>
      </w:r>
      <w:r w:rsidDel="00000000" w:rsidR="00000000" w:rsidRPr="00000000">
        <w:rPr>
          <w:i w:val="1"/>
          <w:iCs w:val="1"/>
          <w:rtl w:val="0"/>
        </w:rPr>
        <w:t xml:space="preserve">American Journal of Sociology</w:t>
      </w:r>
      <w:r w:rsidDel="00000000" w:rsidR="00000000" w:rsidRPr="00000000">
        <w:rPr>
          <w:rtl w:val="0"/>
        </w:rPr>
        <w:t xml:space="preserve"> 105: 913-956.</w:t>
      </w:r>
    </w:p>
    <w:p w:rsidR="00000000" w:rsidDel="00000000" w:rsidP="00000000" w:rsidRDefault="00000000" w:rsidRPr="00000000" w14:paraId="000000F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72fhgrnhkg3u" w:id="91"/>
      <w:bookmarkEnd w:id="91"/>
      <w:r w:rsidDel="00000000" w:rsidR="00000000" w:rsidRPr="00000000">
        <w:rPr>
          <w:rtl w:val="0"/>
        </w:rPr>
        <w:t xml:space="preserve">Schmutz, Vaughn. 2005. “Retrospective Cultural Consecration in Popular Music: </w:t>
      </w:r>
      <w:r w:rsidDel="00000000" w:rsidR="00000000" w:rsidRPr="00000000">
        <w:rPr>
          <w:i w:val="1"/>
          <w:iCs w:val="1"/>
          <w:rtl w:val="0"/>
        </w:rPr>
        <w:t xml:space="preserve">Rolling Stone’s</w:t>
      </w:r>
      <w:r w:rsidDel="00000000" w:rsidR="00000000" w:rsidRPr="00000000">
        <w:rPr>
          <w:rtl w:val="0"/>
        </w:rPr>
        <w:t xml:space="preserve"> Greatest Albums of All Time.” </w:t>
      </w:r>
      <w:r w:rsidDel="00000000" w:rsidR="00000000" w:rsidRPr="00000000">
        <w:rPr>
          <w:i w:val="1"/>
          <w:iCs w:val="1"/>
          <w:rtl w:val="0"/>
        </w:rPr>
        <w:t xml:space="preserve">American Behavioral Scientist</w:t>
      </w:r>
      <w:r w:rsidDel="00000000" w:rsidR="00000000" w:rsidRPr="00000000">
        <w:rPr>
          <w:rtl w:val="0"/>
        </w:rPr>
        <w:t xml:space="preserve">. Vol. 48 (11): 1510-1523.</w:t>
      </w:r>
      <w:r w:rsidDel="00000000" w:rsidR="00000000" w:rsidRPr="00000000">
        <w:rPr>
          <w:rtl w:val="0"/>
        </w:rPr>
      </w:r>
    </w:p>
    <w:p w:rsidR="00000000" w:rsidDel="00000000" w:rsidP="00000000" w:rsidRDefault="00000000" w:rsidRPr="00000000" w14:paraId="000000F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2hxvexbwcg2" w:id="92"/>
      <w:bookmarkEnd w:id="92"/>
      <w:r w:rsidDel="00000000" w:rsidR="00000000" w:rsidRPr="00000000">
        <w:rPr>
          <w:rtl w:val="0"/>
        </w:rPr>
        <w:t xml:space="preserve">Schneiberg, Marc, and Elisabeth S. Clemens. 2006. “The Typical Tools for the Job: Research Strategies in Institutional Analysis.” </w:t>
      </w:r>
      <w:r w:rsidDel="00000000" w:rsidR="00000000" w:rsidRPr="00000000">
        <w:rPr>
          <w:i w:val="1"/>
          <w:iCs w:val="1"/>
          <w:rtl w:val="0"/>
        </w:rPr>
        <w:t xml:space="preserve">Sociological Theory</w:t>
      </w:r>
      <w:r w:rsidDel="00000000" w:rsidR="00000000" w:rsidRPr="00000000">
        <w:rPr>
          <w:rtl w:val="0"/>
        </w:rPr>
        <w:t xml:space="preserve"> 24: 195-227.</w:t>
      </w:r>
      <w:r w:rsidDel="00000000" w:rsidR="00000000" w:rsidRPr="00000000">
        <w:rPr>
          <w:rtl w:val="0"/>
        </w:rPr>
      </w:r>
    </w:p>
    <w:p w:rsidR="00000000" w:rsidDel="00000000" w:rsidP="00000000" w:rsidRDefault="00000000" w:rsidRPr="00000000" w14:paraId="000000F9">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cj5vq3tqnumn" w:id="93"/>
      <w:bookmarkEnd w:id="93"/>
      <w:r w:rsidDel="00000000" w:rsidR="00000000" w:rsidRPr="00000000">
        <w:rPr>
          <w:rtl w:val="0"/>
        </w:rPr>
        <w:t xml:space="preserve">Shils, Edward, 1958. “Mass society and its culture.” </w:t>
      </w:r>
      <w:r w:rsidDel="00000000" w:rsidR="00000000" w:rsidRPr="00000000">
        <w:rPr>
          <w:i w:val="1"/>
          <w:iCs w:val="1"/>
          <w:rtl w:val="0"/>
        </w:rPr>
        <w:t xml:space="preserve">Daedalus: Journal of the American Academy of Arts and Sciences</w:t>
      </w:r>
      <w:r w:rsidDel="00000000" w:rsidR="00000000" w:rsidRPr="00000000">
        <w:rPr>
          <w:rtl w:val="0"/>
        </w:rPr>
        <w:t xml:space="preserve"> 89, 2.</w:t>
      </w:r>
      <w:r w:rsidDel="00000000" w:rsidR="00000000" w:rsidRPr="00000000">
        <w:rPr>
          <w:rtl w:val="0"/>
        </w:rPr>
      </w:r>
    </w:p>
    <w:p w:rsidR="00000000" w:rsidDel="00000000" w:rsidP="00000000" w:rsidRDefault="00000000" w:rsidRPr="00000000" w14:paraId="000000F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6ere1injkm5x" w:id="94"/>
      <w:bookmarkEnd w:id="94"/>
      <w:r w:rsidDel="00000000" w:rsidR="00000000" w:rsidRPr="00000000">
        <w:rPr>
          <w:rtl w:val="0"/>
        </w:rPr>
        <w:t xml:space="preserve">Spillman, Lyn. 2014. “Mixed Methods and the Logic of Qualitative Inference.” </w:t>
      </w:r>
      <w:r w:rsidDel="00000000" w:rsidR="00000000" w:rsidRPr="00000000">
        <w:rPr>
          <w:i w:val="1"/>
          <w:iCs w:val="1"/>
          <w:rtl w:val="0"/>
        </w:rPr>
        <w:t xml:space="preserve">Qualitative Sociology</w:t>
      </w:r>
      <w:r w:rsidDel="00000000" w:rsidR="00000000" w:rsidRPr="00000000">
        <w:rPr>
          <w:rtl w:val="0"/>
        </w:rPr>
        <w:t xml:space="preserve"> 37(2): 189-205.</w:t>
      </w:r>
      <w:r w:rsidDel="00000000" w:rsidR="00000000" w:rsidRPr="00000000">
        <w:rPr>
          <w:rtl w:val="0"/>
        </w:rPr>
      </w:r>
    </w:p>
    <w:p w:rsidR="00000000" w:rsidDel="00000000" w:rsidP="00000000" w:rsidRDefault="00000000" w:rsidRPr="00000000" w14:paraId="000000F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egdibt66ya5" w:id="95"/>
      <w:bookmarkEnd w:id="95"/>
      <w:r w:rsidDel="00000000" w:rsidR="00000000" w:rsidRPr="00000000">
        <w:rPr>
          <w:rtl w:val="0"/>
        </w:rPr>
        <w:t xml:space="preserve">van Eijck, Koen. 2001. “Social Differentiation in Musical Taste Patterns.” </w:t>
      </w:r>
      <w:r w:rsidDel="00000000" w:rsidR="00000000" w:rsidRPr="00000000">
        <w:rPr>
          <w:i w:val="1"/>
          <w:iCs w:val="1"/>
          <w:rtl w:val="0"/>
        </w:rPr>
        <w:t xml:space="preserve">Social Forces</w:t>
      </w:r>
      <w:r w:rsidDel="00000000" w:rsidR="00000000" w:rsidRPr="00000000">
        <w:rPr>
          <w:rtl w:val="0"/>
        </w:rPr>
        <w:t xml:space="preserve"> 79(3): 1163-1185.</w:t>
      </w:r>
    </w:p>
    <w:p w:rsidR="00000000" w:rsidDel="00000000" w:rsidP="00000000" w:rsidRDefault="00000000" w:rsidRPr="00000000" w14:paraId="000000F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jksp7uceo4gx" w:id="96"/>
      <w:bookmarkEnd w:id="96"/>
      <w:r w:rsidDel="00000000" w:rsidR="00000000" w:rsidRPr="00000000">
        <w:rPr>
          <w:rtl w:val="0"/>
        </w:rPr>
        <w:t xml:space="preserve">Weber, William. 1977. “Mass culture and the reshaping of European musical taste, 1770-1870.” </w:t>
      </w:r>
      <w:r w:rsidDel="00000000" w:rsidR="00000000" w:rsidRPr="00000000">
        <w:rPr>
          <w:i w:val="1"/>
          <w:iCs w:val="1"/>
          <w:rtl w:val="0"/>
        </w:rPr>
        <w:t xml:space="preserve">International Review of The Aesthetics and Sociology of Music </w:t>
      </w:r>
      <w:r w:rsidDel="00000000" w:rsidR="00000000" w:rsidRPr="00000000">
        <w:rPr>
          <w:rtl w:val="0"/>
        </w:rPr>
        <w:t xml:space="preserve">8: 5-22.</w:t>
      </w:r>
    </w:p>
    <w:p w:rsidR="00000000" w:rsidDel="00000000" w:rsidP="00000000" w:rsidRDefault="00000000" w:rsidRPr="00000000" w14:paraId="000000F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74zcxn2z5g3o" w:id="97"/>
      <w:bookmarkEnd w:id="97"/>
      <w:r w:rsidDel="00000000" w:rsidR="00000000" w:rsidRPr="00000000">
        <w:rPr>
          <w:rtl w:val="0"/>
        </w:rPr>
        <w:t xml:space="preserve">Wright, David, Semi Purhonen, and Riie Heikkilä. 2013. “Comparing ‘Cosmopolitanism’: Taste, Nation and Global Culture in Finland and the UK.”</w:t>
      </w:r>
      <w:r w:rsidDel="00000000" w:rsidR="00000000" w:rsidRPr="00000000">
        <w:rPr>
          <w:i w:val="1"/>
          <w:iCs w:val="1"/>
          <w:rtl w:val="0"/>
        </w:rPr>
        <w:t xml:space="preserve"> Comparative Sociology</w:t>
      </w:r>
      <w:r w:rsidDel="00000000" w:rsidR="00000000" w:rsidRPr="00000000">
        <w:rPr>
          <w:rtl w:val="0"/>
        </w:rPr>
        <w:t xml:space="preserve"> 12(3): </w:t>
      </w:r>
      <w:r w:rsidDel="00000000" w:rsidR="00000000" w:rsidRPr="00000000">
        <w:rPr>
          <w:rtl w:val="0"/>
        </w:rPr>
        <w:t xml:space="preserve">330–60</w:t>
      </w:r>
      <w:r w:rsidDel="00000000" w:rsidR="00000000" w:rsidRPr="00000000">
        <w:rPr>
          <w:rtl w:val="0"/>
        </w:rPr>
        <w:t xml:space="preserve">.</w:t>
      </w:r>
    </w:p>
    <w:p w:rsidR="00000000" w:rsidDel="00000000" w:rsidP="00000000" w:rsidRDefault="00000000" w:rsidRPr="00000000" w14:paraId="000000F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ip4hgz77wl8" w:id="98"/>
      <w:bookmarkEnd w:id="98"/>
      <w:r w:rsidDel="00000000" w:rsidR="00000000" w:rsidRPr="00000000">
        <w:rPr>
          <w:rtl w:val="0"/>
        </w:rPr>
        <w:t xml:space="preserve">Wright, David. 2011. “Making Tastes for Everything: Omnivorousness and Cultural Abundance.” </w:t>
      </w:r>
      <w:r w:rsidDel="00000000" w:rsidR="00000000" w:rsidRPr="00000000">
        <w:rPr>
          <w:i w:val="1"/>
          <w:iCs w:val="1"/>
          <w:rtl w:val="0"/>
        </w:rPr>
        <w:t xml:space="preserve">Journal for Cultural Research</w:t>
      </w:r>
      <w:r w:rsidDel="00000000" w:rsidR="00000000" w:rsidRPr="00000000">
        <w:rPr>
          <w:rtl w:val="0"/>
        </w:rPr>
        <w:t xml:space="preserve"> 15: 355-371.</w:t>
      </w:r>
      <w:r w:rsidDel="00000000" w:rsidR="00000000" w:rsidRPr="00000000">
        <w:rPr>
          <w:rtl w:val="0"/>
        </w:rPr>
      </w:r>
    </w:p>
    <w:p w:rsidR="00000000" w:rsidDel="00000000" w:rsidP="00000000" w:rsidRDefault="00000000" w:rsidRPr="00000000" w14:paraId="000000F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qy8edy9uuowm" w:id="99"/>
      <w:bookmarkEnd w:id="99"/>
      <w:r w:rsidDel="00000000" w:rsidR="00000000" w:rsidRPr="00000000">
        <w:rPr>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i w:val="1"/>
          <w:iCs w:val="1"/>
          <w:rtl w:val="0"/>
        </w:rPr>
        <w:t xml:space="preserve">Sociological Methodology</w:t>
      </w:r>
      <w:r w:rsidDel="00000000" w:rsidR="00000000" w:rsidRPr="00000000">
        <w:rPr>
          <w:rtl w:val="0"/>
        </w:rPr>
        <w:t xml:space="preserve"> 36: 75-97.</w:t>
      </w:r>
    </w:p>
    <w:p w:rsidR="00000000" w:rsidDel="00000000" w:rsidP="00000000" w:rsidRDefault="00000000" w:rsidRPr="00000000" w14:paraId="0000010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15nhjd6063j" w:id="100"/>
      <w:bookmarkEnd w:id="100"/>
      <w:r w:rsidDel="00000000" w:rsidR="00000000" w:rsidRPr="00000000">
        <w:rPr>
          <w:rtl w:val="0"/>
        </w:rPr>
        <w:t xml:space="preserve">Yang, Yang, and Kenneth C Land. 2008. “Age–Period–Cohort Analysis of Repeated Cross-Section Surveys: Fixed or Random Effects?.” </w:t>
      </w:r>
      <w:r w:rsidDel="00000000" w:rsidR="00000000" w:rsidRPr="00000000">
        <w:rPr>
          <w:i w:val="1"/>
          <w:iCs w:val="1"/>
          <w:rtl w:val="0"/>
        </w:rPr>
        <w:t xml:space="preserve">Sociological methods &amp; research</w:t>
      </w:r>
      <w:r w:rsidDel="00000000" w:rsidR="00000000" w:rsidRPr="00000000">
        <w:rPr>
          <w:rtl w:val="0"/>
        </w:rPr>
        <w:t xml:space="preserve"> 36:  297-326.</w:t>
      </w:r>
      <w:r w:rsidDel="00000000" w:rsidR="00000000" w:rsidRPr="00000000">
        <w:rPr>
          <w:rtl w:val="0"/>
        </w:rPr>
      </w:r>
    </w:p>
    <w:p w:rsidR="00000000" w:rsidDel="00000000" w:rsidP="00000000" w:rsidRDefault="00000000" w:rsidRPr="00000000" w14:paraId="00000101">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to9zfswsxhli" w:id="101"/>
      <w:bookmarkEnd w:id="101"/>
      <w:r w:rsidDel="00000000" w:rsidR="00000000" w:rsidRPr="00000000">
        <w:rPr>
          <w:rtl w:val="0"/>
        </w:rPr>
        <w:t xml:space="preserve">Zolberg, Vera. 1981. “Conflicting Visions in American Art Museums.” </w:t>
      </w:r>
      <w:r w:rsidDel="00000000" w:rsidR="00000000" w:rsidRPr="00000000">
        <w:rPr>
          <w:i w:val="1"/>
          <w:iCs w:val="1"/>
          <w:rtl w:val="0"/>
        </w:rPr>
        <w:t xml:space="preserve">Theory and Society</w:t>
      </w:r>
      <w:r w:rsidDel="00000000" w:rsidR="00000000" w:rsidRPr="00000000">
        <w:rPr>
          <w:rtl w:val="0"/>
        </w:rPr>
        <w:t xml:space="preserve">. Vol. 10 (1): 103-125.</w:t>
      </w:r>
    </w:p>
    <w:p w:rsidR="00000000" w:rsidDel="00000000" w:rsidP="00000000" w:rsidRDefault="00000000" w:rsidRPr="00000000" w14:paraId="00000102">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4pkse17a72a" w:id="102"/>
      <w:bookmarkEnd w:id="102"/>
      <w:r w:rsidDel="00000000" w:rsidR="00000000" w:rsidRPr="00000000">
        <w:rPr>
          <w:rtl w:val="0"/>
        </w:rPr>
        <w:t xml:space="preserve">Zolberg, Vera L. 1984. “American Art Museums: Sanctuary or Free-For-All?” </w:t>
      </w:r>
      <w:r w:rsidDel="00000000" w:rsidR="00000000" w:rsidRPr="00000000">
        <w:rPr>
          <w:i w:val="1"/>
          <w:iCs w:val="1"/>
          <w:rtl w:val="0"/>
        </w:rPr>
        <w:t xml:space="preserve">Social Forces </w:t>
      </w:r>
      <w:r w:rsidDel="00000000" w:rsidR="00000000" w:rsidRPr="00000000">
        <w:rPr>
          <w:rtl w:val="0"/>
        </w:rPr>
        <w:t xml:space="preserve">63 (2): 377-392.</w:t>
      </w:r>
    </w:p>
    <w:p w:rsidR="00000000" w:rsidDel="00000000" w:rsidP="00000000" w:rsidRDefault="00000000" w:rsidRPr="00000000" w14:paraId="00000103">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xe4fu3rutwd" w:id="103"/>
      <w:bookmarkEnd w:id="103"/>
      <w:r w:rsidDel="00000000" w:rsidR="00000000" w:rsidRPr="00000000">
        <w:rPr>
          <w:rtl w:val="0"/>
        </w:rPr>
        <w:t xml:space="preserve">Zolberg, Vera. 1986. “Tensions of Mission in American Art Museums.” Pp. 184-198 in Paul DiMaggio (ed.), </w:t>
      </w:r>
      <w:r w:rsidDel="00000000" w:rsidR="00000000" w:rsidRPr="00000000">
        <w:rPr>
          <w:i w:val="1"/>
          <w:iCs w:val="1"/>
          <w:rtl w:val="0"/>
        </w:rPr>
        <w:t xml:space="preserve">Nonprofit Enterprise in the Arts: Studies in Mission and Constraint</w:t>
      </w:r>
      <w:r w:rsidDel="00000000" w:rsidR="00000000" w:rsidRPr="00000000">
        <w:rPr>
          <w:rtl w:val="0"/>
        </w:rPr>
        <w:t xml:space="preserve">. New York: Oxford University Press.</w:t>
      </w:r>
    </w:p>
    <w:p w:rsidR="00000000" w:rsidDel="00000000" w:rsidP="00000000" w:rsidRDefault="00000000" w:rsidRPr="00000000" w14:paraId="00000104">
      <w:pPr>
        <w:pStyle w:val="Heading6"/>
        <w:pageBreakBefore w:val="0"/>
        <w:pBdr>
          <w:top w:space="0" w:sz="0" w:val="nil"/>
          <w:left w:space="0" w:sz="0" w:val="nil"/>
          <w:bottom w:space="0" w:sz="0" w:val="nil"/>
          <w:right w:space="0" w:sz="0" w:val="nil"/>
          <w:between w:space="0" w:sz="0" w:val="nil"/>
        </w:pBdr>
        <w:shd w:fill="auto" w:val="clear"/>
        <w:ind w:left="0" w:firstLine="0"/>
        <w:rPr>
          <w:b w:val="1"/>
          <w:bCs w:val="1"/>
        </w:rPr>
      </w:pPr>
      <w:bookmarkStart w:colFirst="0" w:colLast="0" w:name="_8k2aqc5h38ux" w:id="104"/>
      <w:bookmarkEnd w:id="104"/>
      <w:r w:rsidDel="00000000" w:rsidR="00000000" w:rsidRPr="00000000">
        <w:rPr>
          <w:rtl w:val="0"/>
        </w:rPr>
      </w:r>
    </w:p>
    <w:p w:rsidR="00000000" w:rsidDel="00000000" w:rsidP="00000000" w:rsidRDefault="00000000" w:rsidRPr="00000000" w14:paraId="00000105">
      <w:pPr>
        <w:pStyle w:val="Heading6"/>
        <w:pageBreakBefore w:val="0"/>
        <w:pBdr>
          <w:top w:space="0" w:sz="0" w:val="nil"/>
          <w:left w:space="0" w:sz="0" w:val="nil"/>
          <w:bottom w:space="0" w:sz="0" w:val="nil"/>
          <w:right w:space="0" w:sz="0" w:val="nil"/>
          <w:between w:space="0" w:sz="0" w:val="nil"/>
        </w:pBdr>
        <w:shd w:fill="auto" w:val="clear"/>
        <w:ind w:left="0" w:firstLine="0"/>
        <w:rPr>
          <w:b w:val="1"/>
          <w:bCs w:val="1"/>
        </w:rPr>
      </w:pPr>
      <w:bookmarkStart w:colFirst="0" w:colLast="0" w:name="_av4cds1mrvnx" w:id="105"/>
      <w:bookmarkEnd w:id="105"/>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6"/>
        <w:pageBreakBefore w:val="0"/>
        <w:pBdr>
          <w:top w:space="0" w:sz="0" w:val="nil"/>
          <w:left w:space="0" w:sz="0" w:val="nil"/>
          <w:bottom w:space="0" w:sz="0" w:val="nil"/>
          <w:right w:space="0" w:sz="0" w:val="nil"/>
          <w:between w:space="0" w:sz="0" w:val="nil"/>
        </w:pBdr>
        <w:shd w:fill="auto" w:val="clear"/>
        <w:spacing w:line="240" w:lineRule="auto"/>
        <w:ind w:left="0" w:firstLine="0"/>
        <w:rPr>
          <w:b w:val="1"/>
          <w:bCs w:val="1"/>
        </w:rPr>
      </w:pPr>
      <w:bookmarkStart w:colFirst="0" w:colLast="0" w:name="_c680sncii7y" w:id="106"/>
      <w:bookmarkEnd w:id="106"/>
      <w:r w:rsidDel="00000000" w:rsidR="00000000" w:rsidRPr="00000000">
        <w:rPr>
          <w:b w:val="1"/>
          <w:bCs w:val="1"/>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p>
    <w:tbl>
      <w:tblPr>
        <w:tblStyle w:val="Table1"/>
        <w:tblW w:w="94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20"/>
        <w:gridCol w:w="1000"/>
        <w:gridCol w:w="1000"/>
        <w:gridCol w:w="1000"/>
        <w:gridCol w:w="1000"/>
        <w:gridCol w:w="1000"/>
        <w:gridCol w:w="1000"/>
        <w:gridCol w:w="1000"/>
        <w:tblGridChange w:id="0">
          <w:tblGrid>
            <w:gridCol w:w="2420"/>
            <w:gridCol w:w="1000"/>
            <w:gridCol w:w="1000"/>
            <w:gridCol w:w="1000"/>
            <w:gridCol w:w="1000"/>
            <w:gridCol w:w="1000"/>
            <w:gridCol w:w="1000"/>
            <w:gridCol w:w="1000"/>
          </w:tblGrid>
        </w:tblGridChange>
      </w:tblGrid>
      <w:tr>
        <w:trPr>
          <w:cantSplit w:val="0"/>
          <w:tblHeader w:val="0"/>
        </w:trPr>
        <w:tc>
          <w:tcPr>
            <w:shd w:fill="666666" w:val="clear"/>
            <w:tcMar>
              <w:top w:w="0.0" w:type="dxa"/>
              <w:left w:w="108.0" w:type="dxa"/>
              <w:bottom w:w="0.0" w:type="dxa"/>
              <w:right w:w="108.0" w:type="dxa"/>
            </w:tcMar>
            <w:vAlign w:val="top"/>
          </w:tcPr>
          <w:p w:rsidR="00000000" w:rsidDel="00000000" w:rsidP="00000000" w:rsidRDefault="00000000" w:rsidRPr="00000000" w14:paraId="0000010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shd w:fill="666666" w:val="clear"/>
            <w:tcMar>
              <w:top w:w="0.0" w:type="dxa"/>
              <w:left w:w="108.0" w:type="dxa"/>
              <w:bottom w:w="0.0" w:type="dxa"/>
              <w:right w:w="108.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1982</w:t>
            </w:r>
          </w:p>
        </w:tc>
        <w:tc>
          <w:tcPr>
            <w:shd w:fill="666666" w:val="clear"/>
            <w:tcMar>
              <w:top w:w="0.0" w:type="dxa"/>
              <w:left w:w="108.0" w:type="dxa"/>
              <w:bottom w:w="0.0" w:type="dxa"/>
              <w:right w:w="108.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1985</w:t>
            </w:r>
          </w:p>
        </w:tc>
        <w:tc>
          <w:tcPr>
            <w:shd w:fill="666666" w:val="clear"/>
            <w:tcMar>
              <w:top w:w="0.0" w:type="dxa"/>
              <w:left w:w="108.0" w:type="dxa"/>
              <w:bottom w:w="0.0" w:type="dxa"/>
              <w:right w:w="108.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1992</w:t>
            </w:r>
          </w:p>
        </w:tc>
        <w:tc>
          <w:tcPr>
            <w:shd w:fill="666666" w:val="clear"/>
            <w:tcMar>
              <w:top w:w="0.0" w:type="dxa"/>
              <w:left w:w="108.0" w:type="dxa"/>
              <w:bottom w:w="0.0" w:type="dxa"/>
              <w:right w:w="108.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2002</w:t>
            </w:r>
          </w:p>
        </w:tc>
        <w:tc>
          <w:tcPr>
            <w:shd w:fill="666666" w:val="clear"/>
            <w:tcMar>
              <w:top w:w="0.0" w:type="dxa"/>
              <w:left w:w="108.0" w:type="dxa"/>
              <w:bottom w:w="0.0" w:type="dxa"/>
              <w:right w:w="108.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2008</w:t>
            </w:r>
          </w:p>
        </w:tc>
        <w:tc>
          <w:tcPr>
            <w:shd w:fill="666666" w:val="clear"/>
            <w:tcMar>
              <w:top w:w="0.0" w:type="dxa"/>
              <w:left w:w="108.0" w:type="dxa"/>
              <w:bottom w:w="0.0" w:type="dxa"/>
              <w:right w:w="108.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2012</w:t>
            </w:r>
          </w:p>
        </w:tc>
        <w:tc>
          <w:tcPr>
            <w:shd w:fill="666666" w:val="clear"/>
            <w:tcMar>
              <w:top w:w="0.0" w:type="dxa"/>
              <w:left w:w="108.0" w:type="dxa"/>
              <w:bottom w:w="0.0" w:type="dxa"/>
              <w:right w:w="108.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Jazz</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c>
          <w:tcPr>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9.5</w:t>
            </w:r>
          </w:p>
        </w:tc>
        <w:tc>
          <w:tcPr>
            <w:shd w:fill="auto" w:val="clear"/>
            <w:tcMar>
              <w:top w:w="0.0" w:type="dxa"/>
              <w:left w:w="108.0" w:type="dxa"/>
              <w:bottom w:w="0.0" w:type="dxa"/>
              <w:right w:w="108.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10.3</w:t>
            </w:r>
          </w:p>
        </w:tc>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10.4</w:t>
            </w:r>
          </w:p>
        </w:tc>
        <w:tc>
          <w:tcPr>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8.4</w:t>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8.6</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17223</w:t>
            </w:r>
          </w:p>
        </w:tc>
        <w:tc>
          <w:tcPr>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12728</w:t>
            </w:r>
          </w:p>
        </w:tc>
        <w:tc>
          <w:tcPr>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18390</w:t>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17987</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97057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Classical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13.2</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13.3</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12.6</w:t>
            </w:r>
          </w:p>
        </w:tc>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11.8</w:t>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10.1</w:t>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10.0</w:t>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17245</w:t>
            </w:r>
          </w:p>
        </w:tc>
        <w:tc>
          <w:tcPr>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13669</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17074</w:t>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18343</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17917</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96972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Opera</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w:t>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17234</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17082</w:t>
            </w:r>
          </w:p>
        </w:tc>
        <w:tc>
          <w:tcPr>
            <w:shd w:fill="auto" w:val="clear"/>
            <w:tcMar>
              <w:top w:w="0.0" w:type="dxa"/>
              <w:left w:w="108.0" w:type="dxa"/>
              <w:bottom w:w="0.0" w:type="dxa"/>
              <w:right w:w="108.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18341</w:t>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17907</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96942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Musicals</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18.8</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17.5</w:t>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w:t>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w:t>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16.6</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17243</w:t>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13666</w:t>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12720</w:t>
            </w:r>
          </w:p>
        </w:tc>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18315</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17880</w:t>
            </w:r>
          </w:p>
        </w:tc>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96899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Ballet</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w:t>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w:t>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4.7</w:t>
            </w:r>
          </w:p>
        </w:tc>
        <w:tc>
          <w:tcPr>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3.8</w:t>
            </w:r>
          </w:p>
        </w:tc>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17244</w:t>
            </w:r>
          </w:p>
        </w:tc>
        <w:tc>
          <w:tcPr>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13672</w:t>
            </w:r>
          </w:p>
        </w:tc>
        <w:tc>
          <w:tcPr>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12712</w:t>
            </w:r>
          </w:p>
        </w:tc>
        <w:tc>
          <w:tcPr>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17081</w:t>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18300</w:t>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17866</w:t>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96875</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Art Museum</w:t>
            </w:r>
          </w:p>
        </w:tc>
        <w:tc>
          <w:tcPr>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22.1</w:t>
            </w:r>
          </w:p>
        </w:tc>
        <w:tc>
          <w:tcPr>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22.7</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27.0</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23.9</w:t>
            </w:r>
          </w:p>
        </w:tc>
        <w:tc>
          <w:tcPr>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22.9</w:t>
            </w:r>
          </w:p>
        </w:tc>
        <w:tc>
          <w:tcPr>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24.1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17240</w:t>
            </w:r>
          </w:p>
        </w:tc>
        <w:tc>
          <w:tcPr>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13668</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12716</w:t>
            </w:r>
          </w:p>
        </w:tc>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17053</w:t>
            </w:r>
          </w:p>
        </w:tc>
        <w:tc>
          <w:tcPr>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18248</w:t>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17798</w:t>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96723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240" w:lineRule="auto"/>
              <w:ind w:firstLine="0"/>
              <w:jc w:val="left"/>
              <w:rPr>
                <w:vertAlign w:val="superscript"/>
              </w:rPr>
            </w:pPr>
            <w:r w:rsidDel="00000000" w:rsidR="00000000" w:rsidRPr="00000000">
              <w:rPr>
                <w:rtl w:val="0"/>
              </w:rPr>
              <w:t xml:space="preserve">Art Festival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39.3</w:t>
            </w:r>
          </w:p>
        </w:tc>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40.7</w:t>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40.9</w:t>
            </w:r>
          </w:p>
        </w:tc>
        <w:tc>
          <w:tcPr>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34.8</w:t>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26.7</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25.0</w:t>
            </w:r>
          </w:p>
        </w:tc>
        <w:tc>
          <w:tcPr>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4243</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2349</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12718</w:t>
            </w:r>
            <w:r w:rsidDel="00000000" w:rsidR="00000000" w:rsidRPr="00000000">
              <w:rPr>
                <w:vertAlign w:val="superscript"/>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Hist. Monument</w:t>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37.0</w:t>
            </w:r>
          </w:p>
        </w:tc>
        <w:tc>
          <w:tcPr>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w:t>
            </w:r>
          </w:p>
        </w:tc>
        <w:tc>
          <w:tcPr>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32.1</w:t>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27.5</w:t>
            </w:r>
          </w:p>
        </w:tc>
        <w:tc>
          <w:tcPr>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12718</w:t>
            </w:r>
          </w:p>
        </w:tc>
        <w:tc>
          <w:tcPr>
            <w:shd w:fill="auto" w:val="clear"/>
            <w:tcMar>
              <w:top w:w="0.0" w:type="dxa"/>
              <w:left w:w="108.0" w:type="dxa"/>
              <w:bottom w:w="0.0" w:type="dxa"/>
              <w:right w:w="108.0" w:type="dxa"/>
            </w:tcMar>
            <w:vAlign w:val="top"/>
          </w:tcPr>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p>
        </w:tc>
        <w:tc>
          <w:tcPr>
            <w:shd w:fill="auto" w:val="clear"/>
            <w:tcMar>
              <w:top w:w="0.0" w:type="dxa"/>
              <w:left w:w="108.0" w:type="dxa"/>
              <w:bottom w:w="0.0" w:type="dxa"/>
              <w:right w:w="108.0" w:type="dxa"/>
            </w:tcMar>
            <w:vAlign w:val="top"/>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p>
        </w:tc>
        <w:tc>
          <w:tcPr>
            <w:shd w:fill="auto" w:val="clear"/>
            <w:tcMar>
              <w:top w:w="0.0" w:type="dxa"/>
              <w:left w:w="108.0" w:type="dxa"/>
              <w:bottom w:w="0.0" w:type="dxa"/>
              <w:right w:w="108.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17738</w:t>
            </w:r>
          </w:p>
        </w:tc>
        <w:tc>
          <w:tcPr>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72311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97179</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9F">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j0h7rca3fq8z" w:id="107"/>
      <w:bookmarkEnd w:id="107"/>
      <w:r w:rsidDel="00000000" w:rsidR="00000000" w:rsidRPr="00000000">
        <w:rPr>
          <w:vertAlign w:val="superscript"/>
          <w:rtl w:val="0"/>
        </w:rPr>
        <w:t xml:space="preserve">a </w:t>
      </w:r>
      <w:r w:rsidDel="00000000" w:rsidR="00000000" w:rsidRPr="00000000">
        <w:rPr>
          <w:rtl w:val="0"/>
        </w:rPr>
        <w:t xml:space="preserve">Not part of core questionnaire (only asked of a random subset of respondents).</w:t>
      </w:r>
    </w:p>
    <w:p w:rsidR="00000000" w:rsidDel="00000000" w:rsidP="00000000" w:rsidRDefault="00000000" w:rsidRPr="00000000" w14:paraId="000001A0">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9sc0eleve8ql" w:id="108"/>
      <w:bookmarkEnd w:id="108"/>
      <w:r w:rsidDel="00000000" w:rsidR="00000000" w:rsidRPr="00000000">
        <w:rPr>
          <w:vertAlign w:val="superscript"/>
          <w:rtl w:val="0"/>
        </w:rPr>
        <w:t xml:space="preserve">b </w:t>
      </w:r>
      <w:r w:rsidDel="00000000" w:rsidR="00000000" w:rsidRPr="00000000">
        <w:rPr>
          <w:rtl w:val="0"/>
        </w:rPr>
        <w:t xml:space="preserve">Original wording: During the last 12 months] did you visit a crafts fair or a visual arts festival?” </w:t>
      </w:r>
    </w:p>
    <w:p w:rsidR="00000000" w:rsidDel="00000000" w:rsidP="00000000" w:rsidRDefault="00000000" w:rsidRPr="00000000" w14:paraId="000001A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nqwimc6ipisp" w:id="109"/>
      <w:bookmarkEnd w:id="109"/>
      <w:r w:rsidDel="00000000" w:rsidR="00000000" w:rsidRPr="00000000">
        <w:rPr>
          <w:vertAlign w:val="superscript"/>
          <w:rtl w:val="0"/>
        </w:rPr>
        <w:t xml:space="preserve">c </w:t>
      </w:r>
      <w:r w:rsidDel="00000000" w:rsidR="00000000" w:rsidRPr="00000000">
        <w:rPr>
          <w:rtl w:val="0"/>
        </w:rPr>
        <w:t xml:space="preserve">Revised wording: “(During the last 12 months) did you visit an art fair or festival, or a craft fair or festival?”</w:t>
      </w:r>
    </w:p>
    <w:p w:rsidR="00000000" w:rsidDel="00000000" w:rsidP="00000000" w:rsidRDefault="00000000" w:rsidRPr="00000000" w14:paraId="000001A2">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1saguccozqqd" w:id="110"/>
      <w:bookmarkEnd w:id="110"/>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4"/>
        <w:pageBreakBefore w:val="0"/>
        <w:pBdr>
          <w:top w:space="0" w:sz="0" w:val="nil"/>
          <w:left w:space="0" w:sz="0" w:val="nil"/>
          <w:bottom w:space="0" w:sz="0" w:val="nil"/>
          <w:right w:space="0" w:sz="0" w:val="nil"/>
          <w:between w:space="0" w:sz="0" w:val="nil"/>
        </w:pBdr>
        <w:shd w:fill="auto" w:val="clear"/>
        <w:ind w:firstLine="0"/>
        <w:rPr>
          <w:b w:val="1"/>
          <w:bCs w:val="1"/>
          <w:sz w:val="26"/>
          <w:szCs w:val="26"/>
        </w:rPr>
      </w:pPr>
      <w:bookmarkStart w:colFirst="0" w:colLast="0" w:name="_skc3wsdve4cs" w:id="111"/>
      <w:bookmarkEnd w:id="111"/>
      <w:r w:rsidDel="00000000" w:rsidR="00000000" w:rsidRPr="00000000">
        <w:rPr>
          <w:b w:val="1"/>
          <w:bCs w:val="1"/>
          <w:sz w:val="26"/>
          <w:szCs w:val="26"/>
          <w:rtl w:val="0"/>
        </w:rPr>
        <w:t xml:space="preserve">Table 2. Cohort and period variance components estimates for Hierarchical Age-Period-Cohort (HAPC) models for eight cultural activities, 1982-2012 SPPA.</w:t>
      </w:r>
    </w:p>
    <w:tbl>
      <w:tblPr>
        <w:tblStyle w:val="Table2"/>
        <w:tblW w:w="9520.83116883117" w:type="dxa"/>
        <w:jc w:val="left"/>
        <w:tblLayout w:type="fixed"/>
        <w:tblLook w:val="0600"/>
      </w:tblPr>
      <w:tblGrid>
        <w:gridCol w:w="720"/>
        <w:gridCol w:w="948.1558441558443"/>
        <w:gridCol w:w="1118.3376623376623"/>
        <w:gridCol w:w="1118.3376623376623"/>
        <w:gridCol w:w="1118.3376623376623"/>
        <w:gridCol w:w="1118.3376623376623"/>
        <w:gridCol w:w="1118.3376623376623"/>
        <w:gridCol w:w="1118.3376623376623"/>
        <w:gridCol w:w="1142.6493506493507"/>
        <w:tblGridChange w:id="0">
          <w:tblGrid>
            <w:gridCol w:w="720"/>
            <w:gridCol w:w="948.1558441558443"/>
            <w:gridCol w:w="1118.3376623376623"/>
            <w:gridCol w:w="1118.3376623376623"/>
            <w:gridCol w:w="1118.3376623376623"/>
            <w:gridCol w:w="1118.3376623376623"/>
            <w:gridCol w:w="1118.3376623376623"/>
            <w:gridCol w:w="1118.3376623376623"/>
            <w:gridCol w:w="1142.6493506493507"/>
          </w:tblGrid>
        </w:tblGridChange>
      </w:tblGrid>
      <w:tr>
        <w:trPr>
          <w:cantSplit w:val="0"/>
          <w:tblHeader w:val="0"/>
        </w:trPr>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ind w:firstLine="0"/>
              <w:rPr>
                <w:b w:val="1"/>
                <w:bCs w:val="1"/>
                <w:color w:val="ffffff"/>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Classical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Museum</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Art 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Hist Mon</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line="288" w:lineRule="auto"/>
              <w:ind w:firstLine="0"/>
              <w:rPr>
                <w:sz w:val="24"/>
                <w:szCs w:val="24"/>
                <w:vertAlign w:val="subscript"/>
              </w:rPr>
            </w:pPr>
            <w:r w:rsidDel="00000000" w:rsidR="00000000" w:rsidRPr="00000000">
              <w:rPr>
                <w:sz w:val="24"/>
                <w:szCs w:val="24"/>
                <w:rtl w:val="0"/>
              </w:rPr>
              <w:t xml:space="preserve">υ</w:t>
            </w:r>
            <w:r w:rsidDel="00000000" w:rsidR="00000000" w:rsidRPr="00000000">
              <w:rPr>
                <w:sz w:val="24"/>
                <w:szCs w:val="24"/>
                <w:vertAlign w:val="subscript"/>
                <w:rtl w:val="0"/>
              </w:rPr>
              <w:t xml:space="preserve">j</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0.475</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(-3.45)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0.297</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(-5.40)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(-7.79)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0.138</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(-8.60)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0.104</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(-7.34)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0.177</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(-8.24)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0.250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(-7.11)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0.173</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(-8.16)</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line="288" w:lineRule="auto"/>
              <w:ind w:firstLine="0"/>
              <w:rPr>
                <w:sz w:val="24"/>
                <w:szCs w:val="24"/>
                <w:vertAlign w:val="subscript"/>
              </w:rPr>
            </w:pPr>
            <w:r w:rsidDel="00000000" w:rsidR="00000000" w:rsidRPr="00000000">
              <w:rPr>
                <w:sz w:val="24"/>
                <w:szCs w:val="24"/>
                <w:rtl w:val="0"/>
              </w:rPr>
              <w:t xml:space="preserve">υ</w:t>
            </w:r>
            <w:r w:rsidDel="00000000" w:rsidR="00000000" w:rsidRPr="00000000">
              <w:rPr>
                <w:sz w:val="24"/>
                <w:szCs w:val="24"/>
                <w:vertAlign w:val="subscript"/>
                <w:rtl w:val="0"/>
              </w:rPr>
              <w:t xml:space="preserve">k</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0.0972</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(-5.05)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0.0601</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(-4.45)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(-5.93)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0.0319</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0.146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0.110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(-7.06)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0.256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(-4.50)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0.153</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(-5.85)</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rPr>
            </w:pPr>
            <w:r w:rsidDel="00000000" w:rsidR="00000000" w:rsidRPr="00000000">
              <w:rPr>
                <w:sz w:val="22"/>
                <w:szCs w:val="22"/>
                <w:rtl w:val="0"/>
              </w:rPr>
              <w:t xml:space="preserve">N</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97057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96972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96942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96899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96875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96723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72351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72311</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rPr>
            </w:pPr>
            <w:r w:rsidDel="00000000" w:rsidR="00000000" w:rsidRPr="00000000">
              <w:rPr>
                <w:sz w:val="22"/>
                <w:szCs w:val="22"/>
                <w:rtl w:val="0"/>
              </w:rPr>
              <w:t xml:space="preserve">BIC</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59006.3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69370.3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24561.2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89606.2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31470.9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105654.3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88013.6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87112.3</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vertAlign w:val="superscript"/>
              </w:rPr>
            </w:pPr>
            <w:r w:rsidDel="00000000" w:rsidR="00000000" w:rsidRPr="00000000">
              <w:rPr>
                <w:sz w:val="22"/>
                <w:szCs w:val="22"/>
                <w:rtl w:val="0"/>
              </w:rPr>
              <w:t xml:space="preserve">𝛸</w:t>
            </w:r>
            <w:r w:rsidDel="00000000" w:rsidR="00000000" w:rsidRPr="00000000">
              <w:rPr>
                <w:sz w:val="22"/>
                <w:szCs w:val="22"/>
                <w:vertAlign w:val="superscript"/>
                <w:rtl w:val="0"/>
              </w:rPr>
              <w:t xml:space="preserve">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28.1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13.7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231.5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69.5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173.1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229.1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350.1</w:t>
            </w:r>
          </w:p>
        </w:tc>
      </w:tr>
    </w:tbl>
    <w:p w:rsidR="00000000" w:rsidDel="00000000" w:rsidP="00000000" w:rsidRDefault="00000000" w:rsidRPr="00000000" w14:paraId="000001F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112"/>
      <w:bookmarkEnd w:id="112"/>
      <w:r w:rsidDel="00000000" w:rsidR="00000000" w:rsidRPr="00000000">
        <w:rPr>
          <w:rtl w:val="0"/>
        </w:rPr>
        <w:t xml:space="preserve">**</w:t>
      </w:r>
      <w:r w:rsidDel="00000000" w:rsidR="00000000" w:rsidRPr="00000000">
        <w:rPr>
          <w:i w:val="1"/>
          <w:iCs w:val="1"/>
          <w:rtl w:val="0"/>
        </w:rPr>
        <w:t xml:space="preserve">p </w:t>
      </w:r>
      <w:r w:rsidDel="00000000" w:rsidR="00000000" w:rsidRPr="00000000">
        <w:rPr>
          <w:rtl w:val="0"/>
        </w:rPr>
        <w:t xml:space="preserve">&lt;0.01 (two-tailed test; t-statistics in parentheses)</w:t>
      </w:r>
    </w:p>
    <w:p w:rsidR="00000000" w:rsidDel="00000000" w:rsidP="00000000" w:rsidRDefault="00000000" w:rsidRPr="00000000" w14:paraId="000001F6">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lfrxz8eoaije" w:id="113"/>
      <w:bookmarkEnd w:id="113"/>
      <w:r w:rsidDel="00000000" w:rsidR="00000000" w:rsidRPr="00000000">
        <w:br w:type="page"/>
      </w: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240" w:lineRule="auto"/>
        <w:ind w:firstLine="0"/>
        <w:jc w:val="left"/>
        <w:rPr>
          <w:b w:val="1"/>
          <w:bCs w:val="1"/>
        </w:rPr>
      </w:pPr>
      <w:r w:rsidDel="00000000" w:rsidR="00000000" w:rsidRPr="00000000">
        <w:rPr>
          <w:b w:val="1"/>
          <w:bCs w:val="1"/>
          <w:rtl w:val="0"/>
        </w:rPr>
        <w:t xml:space="preserve">Table 3. Age-adjusted effects of cohort-group membership on arts participation for the eight core SPPA activities. Effects are normalized with the respect to the age and period adjusted participation rate. </w:t>
      </w:r>
    </w:p>
    <w:tbl>
      <w:tblPr>
        <w:tblStyle w:val="Table3"/>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720"/>
        <w:gridCol w:w="1080"/>
        <w:gridCol w:w="1080"/>
        <w:gridCol w:w="1080"/>
        <w:gridCol w:w="1080"/>
        <w:gridCol w:w="1080"/>
        <w:gridCol w:w="1080"/>
        <w:gridCol w:w="1080"/>
        <w:gridCol w:w="1080"/>
        <w:tblGridChange w:id="0">
          <w:tblGrid>
            <w:gridCol w:w="720"/>
            <w:gridCol w:w="1080"/>
            <w:gridCol w:w="1080"/>
            <w:gridCol w:w="1080"/>
            <w:gridCol w:w="1080"/>
            <w:gridCol w:w="1080"/>
            <w:gridCol w:w="1080"/>
            <w:gridCol w:w="1080"/>
            <w:gridCol w:w="1080"/>
          </w:tblGrid>
        </w:tblGridChange>
      </w:tblGrid>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9">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naz6jcuf8u54" w:id="114"/>
            <w:bookmarkEnd w:id="114"/>
            <w:r w:rsidDel="00000000" w:rsidR="00000000" w:rsidRPr="00000000">
              <w:rPr>
                <w:b w:val="1"/>
                <w:bCs w:val="1"/>
                <w:color w:val="ffffff"/>
                <w:sz w:val="24"/>
                <w:szCs w:val="24"/>
                <w:shd w:fill="666666" w:val="clear"/>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A">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rPr>
            </w:pPr>
            <w:bookmarkStart w:colFirst="0" w:colLast="0" w:name="_tw8pj4xofqxt" w:id="115"/>
            <w:bookmarkEnd w:id="115"/>
            <w:r w:rsidDel="00000000" w:rsidR="00000000" w:rsidRPr="00000000">
              <w:rPr>
                <w:b w:val="1"/>
                <w:bCs w:val="1"/>
                <w:color w:val="ffffff"/>
                <w:sz w:val="24"/>
                <w:szCs w:val="24"/>
                <w:shd w:fill="666666" w:val="clear"/>
                <w:rtl w:val="0"/>
              </w:rPr>
              <w:t xml:space="preserve">Class.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B">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u3dj0qa87edh" w:id="116"/>
            <w:bookmarkEnd w:id="116"/>
            <w:r w:rsidDel="00000000" w:rsidR="00000000" w:rsidRPr="00000000">
              <w:rPr>
                <w:b w:val="1"/>
                <w:bCs w:val="1"/>
                <w:color w:val="ffffff"/>
                <w:sz w:val="24"/>
                <w:szCs w:val="24"/>
                <w:shd w:fill="666666" w:val="clear"/>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C">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yoh8cg7pyouw" w:id="117"/>
            <w:bookmarkEnd w:id="117"/>
            <w:r w:rsidDel="00000000" w:rsidR="00000000" w:rsidRPr="00000000">
              <w:rPr>
                <w:b w:val="1"/>
                <w:bCs w:val="1"/>
                <w:color w:val="ffffff"/>
                <w:sz w:val="24"/>
                <w:szCs w:val="24"/>
                <w:shd w:fill="666666" w:val="clear"/>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D">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m96f0d2now2t" w:id="118"/>
            <w:bookmarkEnd w:id="118"/>
            <w:r w:rsidDel="00000000" w:rsidR="00000000" w:rsidRPr="00000000">
              <w:rPr>
                <w:b w:val="1"/>
                <w:bCs w:val="1"/>
                <w:color w:val="ffffff"/>
                <w:sz w:val="24"/>
                <w:szCs w:val="24"/>
                <w:shd w:fill="666666" w:val="clear"/>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E">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8xmpaw5lnjgl" w:id="119"/>
            <w:bookmarkEnd w:id="119"/>
            <w:r w:rsidDel="00000000" w:rsidR="00000000" w:rsidRPr="00000000">
              <w:rPr>
                <w:b w:val="1"/>
                <w:bCs w:val="1"/>
                <w:color w:val="ffffff"/>
                <w:sz w:val="24"/>
                <w:szCs w:val="24"/>
                <w:shd w:fill="666666" w:val="clear"/>
                <w:rtl w:val="0"/>
              </w:rPr>
              <w:t xml:space="preserve">Art. Mus.</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F">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pdt5308ao948" w:id="120"/>
            <w:bookmarkEnd w:id="120"/>
            <w:r w:rsidDel="00000000" w:rsidR="00000000" w:rsidRPr="00000000">
              <w:rPr>
                <w:b w:val="1"/>
                <w:bCs w:val="1"/>
                <w:color w:val="ffffff"/>
                <w:sz w:val="24"/>
                <w:szCs w:val="24"/>
                <w:shd w:fill="666666" w:val="clear"/>
                <w:rtl w:val="0"/>
              </w:rPr>
              <w:t xml:space="preserve">Art </w:t>
            </w:r>
          </w:p>
          <w:p w:rsidR="00000000" w:rsidDel="00000000" w:rsidP="00000000" w:rsidRDefault="00000000" w:rsidRPr="00000000" w14:paraId="00000200">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5m6au4svxggk" w:id="121"/>
            <w:bookmarkEnd w:id="121"/>
            <w:r w:rsidDel="00000000" w:rsidR="00000000" w:rsidRPr="00000000">
              <w:rPr>
                <w:b w:val="1"/>
                <w:bCs w:val="1"/>
                <w:color w:val="ffffff"/>
                <w:sz w:val="24"/>
                <w:szCs w:val="24"/>
                <w:shd w:fill="666666" w:val="clear"/>
                <w:rtl w:val="0"/>
              </w:rPr>
              <w:t xml:space="preserve">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1">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tir6syct6y7g" w:id="122"/>
            <w:bookmarkEnd w:id="122"/>
            <w:r w:rsidDel="00000000" w:rsidR="00000000" w:rsidRPr="00000000">
              <w:rPr>
                <w:b w:val="1"/>
                <w:bCs w:val="1"/>
                <w:color w:val="ffffff"/>
                <w:sz w:val="24"/>
                <w:szCs w:val="24"/>
                <w:shd w:fill="666666" w:val="clear"/>
                <w:rtl w:val="0"/>
              </w:rPr>
              <w:t xml:space="preserve">Hist. Mon.</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-0.54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-0.47</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-0.62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-0.27</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-1.03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-0.98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-0.20</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-0.28</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-1.07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0.10</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0.15</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0.51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0.50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0.41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1970</w:t>
            </w:r>
          </w:p>
        </w:tc>
        <w:tc>
          <w:tcPr>
            <w:shd w:fill="efefef" w:val="clear"/>
            <w:tcMar>
              <w:top w:w="40.0" w:type="dxa"/>
              <w:left w:w="40.0" w:type="dxa"/>
              <w:bottom w:w="40.0" w:type="dxa"/>
              <w:right w:w="40.0" w:type="dxa"/>
            </w:tcMar>
            <w:vAlign w:val="center"/>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1975</w:t>
            </w:r>
          </w:p>
        </w:tc>
        <w:tc>
          <w:tcPr>
            <w:shd w:fill="efefef" w:val="clear"/>
            <w:tcMar>
              <w:top w:w="40.0" w:type="dxa"/>
              <w:left w:w="40.0" w:type="dxa"/>
              <w:bottom w:w="40.0" w:type="dxa"/>
              <w:right w:w="40.0" w:type="dxa"/>
            </w:tcMar>
            <w:vAlign w:val="center"/>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-0.14</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1990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-0.32</w:t>
            </w:r>
            <w:r w:rsidDel="00000000" w:rsidR="00000000" w:rsidRPr="00000000">
              <w:rPr>
                <w:rtl w:val="0"/>
              </w:rPr>
            </w:r>
          </w:p>
        </w:tc>
      </w:tr>
    </w:tbl>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rtl w:val="0"/>
        </w:rPr>
      </w:r>
    </w:p>
    <w:p w:rsidR="00000000" w:rsidDel="00000000" w:rsidP="00000000" w:rsidRDefault="00000000" w:rsidRPr="00000000" w14:paraId="000002C0">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b4k50b9dsflz" w:id="123"/>
      <w:bookmarkEnd w:id="123"/>
      <w:r w:rsidDel="00000000" w:rsidR="00000000" w:rsidRPr="00000000">
        <w:rPr>
          <w:rtl w:val="0"/>
        </w:rPr>
      </w:r>
    </w:p>
    <w:p w:rsidR="00000000" w:rsidDel="00000000" w:rsidP="00000000" w:rsidRDefault="00000000" w:rsidRPr="00000000" w14:paraId="000002C1">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spq9w4kcsp71" w:id="124"/>
      <w:bookmarkEnd w:id="124"/>
      <w:r w:rsidDel="00000000" w:rsidR="00000000" w:rsidRPr="00000000">
        <w:br w:type="page"/>
      </w: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3657600"/>
            <wp:effectExtent b="0" l="0" r="0" t="0"/>
            <wp:docPr descr="cohort-effect-fig.png" id="2" name="image1.png"/>
            <a:graphic>
              <a:graphicData uri="http://schemas.openxmlformats.org/drawingml/2006/picture">
                <pic:pic>
                  <pic:nvPicPr>
                    <pic:cNvPr descr="cohort-effect-fig.png" id="0" name="image1.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Area chart of age and period-adjusted effects of cohort-group membership on arts participation for the eight core SPPA activities.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drawing>
          <wp:inline distB="114300" distT="114300" distL="114300" distR="114300">
            <wp:extent cx="5943600" cy="4572000"/>
            <wp:effectExtent b="0" l="0" r="0" t="0"/>
            <wp:docPr descr="educ-graph.png" id="5" name="image5.png"/>
            <a:graphic>
              <a:graphicData uri="http://schemas.openxmlformats.org/drawingml/2006/picture">
                <pic:pic>
                  <pic:nvPicPr>
                    <pic:cNvPr descr="educ-graph.png" id="0" name="image5.png"/>
                    <pic:cNvPicPr preferRelativeResize="0"/>
                  </pic:nvPicPr>
                  <pic:blipFill>
                    <a:blip r:embed="rId17"/>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2 and 3. Bar chart of normalized cohort effect (θ</w:t>
      </w:r>
      <w:r w:rsidDel="00000000" w:rsidR="00000000" w:rsidRPr="00000000">
        <w:rPr>
          <w:b w:val="1"/>
          <w:bCs w:val="1"/>
          <w:vertAlign w:val="subscript"/>
          <w:rtl w:val="0"/>
        </w:rPr>
        <w:t xml:space="preserve">j</w:t>
      </w:r>
      <w:r w:rsidDel="00000000" w:rsidR="00000000" w:rsidRPr="00000000">
        <w:rPr>
          <w:b w:val="1"/>
          <w:bCs w:val="1"/>
          <w:rtl w:val="0"/>
        </w:rPr>
        <w:t xml:space="preserve">) on Art Festivals/Craft Fairs (top panel) and Art Museums (bottom panel) participation for college and non-college educated respondents, 1982-2012 SPPA. </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5943600" cy="4572000"/>
            <wp:effectExtent b="0" l="0" r="0" t="0"/>
            <wp:docPr descr="CCREM-vs-FEM-cohort.png" id="1" name="image3.png"/>
            <a:graphic>
              <a:graphicData uri="http://schemas.openxmlformats.org/drawingml/2006/picture">
                <pic:pic>
                  <pic:nvPicPr>
                    <pic:cNvPr descr="CCREM-vs-FEM-cohort.png" id="0" name="image3.png"/>
                    <pic:cNvPicPr preferRelativeResize="0"/>
                  </pic:nvPicPr>
                  <pic:blipFill>
                    <a:blip r:embed="rId18"/>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4. Line plots comparing predicted cohort trends in arts participation from cross-classified random-effects and fixed effects HAPC models. Panels ordered (from top left to bottom right) according to overall popularity of activity. </w:t>
      </w: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5943600" cy="4572000"/>
            <wp:effectExtent b="0" l="0" r="0" t="0"/>
            <wp:docPr descr="apc-graphical.png" id="7" name="image6.png"/>
            <a:graphic>
              <a:graphicData uri="http://schemas.openxmlformats.org/drawingml/2006/picture">
                <pic:pic>
                  <pic:nvPicPr>
                    <pic:cNvPr descr="apc-graphical.png" id="0" name="image6.png"/>
                    <pic:cNvPicPr preferRelativeResize="0"/>
                  </pic:nvPicPr>
                  <pic:blipFill>
                    <a:blip r:embed="rId19"/>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5. Graphical plot of arts participation frequency by survey year and HAPC-derived cohort group categories,  1982-2012 SPPA. Panels ordered (from top left to bottom right) according to overall popularity of activity. </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43600"/>
            <wp:effectExtent b="0" l="0" r="0" t="0"/>
            <wp:docPr descr="exposure-by-cohort.png" id="4" name="image2.png"/>
            <a:graphic>
              <a:graphicData uri="http://schemas.openxmlformats.org/drawingml/2006/picture">
                <pic:pic>
                  <pic:nvPicPr>
                    <pic:cNvPr descr="exposure-by-cohort.png" id="0" name="image2.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1" w:type="default"/>
      <w:headerReference r:id="rId22" w:type="first"/>
      <w:footerReference r:id="rId23" w:type="first"/>
      <w:footerReference r:id="rId24" w:type="defaul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right"/>
      <w:rPr>
        <w:rFonts w:ascii="Cambria" w:cs="Cambria" w:eastAsia="Cambria" w:hAnsi="Cambria"/>
        <w:b w:val="0"/>
        <w:bCs w:val="0"/>
        <w:sz w:val="24"/>
        <w:szCs w:val="24"/>
      </w:rPr>
    </w:pPr>
    <w:r w:rsidDel="00000000" w:rsidR="00000000" w:rsidRPr="00000000">
      <w:rPr>
        <w:rtl w:val="0"/>
      </w:rPr>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2D6">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79cvmsrvp9fd" w:id="125"/>
      <w:bookmarkEnd w:id="125"/>
      <w:r w:rsidDel="00000000" w:rsidR="00000000" w:rsidRPr="00000000">
        <w:rPr>
          <w:rStyle w:val="FootnoteReference"/>
          <w:vertAlign w:val="superscript"/>
        </w:rPr>
        <w:footnoteRef/>
      </w:r>
      <w:r w:rsidDel="00000000" w:rsidR="00000000" w:rsidRPr="00000000">
        <w:rPr>
          <w:sz w:val="20"/>
          <w:szCs w:val="20"/>
          <w:rtl w:val="0"/>
        </w:rPr>
        <w:t xml:space="preserve"> F</w:t>
      </w:r>
      <w:r w:rsidDel="00000000" w:rsidR="00000000" w:rsidRPr="00000000">
        <w:rPr>
          <w:rtl w:val="0"/>
        </w:rPr>
        <w:t xml:space="preserve">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1">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ease, we will refer to this as “folk culture” or “folk art” throughout the paper. As we will make clear below our interest lies in a field of fuzzy categorical distinctions comprised of a great variety of objects, ideas, people, and organizations. Scholars studying other fields have found that the artistic process unfolds over many decades (</w:t>
      </w:r>
      <w:r w:rsidDel="00000000" w:rsidR="00000000" w:rsidRPr="00000000">
        <w:rPr>
          <w:i w:val="1"/>
          <w:iCs w:val="1"/>
          <w:sz w:val="20"/>
          <w:szCs w:val="20"/>
          <w:rtl w:val="0"/>
        </w:rPr>
        <w:t xml:space="preserve">cf. </w:t>
      </w:r>
      <w:r w:rsidDel="00000000" w:rsidR="00000000" w:rsidRPr="00000000">
        <w:rPr>
          <w:sz w:val="20"/>
          <w:szCs w:val="20"/>
          <w:rtl w:val="0"/>
        </w:rPr>
        <w:t xml:space="preserve">Baumann 2001; Bourdieu 1993; Crane 1989; DiMaggio 1982, 1991, 2000; Ferguson 1998; Lena 2012; Lopes 2002) and often involves the collapse and exclusion of multiple proximal categories. In this case, those include stylistic categories like “Americana” and “vernacular modernism” (Wendy Griswold, personal correspondence, 10/1/15). </w:t>
      </w:r>
    </w:p>
  </w:footnote>
  <w:footnote w:id="0">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follow the theoretical premise of research on generations inspired by the work of Mannheim (1952) in conceiving of the “coming of age” process generative of distinct cohorts as happening between the ages of 17 and 25 (Schuman and Rieger 1992: 315). </w:t>
      </w:r>
    </w:p>
  </w:footnote>
  <w:footnote w:id="5">
    <w:p w:rsidR="00000000" w:rsidDel="00000000" w:rsidP="00000000" w:rsidRDefault="00000000" w:rsidRPr="00000000" w14:paraId="000002D9">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cjb1m5f3bkl3" w:id="126"/>
      <w:bookmarkEnd w:id="126"/>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We estimate the CCRM models via maximum likelihood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rtl w:val="0"/>
        </w:rPr>
        <w:t xml:space="preserve">) included in Stata 13.</w:t>
      </w:r>
      <w:r w:rsidDel="00000000" w:rsidR="00000000" w:rsidRPr="00000000">
        <w:rPr>
          <w:rtl w:val="0"/>
        </w:rPr>
      </w:r>
    </w:p>
  </w:footnote>
  <w:footnote w:id="15">
    <w:p w:rsidR="00000000" w:rsidDel="00000000" w:rsidP="00000000" w:rsidRDefault="00000000" w:rsidRPr="00000000" w14:paraId="000002DA">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u47k5b7e1fq4" w:id="127"/>
      <w:bookmarkEnd w:id="127"/>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r w:rsidDel="00000000" w:rsidR="00000000" w:rsidRPr="00000000">
        <w:rPr>
          <w:rtl w:val="0"/>
        </w:rPr>
      </w:r>
    </w:p>
  </w:footnote>
  <w:footnote w:id="13">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Gale Cengage Learning Archives Unbound. 2014. “Literature, Culture and Society in Depression Era America: Archives of the Federal Writers’ Project.” Retrieved March 24, 2014. (</w:t>
      </w:r>
      <w:hyperlink r:id="rId1">
        <w:r w:rsidDel="00000000" w:rsidR="00000000" w:rsidRPr="00000000">
          <w:rPr>
            <w:color w:val="1155cc"/>
            <w:sz w:val="20"/>
            <w:szCs w:val="20"/>
            <w:u w:val="single"/>
            <w:rtl w:val="0"/>
          </w:rPr>
          <w:t xml:space="preserve">http://go.galegroup.com/gdsc/i.do?action=interpret&amp;id=3TQA&amp;v=2.1&amp;u=columbiau&amp;it=aboutCollections&amp;p=GDSC&amp;sw=w&amp;authCount=1</w:t>
        </w:r>
      </w:hyperlink>
      <w:r w:rsidDel="00000000" w:rsidR="00000000" w:rsidRPr="00000000">
        <w:rPr>
          <w:sz w:val="20"/>
          <w:szCs w:val="20"/>
          <w:rtl w:val="0"/>
        </w:rPr>
        <w:t xml:space="preserve">).</w:t>
      </w:r>
    </w:p>
  </w:footnote>
  <w:footnote w:id="3">
    <w:p w:rsidR="00000000" w:rsidDel="00000000" w:rsidP="00000000" w:rsidRDefault="00000000" w:rsidRPr="00000000" w14:paraId="000002DE">
      <w:pPr>
        <w:pStyle w:val="Heading4"/>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icalfx6ooi9a" w:id="128"/>
      <w:bookmarkEnd w:id="128"/>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222222"/>
          <w:rtl w:val="0"/>
        </w:rPr>
        <w:t xml:space="preserve">National Endowment for the Arts. Survey of Public Participation in the Arts 1982-2012 Combined File [United States]. ICPSR35596-v1. Ann Arbor, MI: Inter-university Consortium for Political and Social Research [distributor], 2014-12-22. </w:t>
      </w:r>
      <w:hyperlink r:id="rId2">
        <w:r w:rsidDel="00000000" w:rsidR="00000000" w:rsidRPr="00000000">
          <w:rPr>
            <w:color w:val="1155cc"/>
            <w:u w:val="single"/>
            <w:rtl w:val="0"/>
          </w:rPr>
          <w:t xml:space="preserve">http://doi.org/10.3886/ICPSR35596.v1</w:t>
        </w:r>
      </w:hyperlink>
      <w:r w:rsidDel="00000000" w:rsidR="00000000" w:rsidRPr="00000000">
        <w:rPr>
          <w:rtl w:val="0"/>
        </w:rPr>
        <w:t xml:space="preserve"> (Last accesssed 5/25/15). </w:t>
      </w:r>
      <w:r w:rsidDel="00000000" w:rsidR="00000000" w:rsidRPr="00000000">
        <w:rPr>
          <w:rtl w:val="0"/>
        </w:rPr>
      </w:r>
    </w:p>
  </w:footnote>
  <w:footnote w:id="9">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Biddle’s letter to the President in May was followed in December, 1933 by the initiation of the Public Works of Art Project, after his proposal for a mural program was rejected by the Fine Arts Commission. He subsequently generated the support of several influential members of the administration including Edward Bruce, a Treasury Department employee and advocate for the arts (McDonald 1969: 357-359).</w:t>
      </w:r>
    </w:p>
  </w:footnote>
  <w:footnote w:id="10">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12">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Congress</w:t>
      </w:r>
      <w:r w:rsidDel="00000000" w:rsidR="00000000" w:rsidRPr="00000000">
        <w:rPr>
          <w:sz w:val="20"/>
          <w:szCs w:val="20"/>
          <w:rtl w:val="0"/>
        </w:rPr>
        <w:t xml:space="preserve">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1">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14">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nearly four years in which Federal One programs were in operation, the theater and music divisions (and their state sponsors) the were most successful in generating revenue through admission ticket sales. According to McDonald (1969: 288), the theater division generated $2.1 million in revenue, while the music division ticket sales yielded $488,618 and change.</w:t>
      </w:r>
    </w:p>
  </w:footnote>
  <w:footnote w:id="8">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emphasis on nationalism in art finds many earlier expressions, the most proximate of which was the turn of artists’ organizations in the 1920s toward such language. The American Artists’ Professional League adopted the slogan ‘I am for American Art,” while the American Artists Guild and the Society of Illustrators commanded the government to commission official portraits of officials from native artists, and the American Federation of Artists encouraged communities to support local artists (McDonald 1969: 346).</w:t>
      </w:r>
    </w:p>
  </w:footnote>
  <w:footnote w:id="7">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are obtained by estimating the Best Linear Unbiased predictors from the variance component estimates for each 5-year cohort group and each survey wave (Rabe-Hesketh and Skrondal 2008: 489). </w:t>
      </w:r>
    </w:p>
  </w:footnote>
  <w:footnote w:id="4">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w:t>
      </w:r>
      <w:r w:rsidDel="00000000" w:rsidR="00000000" w:rsidRPr="00000000">
        <w:rPr>
          <w:sz w:val="20"/>
          <w:szCs w:val="20"/>
          <w:rtl w:val="0"/>
        </w:rPr>
        <w:t xml:space="preserve"> </w:t>
      </w:r>
    </w:p>
  </w:footnote>
  <w:footnote w:id="19">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240" w:lineRule="auto"/>
        <w:rPr>
          <w:sz w:val="20"/>
          <w:szCs w:val="20"/>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20">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footnote>
  <w:footnote w:id="18">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4">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p>
  </w:footnote>
  <w:footnote w:id="17">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other analyses (available upon request) we have examined variation of generational and period effects on the SPPA core participation items by gender, and race by fitting group specific HAPC models to the data.</w:t>
      </w:r>
    </w:p>
  </w:footnote>
  <w:footnote w:id="2">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Whether the result first reported by Peterson and Kern (1996) could be considered a cohort, period, or age effect is not clear as they did not subject the data to an estimation procedure capable of teasing out the effects of these factors. </w:t>
      </w:r>
    </w:p>
  </w:footnote>
  <w:footnote w:id="16">
    <w:p w:rsidR="00000000" w:rsidDel="00000000" w:rsidP="00000000" w:rsidRDefault="00000000" w:rsidRPr="00000000" w14:paraId="000002F0">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ychoafd5abap" w:id="129"/>
      <w:bookmarkEnd w:id="129"/>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Our argument is agnostic as to whether these relatively recent epochal transformations have brought a permanent shift in the way that individuals engage the arts because we do not investigate individual-level traits. Absent more powerful sources of evidence, our suspicion is that the epochal argument may underestimate the historical continuities (and synchronic discontinuities) produced by the capacity of individual to carry history forward into the present (Abbott 2016).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s"/>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4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pPr>
    <w:rPr>
      <w:sz w:val="20"/>
      <w:szCs w:val="20"/>
    </w:rPr>
  </w:style>
  <w:style w:type="paragraph" w:styleId="Heading5">
    <w:name w:val="heading 5"/>
    <w:basedOn w:val="Normal"/>
    <w:next w:val="Normal"/>
    <w:pPr>
      <w:pageBreakBefore w:val="0"/>
      <w:spacing w:line="276" w:lineRule="auto"/>
      <w:ind w:left="720" w:right="540"/>
    </w:pPr>
    <w:rPr>
      <w:sz w:val="22"/>
      <w:szCs w:val="22"/>
    </w:rPr>
  </w:style>
  <w:style w:type="paragraph" w:styleId="Heading6">
    <w:name w:val="heading 6"/>
    <w:basedOn w:val="Normal"/>
    <w:next w:val="Normal"/>
    <w:pPr>
      <w:pageBreakBefore w:val="0"/>
      <w:ind w:left="720" w:hanging="720"/>
    </w:pPr>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hyperlink" Target="http://www.codecogs.com/eqnedit.php?latex=P%5Cleft(Y_%7Bijkl%7D%5Cright)%20=%20%5Cgamma_0%20&amp;plus;%20%5Cbeta_1%20age%20&amp;plus;%20%5Cbeta_2%20age%5E2%20&amp;plus;%20v_%7Boj%7D%20&amp;plus;%20v_%7B0k%7D" TargetMode="External"/><Relationship Id="rId21" Type="http://schemas.openxmlformats.org/officeDocument/2006/relationships/header" Target="header2.xml"/><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hyperlink" Target="http://www.codecogs.com/eqnedit.php?latex=%5Ctheta_j%20=%20%5Cfrac%7Blogit%5Cleft(e%5E%7B%5Cgamma_0%20&amp;plus;%20v_%7B0j%7D%20&amp;plus;%20v_%7B0k%7D%7D%5Cright)%20-%20logit%5Cleft(e%5E%7B%5Cgamma_0%20&amp;plus;%20v_%7B0k%7D%7D%5Cright)%7D%7Blogit%5Cleft(e%5E%7B%5Cgamma_0%20&amp;plus;%20v_%7B0j%7D%20&amp;plus;%20v_%7B0k%7D%7D%5Cright)%7D"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hyperlink" Target="http://doi.org/10.3886/ICPSR35575.v1" TargetMode="External"/><Relationship Id="rId14" Type="http://schemas.openxmlformats.org/officeDocument/2006/relationships/hyperlink" Target="http://www.festival.si.edu/about-us/mission-and-history/smithsonian" TargetMode="External"/><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go.galegroup.com/gdsc/i.do?action=interpret&amp;id=3TQA&amp;v=2.1&amp;u=columbiau&amp;it=aboutCollections&amp;p=GDSC&amp;sw=w&amp;authCount=1" TargetMode="External"/><Relationship Id="rId2" Type="http://schemas.openxmlformats.org/officeDocument/2006/relationships/hyperlink" Target="http://doi.org/10.3886/ICPSR35596.v1" TargetMode="External"/><Relationship Id="rId3" Type="http://schemas.openxmlformats.org/officeDocument/2006/relationships/hyperlink" Target="http://www.icpsr.umich.edu/icpsrweb/NADAC/studies/35575?archive=NADAC&amp;q=american+and+the+arts#method" TargetMode="External"/><Relationship Id="rId4" Type="http://schemas.openxmlformats.org/officeDocument/2006/relationships/hyperlink" Target="http://www.icpsr.umich.edu/icpsrweb/NAD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