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AJS MS 405027R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Reviewer 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Comments for the authors of ‘The making of an “omnivorous generation”’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1. I raised some methodological points when I last reviewed this paper. I appreciate the authors’ effort in revising the paper. But, unfortunately, I don’t think they have addressed my concerns. Let me explain why.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2. One central claim of the paper is that, through an APC analysis of repeated cross-sectional data, the authors can identify an omnivorous generation born roughly between 1930 and 1950. The authors recognize the identification problem that I raised last time. They have done some additional analyses, principally, in addition to the random effects model, they have fitted a fixed effects model. This does not allay my concerns though, because the fixed effects model uses the same APC specifications as the random effects model, i.e. a linear term and a quadratic term for age, the six surveys for period, and five-year cohort bands for cohort. It is well known in the APC literature that different spec for A, P, and C could lead to very different results. So I think the authors need to (1) justify their specifications for A, P, and C, e.g. why a quadratic specification for A? Why use five-year bands with the cutoffs that they use for C? and (2) show us that different A, P, and C</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specs give broadly the same results. They haven’t done these.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3. In my last review, I referred to other papers that use SPPA data which come to mainly ‘period effects’ interpretations of the data. In their revision notes, the authors say that ‘We agree that period effects exist and in many cases are pretty strong. However, this particular com- ment seems to reflect a misunderstanding of our empirical claims (and question). Our goal in the paper was not enact a “horse race” between period and cohort effects to see which ones had the strongest influence.’ I think this reply suggests that the authors might not fully appreciate just how serious the identification problem is. If the model is not identified (and APC models generally aren’t identified but for arbitrary constraints), you could pick your APC specs, and come to completely different parameter estimates, supporting any interpretations that you like. (For examples in biostatistics that I happened to come across recently, see Clayton and Schifflers. 1987. Statistics in Medicine.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449- 467, 469-481, or Kupper et al. 1985. Journal of Chronic Diseases, 38(10).) So I appreciate the authors are not setting up a horse race between Period and Cohort effects. But I want to know that their cohort-effects interpretations that they favoured is a reliable and rea sonable one, and one that is not dependent on the particular APC 1 specs that they use. So far, I haven’t been persuaded by the evidence presented.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4. I also asked the authors to consider including individual level covariates in their model. They haven’t done that because ‘the [covariate] that most plausibly differs across cohorts (educational attainment) would actually make the difference between the 1930-1950 cohorts and subsequent cohorts starker (since these cohorts are compositionally of higher educational attainment). In short, there are no individual level variables that we can think of that could plausibly account for the type of cohort effect that we find (e.g. as a result of a compositional cohort ef fect) especially given its rather delimited generational location.’ Well, maybe that’s true. But, again, I’d like to see the evidence that, say, adding educational attainent to the model gives the same results (or even reinforces them). Isn’t it true that the cohort trend of educational attainment in the US levelled off for those born after 1950, at least for men (Goldin and Katz)? Given that education is such 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strong predictor of cultural choice, isn’t the changing composition of the population by education a possible alternative explanation to the Progressive era cultural policy story that the authors are promoting? I would like to see possible alternative explanations explored further.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AJS MS 405027R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Reviewer C</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This is an interesting paper on an interesting and important topic. It's well written and I really do appreciate the use of mixed methods data. I also like inclusion of the 1973 arts survey, which asks about exposure, which is an important point. I have, however, substantial concerns. These concerns are about the two main contributions, as I see them, of the paper. The first, and most substantial, is in relation to the causal claim about the WPA. The second is about the papers engagement, or lack thereof, with Rossman and Peterson 2015.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The Causal Claim about the WPA.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In the response memo the authors argue that they're not offering a causal claim but instead offering a best guess, but the causal claim is still in the abstract and is suggested throughout the paper. It's even accurately referred to as such on p. 31. I have four points of contention regarding this causal "best guess."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a)The authors are explaining the peak of a trend based on generational cohorts, but the trend they're trying to make sense of (as based on birth cohort) started decades before the WPA, and save for a brief dip (which I assume to be the great depression), the slope doesn't really change with the institution of  the WPA. Instead of a WPA intervention this seems to be the result of a generally rising tide of cultural participation that very well might not have much to do with the WPA.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b)In the response memo the authors brush aside reviewer questions about international findings concerned with the rise of the omnivore by arguing that these studies don't look for generational effects. That is true, but the question was raised in relation to the causal claim about the WPA. As cited extensively in Peterson 2005 (this was 11 years ago; many more studies have followed), omnivorism is, or was, a global (Western) phenomenon. As the generational effect hinges on a causal claim about the brief-lived WPA, the rise of the omnivore across the western world would also have to be explained by the brief-lived WPA in the U.S., or by the institution of similar arts administrations across different countries. Instead of taking this critique seriously and investigating if the latter is true, the authors brush the question aside.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c)The WPA hypothesis is essentially a young-life exposure hypothesis. In the response memo and revision the authors try to mute that omnivorism (as defined in the paper) has been declining since the 1930-1950 cohort, arguing instead that they're only interested in this cohort and the one before it. Yet as the claim is a causal one about the WPA the authors can't just ignore the trends in the data that don't suit their claim. If governmental arts sponsorship is as important in omnivorism as the authors claim, how do they explain that as shown in Table 3 arts participation really starts to precipitously decline within the 1965-1970s birth bins given that the second major wave of governmental artistic support in the United States (i.e. the founding of the NEA in 1965 and robust funding of it starting in 1970 or so) starts at this exact same time and continues to rise across the next two decades? Put another way, evidence against a "historicality" hypothesis about government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arts sponsorship are also in these data, depending on which wave of broad governmental arts sponsorship we're looking at.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Relatedly, on p. 25 the authors argue that "the encoded historical memories of the omnivorous generation continue to be forceful even during a period---beginning in the late 1970s---of increasing retraction and devolution of government support for the arts." This is incorrect. In real dollars this period beginning in the late 1970s and ending in the mid-1990s was the most robust period of NEA funding. Why is what was true for the 1930-1950 generation not also true for the 1965-1995 generation, as the same purportedly very important "switch" of wide governmental support got flipped on again? If government intervention is as important to arts participation as the authors claim we would see a return of omnivorism in these birth cohorts instead of a decline. Instead, the authors argue that the earlier cohort maintained their interests during a decline in funding during a period in which that decline in arts funding was actually very much on the rise, and ignore that later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cohorts born in this era are behaving in reverse of their WPA argument.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In turn, it's also worth noting that New Deal era arts funding was much more about providing income to artists (and everyone else) in reaction to the great depression instead of getting people to participate in the arts as consumers, although as the authors correctly note some of that also existed. The NEA on the other hand, largely due to political censure regarding the direct funding of artists in its first few years, has since 1970 been much more oriented toward driving consumer participation. This focus is one of the major reasons why the SPPA exists as a dataset, as it's a tool of the NEA to legitimize their funding (why they're changing their categories and piloting much broader categories with the hopes that arts participation is shifting away from the categories they're asking about instead of actually declining). If the authors' hypothesis is correct they'd have to explain why production-side funding increases participation and consumption-side funding decreases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participation, when we would expect the reverse.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Perhaps this concern could be alleviated if the authors compared Project Number One funding to NEA funding in real dollars. On p. 21 they may have tried to do this, but there appears to be a typo. If the 35 million figure is just about Project One instead of the whole WPA (which is not plausible) then on a per annum basis Project One funding in real dollars hovered between about one half to one quarter of what per annum NEA funding was in real dollars from the mid-1970s through mid-1990s. This could be incorrect, but the comparison must be made instead of simply brushing aside the decline in arts participation after the 1930-1950 cohort as less interesting or important.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d)Save for brief mention on p. 30 the authors don't really dedicate any time or attention to alternative accounts. If WPA funding is truly a "best guess" for this phenomenon as the authors claim, they need to explain why it's a better guess than all of the previously offered explanations, including those they have mentioned and not mentioned. They don't attempt to do so, and I'm not sure why. In addition to what they suggest (the rise of consumer culture, creative industries, disposable income, and so on) most commonly in this literature the operating hypothesis for the rise and fall of omnivorism is that it became less useful as a mark of distinction as it was increasingly adopted, and people have moved on to marking their cultural status in other ways. This argument is usually made in relation to the SPPA waves and not to generational difference, but the basic point is the same: as is the case in Lieberson's work and many others', seemingly reactive taste-based endogenous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cultural explanations are often as, if not more, valid than ones that try to shoehorn cultural changes into fitting exogenous macro-level trends or shocks. Those can happen (e.g. in Lieberson's work the name "Adolph" after WWII), but more often than not it's not what's happening. Instead, we see endogenously reactive rises and falls in cultural tastes and consumption patterns which look remarkably similar to the inverted "U"s as presented in this paper.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Relationship to Rossman and Peterson (2015):</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From reading the response memo it appears that Rossman and Peterson's (R&amp;P) research note in Poetics was in-press when the current article was under submission. That's unfortunate to be sure, but the authors, who were made aware of the paper by a reviewer, opted to not really engage with it, which I think was a mistake. In relation to R&amp;P I have three concerns: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1)Within or Between Cultural Forms: Using 1982-2008 SPPA data R&amp;P focus within a cultural form (music genres), while this paper focuses across cultural forms (e.g. going to the ballet or art museum). When interested in cohort effects this decision is particularly susceptible to the critique offered by reviewers that it is difficult if not impossible to differentiate between omnivorism and generational tastes. Are earlier and later generations less omnivorous, or are they as omnivorous and just participating in different cultural activities? How do we know that in comparison to later cohorts this cohort just doesn't more regularly attend both musicals and art museums while younger generations just more regularly attended movies and sporting events?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Focusing within a cultural form (e.g. music genres) alleviates some of these concerns as different music genres are more clearly substitution goods for each other than is deciding to go to a historical monument or a jazz show (e.g. genre preferences in music can generationally change while omnivorism across music genres can change or remain the same; the same might not be true across cultural forms such as the opera, etc.).  Reviewers had raised this critique and the authors brushed it aside, even though a response to it is in the SPPA data (at least from 1982-2008) and has already been analyzed.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2)Individual Level Covariates: The authors say that they're interested in group-level phenomenon, but as they admit on p. 31, the exposure hypothesis they're proposing  is ultimately an individual-level phenomenon: "the "historicality" produced by these factors must ultimately be encoded in individuals to be causally effective (Abbott 2016)." In essence, in the response memo the authors are brushing aside individual level covariates despite relying on what is ultimately an individual-level hypothesis. They also say that their models are intended to be "descriptive" instead of "explanatory (p. vii) although the paper is predicated on an explanatory claim. I don't think individual level covariates would change much (as the authors show in the revision when including gender, race, and college education), but R&amp;P show the importance of income and urban location in their paper (which is cited several times), but the authors still argue that there isn't anything else that could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matter for their story despite excluding these. More generally I found the oscillation between individual and group level argumentation (as well as descriptive and explanatory argumentation) to be way too slippery and inconsistent.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Likewise, of note, on this same page (vii) of the response memo the authors argue that educational attainment would "actually make difference between the 1930-1950 cohorts and subsequent cohorts starker," which is all well and good, but in other portions of the response memo, when it more suits their purposes, they've argue that they're not interested in subsequent generations and instead interested in the 1930-1950 generation and the generation prior to it. If this were consistently the case educational attainment would be important rather than something to brush aside as working in their favor anyway. This is either sloppy or disingenuous, as it makes it seem as if the authors, like R&amp;P, have discovered an inverted "U" shaped curve in generational omnivorousness, and out of hand dismiss one half the curve when it suits their purposes in the paper, and the other half of the curve when it suits their purposes in some (but not other) parts of the response memo.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More generally on this point about R&amp;P I find it troubling that the authors are aware of this paper and cite it, but never actually directly engage with the similarities. The closest they get is on p. 6 when they write "Rossman and Peterson's (2015) account is consistent with the possibility, to be explored more fully below, that there exists an identifiable (and bounded) "omnivorous generation" in the U.S., Instead of a unilinear trend affecting the population at large."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It's not just consistent with the possibility of the author's findings, it's a previously published replication of the author's findings using different techniques and different elements of the same dataset.  The basic story is as much in this paper's graphs as it is in R&amp;P's Figure 2. So too for the differences between these papers. Instead of burying this or ignoring it, the authors would have been much better off addressing it and explaining why their modeling is superior, which a case can certainly be made for.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Fonts w:ascii="Arial" w:cs="Arial" w:eastAsia="Arial" w:hAnsi="Arial"/>
          <w:color w:val="222222"/>
          <w:sz w:val="19"/>
          <w:szCs w:val="19"/>
          <w:highlight w:val="white"/>
          <w:rtl w:val="0"/>
        </w:rPr>
        <w:t xml:space="preserve">Best of luck to the authors.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727.9999999999998"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before="2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ind w:firstLine="0"/>
    </w:pPr>
    <w:rPr>
      <w:sz w:val="22"/>
      <w:szCs w:val="22"/>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